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spacing w:val="116"/>
          <w:sz w:val="52"/>
          <w:highlight w:val="none"/>
        </w:rPr>
      </w:pPr>
    </w:p>
    <w:p>
      <w:pPr>
        <w:jc w:val="center"/>
        <w:rPr>
          <w:rFonts w:ascii="宋体" w:hAnsi="宋体"/>
          <w:color w:val="auto"/>
          <w:spacing w:val="116"/>
          <w:sz w:val="52"/>
          <w:highlight w:val="none"/>
        </w:rPr>
      </w:pPr>
      <w:r>
        <w:rPr>
          <w:rFonts w:hint="eastAsia" w:ascii="宋体" w:hAnsi="宋体"/>
          <w:color w:val="auto"/>
          <w:spacing w:val="116"/>
          <w:sz w:val="52"/>
          <w:highlight w:val="none"/>
        </w:rPr>
        <w:drawing>
          <wp:inline distT="0" distB="0" distL="114300" distR="114300">
            <wp:extent cx="1621790" cy="1065530"/>
            <wp:effectExtent l="0" t="0" r="16510" b="1270"/>
            <wp:docPr id="3" name="图片 1" descr="中经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经LOGO1"/>
                    <pic:cNvPicPr>
                      <a:picLocks noChangeAspect="1"/>
                    </pic:cNvPicPr>
                  </pic:nvPicPr>
                  <pic:blipFill>
                    <a:blip r:embed="rId15"/>
                    <a:stretch>
                      <a:fillRect/>
                    </a:stretch>
                  </pic:blipFill>
                  <pic:spPr>
                    <a:xfrm>
                      <a:off x="0" y="0"/>
                      <a:ext cx="1621790" cy="1065530"/>
                    </a:xfrm>
                    <a:prstGeom prst="rect">
                      <a:avLst/>
                    </a:prstGeom>
                    <a:noFill/>
                    <a:ln>
                      <a:noFill/>
                    </a:ln>
                  </pic:spPr>
                </pic:pic>
              </a:graphicData>
            </a:graphic>
          </wp:inline>
        </w:drawing>
      </w:r>
    </w:p>
    <w:p>
      <w:pPr>
        <w:jc w:val="center"/>
        <w:rPr>
          <w:rFonts w:ascii="宋体" w:hAnsi="宋体"/>
          <w:b/>
          <w:color w:val="auto"/>
          <w:sz w:val="36"/>
          <w:szCs w:val="36"/>
          <w:highlight w:val="none"/>
        </w:rPr>
      </w:pPr>
      <w:r>
        <w:rPr>
          <w:rFonts w:hint="eastAsia" w:ascii="宋体" w:hAnsi="宋体"/>
          <w:b/>
          <w:color w:val="auto"/>
          <w:sz w:val="36"/>
          <w:szCs w:val="36"/>
          <w:highlight w:val="none"/>
        </w:rPr>
        <w:t>中经国际招标集团有限公司</w:t>
      </w:r>
    </w:p>
    <w:p>
      <w:pPr>
        <w:rPr>
          <w:rFonts w:ascii="宋体" w:hAnsi="宋体"/>
          <w:b/>
          <w:color w:val="auto"/>
          <w:sz w:val="28"/>
          <w:szCs w:val="28"/>
          <w:highlight w:val="none"/>
        </w:rPr>
      </w:pPr>
    </w:p>
    <w:p>
      <w:pPr>
        <w:jc w:val="center"/>
        <w:rPr>
          <w:rFonts w:ascii="宋体" w:hAnsi="宋体"/>
          <w:color w:val="auto"/>
          <w:w w:val="90"/>
          <w:sz w:val="72"/>
          <w:szCs w:val="72"/>
          <w:highlight w:val="none"/>
        </w:rPr>
      </w:pPr>
    </w:p>
    <w:p>
      <w:pPr>
        <w:jc w:val="center"/>
        <w:rPr>
          <w:rFonts w:ascii="宋体" w:hAnsi="宋体"/>
          <w:color w:val="auto"/>
          <w:w w:val="90"/>
          <w:sz w:val="72"/>
          <w:szCs w:val="72"/>
          <w:highlight w:val="none"/>
        </w:rPr>
      </w:pPr>
      <w:r>
        <w:rPr>
          <w:rFonts w:hint="eastAsia" w:ascii="宋体" w:hAnsi="宋体"/>
          <w:color w:val="auto"/>
          <w:w w:val="90"/>
          <w:sz w:val="72"/>
          <w:szCs w:val="72"/>
          <w:highlight w:val="none"/>
        </w:rPr>
        <w:t>招标文件</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spacing w:line="400" w:lineRule="exact"/>
        <w:jc w:val="center"/>
        <w:rPr>
          <w:rFonts w:hint="eastAsia" w:ascii="宋体" w:hAnsi="宋体"/>
          <w:color w:val="auto"/>
          <w:sz w:val="32"/>
          <w:highlight w:val="none"/>
        </w:rPr>
      </w:pPr>
      <w:r>
        <w:rPr>
          <w:rFonts w:hint="eastAsia" w:ascii="宋体" w:hAnsi="宋体"/>
          <w:color w:val="auto"/>
          <w:sz w:val="32"/>
          <w:highlight w:val="none"/>
        </w:rPr>
        <w:t>项目名称：苍梧县国土空间规划编制工作</w:t>
      </w:r>
    </w:p>
    <w:p>
      <w:pPr>
        <w:spacing w:line="400" w:lineRule="exact"/>
        <w:jc w:val="center"/>
        <w:rPr>
          <w:rFonts w:ascii="宋体" w:hAnsi="宋体"/>
          <w:color w:val="auto"/>
          <w:sz w:val="32"/>
          <w:highlight w:val="none"/>
        </w:rPr>
      </w:pPr>
    </w:p>
    <w:p>
      <w:pPr>
        <w:spacing w:line="400" w:lineRule="exact"/>
        <w:jc w:val="center"/>
        <w:rPr>
          <w:rFonts w:ascii="宋体" w:hAnsi="宋体"/>
          <w:color w:val="auto"/>
          <w:sz w:val="32"/>
          <w:highlight w:val="none"/>
        </w:rPr>
      </w:pPr>
      <w:r>
        <w:rPr>
          <w:rFonts w:hint="eastAsia" w:ascii="宋体" w:hAnsi="宋体"/>
          <w:color w:val="auto"/>
          <w:sz w:val="32"/>
          <w:highlight w:val="none"/>
        </w:rPr>
        <w:t>项目编号：</w:t>
      </w:r>
      <w:r>
        <w:rPr>
          <w:rFonts w:hint="eastAsia" w:ascii="宋体" w:hAnsi="宋体"/>
          <w:color w:val="auto"/>
          <w:sz w:val="32"/>
          <w:highlight w:val="none"/>
        </w:rPr>
        <w:t>CWZC2021-G3-00</w:t>
      </w:r>
      <w:r>
        <w:rPr>
          <w:rFonts w:hint="eastAsia" w:ascii="宋体" w:hAnsi="宋体"/>
          <w:color w:val="auto"/>
          <w:sz w:val="32"/>
          <w:highlight w:val="none"/>
          <w:lang w:val="en-US" w:eastAsia="zh-CN"/>
        </w:rPr>
        <w:t>514</w:t>
      </w:r>
      <w:r>
        <w:rPr>
          <w:rFonts w:hint="eastAsia" w:ascii="宋体" w:hAnsi="宋体"/>
          <w:color w:val="auto"/>
          <w:sz w:val="32"/>
          <w:highlight w:val="none"/>
        </w:rPr>
        <w:t>-ZJZB</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spacing w:line="360" w:lineRule="auto"/>
        <w:jc w:val="center"/>
        <w:rPr>
          <w:rFonts w:ascii="宋体" w:hAnsi="宋体"/>
          <w:color w:val="auto"/>
          <w:sz w:val="32"/>
          <w:szCs w:val="32"/>
          <w:highlight w:val="none"/>
        </w:rPr>
      </w:pP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采购代理机构：中经国际招标集团有限公司</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2021年8月</w:t>
      </w:r>
    </w:p>
    <w:p>
      <w:pPr>
        <w:pStyle w:val="13"/>
        <w:spacing w:before="120" w:after="120" w:line="360" w:lineRule="auto"/>
        <w:jc w:val="center"/>
        <w:rPr>
          <w:rFonts w:hint="eastAsia" w:ascii="仿宋_GB2312" w:hAnsi="宋体" w:eastAsia="仿宋_GB2312"/>
          <w:color w:val="auto"/>
          <w:highlight w:val="none"/>
        </w:rPr>
      </w:pPr>
    </w:p>
    <w:p>
      <w:pPr>
        <w:rPr>
          <w:rFonts w:hint="eastAsia" w:ascii="仿宋_GB2312" w:hAnsi="宋体" w:eastAsia="仿宋_GB2312"/>
          <w:color w:val="auto"/>
          <w:highlight w:val="none"/>
        </w:rPr>
      </w:pPr>
    </w:p>
    <w:p>
      <w:pPr>
        <w:pStyle w:val="2"/>
        <w:rPr>
          <w:rFonts w:hint="eastAsia" w:ascii="仿宋_GB2312" w:hAnsi="宋体" w:eastAsia="仿宋_GB2312"/>
          <w:color w:val="auto"/>
          <w:highlight w:val="none"/>
        </w:rPr>
      </w:pPr>
    </w:p>
    <w:p>
      <w:pPr>
        <w:pStyle w:val="2"/>
        <w:rPr>
          <w:rFonts w:hint="eastAsia" w:ascii="仿宋_GB2312" w:hAnsi="宋体" w:eastAsia="仿宋_GB2312"/>
          <w:color w:val="auto"/>
          <w:highlight w:val="none"/>
        </w:rPr>
      </w:pP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hint="eastAsia" w:ascii="宋体" w:hAnsi="宋体"/>
          <w:b/>
          <w:color w:val="auto"/>
          <w:sz w:val="44"/>
          <w:szCs w:val="44"/>
          <w:highlight w:val="none"/>
        </w:rPr>
      </w:pPr>
    </w:p>
    <w:p>
      <w:pPr>
        <w:pStyle w:val="18"/>
        <w:tabs>
          <w:tab w:val="right" w:leader="dot" w:pos="8789"/>
          <w:tab w:val="clear" w:pos="8398"/>
        </w:tabs>
        <w:snapToGrid w:val="0"/>
        <w:spacing w:before="0" w:after="0" w:line="500" w:lineRule="atLeast"/>
        <w:ind w:firstLine="0" w:firstLineChars="0"/>
        <w:rPr>
          <w:rFonts w:ascii="Calibri" w:hAnsi="Calibri"/>
          <w:b w:val="0"/>
          <w:bCs w:val="0"/>
          <w:caps w:val="0"/>
          <w:color w:val="auto"/>
          <w:sz w:val="21"/>
          <w:szCs w:val="22"/>
          <w:highlight w:val="none"/>
          <w:lang w:val="en-US" w:eastAsia="zh-CN"/>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color w:val="auto"/>
          <w:highlight w:val="none"/>
        </w:rPr>
        <w:fldChar w:fldCharType="begin"/>
      </w:r>
      <w:r>
        <w:rPr>
          <w:rStyle w:val="23"/>
          <w:color w:val="auto"/>
          <w:highlight w:val="none"/>
        </w:rPr>
        <w:instrText xml:space="preserve"> </w:instrText>
      </w:r>
      <w:r>
        <w:rPr>
          <w:color w:val="auto"/>
          <w:highlight w:val="none"/>
        </w:rPr>
        <w:instrText xml:space="preserve">HYPERLINK \l "_Toc74323511"</w:instrText>
      </w:r>
      <w:r>
        <w:rPr>
          <w:rStyle w:val="23"/>
          <w:color w:val="auto"/>
          <w:highlight w:val="none"/>
        </w:rPr>
        <w:instrText xml:space="preserve"> </w:instrText>
      </w:r>
      <w:r>
        <w:rPr>
          <w:color w:val="auto"/>
          <w:highlight w:val="none"/>
        </w:rPr>
        <w:fldChar w:fldCharType="separate"/>
      </w:r>
      <w:r>
        <w:rPr>
          <w:rStyle w:val="23"/>
          <w:rFonts w:hint="eastAsia"/>
          <w:color w:val="auto"/>
          <w:highlight w:val="none"/>
        </w:rPr>
        <w:t>第一章</w:t>
      </w:r>
      <w:r>
        <w:rPr>
          <w:rStyle w:val="23"/>
          <w:color w:val="auto"/>
          <w:highlight w:val="none"/>
        </w:rPr>
        <w:t xml:space="preserve"> </w:t>
      </w:r>
      <w:r>
        <w:rPr>
          <w:rStyle w:val="23"/>
          <w:rFonts w:hint="eastAsia"/>
          <w:color w:val="auto"/>
          <w:highlight w:val="none"/>
          <w:lang w:eastAsia="zh-CN"/>
        </w:rPr>
        <w:t xml:space="preserve"> </w:t>
      </w:r>
      <w:r>
        <w:rPr>
          <w:rStyle w:val="23"/>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_Toc74323511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color w:val="auto"/>
          <w:sz w:val="21"/>
          <w:szCs w:val="22"/>
          <w:highlight w:val="none"/>
          <w:lang w:val="en-US" w:eastAsia="zh-CN"/>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"_Toc74323512"</w:instrText>
      </w:r>
      <w:r>
        <w:rPr>
          <w:rStyle w:val="23"/>
          <w:color w:val="auto"/>
          <w:highlight w:val="none"/>
        </w:rPr>
        <w:instrText xml:space="preserve"> </w:instrText>
      </w:r>
      <w:r>
        <w:rPr>
          <w:color w:val="auto"/>
          <w:highlight w:val="none"/>
        </w:rPr>
        <w:fldChar w:fldCharType="separate"/>
      </w:r>
      <w:r>
        <w:rPr>
          <w:rStyle w:val="23"/>
          <w:rFonts w:hint="eastAsia"/>
          <w:color w:val="auto"/>
          <w:highlight w:val="none"/>
        </w:rPr>
        <w:t>第二章</w:t>
      </w:r>
      <w:r>
        <w:rPr>
          <w:rStyle w:val="23"/>
          <w:color w:val="auto"/>
          <w:highlight w:val="none"/>
        </w:rPr>
        <w:t xml:space="preserve">  </w:t>
      </w:r>
      <w:r>
        <w:rPr>
          <w:rStyle w:val="23"/>
          <w:rFonts w:hint="eastAsia"/>
          <w:color w:val="auto"/>
          <w:highlight w:val="none"/>
        </w:rPr>
        <w:t>采购需求</w:t>
      </w:r>
      <w:bookmarkStart w:id="0" w:name="_Hlt75337184"/>
      <w:r>
        <w:rPr>
          <w:color w:val="auto"/>
          <w:highlight w:val="none"/>
        </w:rPr>
        <w:tab/>
      </w:r>
      <w:bookmarkEnd w:id="0"/>
      <w:bookmarkStart w:id="1" w:name="_Hlt75968141"/>
      <w:r>
        <w:rPr>
          <w:color w:val="auto"/>
          <w:highlight w:val="none"/>
        </w:rPr>
        <w:fldChar w:fldCharType="begin"/>
      </w:r>
      <w:r>
        <w:rPr>
          <w:color w:val="auto"/>
          <w:highlight w:val="none"/>
        </w:rPr>
        <w:instrText xml:space="preserve"> PAGEREF _Toc74323512 \h </w:instrText>
      </w:r>
      <w:r>
        <w:rPr>
          <w:color w:val="auto"/>
          <w:highlight w:val="none"/>
        </w:rPr>
        <w:fldChar w:fldCharType="separate"/>
      </w:r>
      <w:r>
        <w:rPr>
          <w:color w:val="auto"/>
          <w:highlight w:val="none"/>
        </w:rPr>
        <w:t>6</w:t>
      </w:r>
      <w:r>
        <w:rPr>
          <w:color w:val="auto"/>
          <w:highlight w:val="none"/>
        </w:rPr>
        <w:fldChar w:fldCharType="end"/>
      </w:r>
      <w:bookmarkEnd w:id="1"/>
      <w:r>
        <w:rPr>
          <w:color w:val="auto"/>
          <w:highlight w:val="none"/>
        </w:rP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color w:val="auto"/>
          <w:sz w:val="21"/>
          <w:szCs w:val="22"/>
          <w:highlight w:val="none"/>
          <w:lang w:val="en-US" w:eastAsia="zh-CN"/>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"_Toc74323513"</w:instrText>
      </w:r>
      <w:r>
        <w:rPr>
          <w:rStyle w:val="23"/>
          <w:color w:val="auto"/>
          <w:highlight w:val="none"/>
        </w:rPr>
        <w:instrText xml:space="preserve"> </w:instrText>
      </w:r>
      <w:r>
        <w:rPr>
          <w:color w:val="auto"/>
          <w:highlight w:val="none"/>
        </w:rPr>
        <w:fldChar w:fldCharType="separate"/>
      </w:r>
      <w:r>
        <w:rPr>
          <w:rStyle w:val="23"/>
          <w:rFonts w:hint="eastAsia"/>
          <w:color w:val="auto"/>
          <w:highlight w:val="none"/>
        </w:rPr>
        <w:t>第三章</w:t>
      </w:r>
      <w:r>
        <w:rPr>
          <w:rStyle w:val="23"/>
          <w:color w:val="auto"/>
          <w:highlight w:val="none"/>
        </w:rPr>
        <w:t xml:space="preserve">  </w:t>
      </w:r>
      <w:r>
        <w:rPr>
          <w:rStyle w:val="23"/>
          <w:rFonts w:hint="eastAsia"/>
          <w:color w:val="auto"/>
          <w:highlight w:val="none"/>
        </w:rPr>
        <w:t>投标人须知</w:t>
      </w:r>
      <w:bookmarkStart w:id="2" w:name="_Hlt76631497"/>
      <w:r>
        <w:rPr>
          <w:color w:val="auto"/>
          <w:highlight w:val="none"/>
        </w:rPr>
        <w:tab/>
      </w:r>
      <w:bookmarkEnd w:id="2"/>
      <w:bookmarkStart w:id="3" w:name="_Hlt75968148"/>
      <w:r>
        <w:rPr>
          <w:color w:val="auto"/>
          <w:highlight w:val="none"/>
        </w:rPr>
        <w:fldChar w:fldCharType="begin"/>
      </w:r>
      <w:r>
        <w:rPr>
          <w:color w:val="auto"/>
          <w:highlight w:val="none"/>
        </w:rPr>
        <w:instrText xml:space="preserve"> PAGEREF _Toc74323513 \h </w:instrText>
      </w:r>
      <w:r>
        <w:rPr>
          <w:color w:val="auto"/>
          <w:highlight w:val="none"/>
        </w:rPr>
        <w:fldChar w:fldCharType="separate"/>
      </w:r>
      <w:r>
        <w:rPr>
          <w:color w:val="auto"/>
          <w:highlight w:val="none"/>
        </w:rPr>
        <w:t>19</w:t>
      </w:r>
      <w:r>
        <w:rPr>
          <w:color w:val="auto"/>
          <w:highlight w:val="none"/>
        </w:rPr>
        <w:fldChar w:fldCharType="end"/>
      </w:r>
      <w:bookmarkEnd w:id="3"/>
      <w:r>
        <w:rPr>
          <w:color w:val="auto"/>
          <w:highlight w:val="none"/>
        </w:rP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color w:val="auto"/>
          <w:sz w:val="21"/>
          <w:szCs w:val="22"/>
          <w:highlight w:val="none"/>
          <w:lang w:val="en-US" w:eastAsia="zh-CN"/>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"_Toc74323514"</w:instrText>
      </w:r>
      <w:r>
        <w:rPr>
          <w:rStyle w:val="23"/>
          <w:color w:val="auto"/>
          <w:highlight w:val="none"/>
        </w:rPr>
        <w:instrText xml:space="preserve"> </w:instrText>
      </w:r>
      <w:r>
        <w:rPr>
          <w:color w:val="auto"/>
          <w:highlight w:val="none"/>
        </w:rPr>
        <w:fldChar w:fldCharType="separate"/>
      </w:r>
      <w:r>
        <w:rPr>
          <w:rStyle w:val="23"/>
          <w:rFonts w:hint="eastAsia"/>
          <w:color w:val="auto"/>
          <w:highlight w:val="none"/>
        </w:rPr>
        <w:t>第四章</w:t>
      </w:r>
      <w:r>
        <w:rPr>
          <w:rStyle w:val="23"/>
          <w:color w:val="auto"/>
          <w:highlight w:val="none"/>
        </w:rPr>
        <w:t xml:space="preserve">  </w:t>
      </w:r>
      <w:r>
        <w:rPr>
          <w:rStyle w:val="23"/>
          <w:rFonts w:hint="eastAsia"/>
          <w:color w:val="auto"/>
          <w:highlight w:val="none"/>
        </w:rPr>
        <w:t>评标方法及</w:t>
      </w:r>
      <w:bookmarkStart w:id="4" w:name="_Hlt75857959"/>
      <w:r>
        <w:rPr>
          <w:rStyle w:val="23"/>
          <w:rFonts w:hint="eastAsia"/>
          <w:color w:val="auto"/>
          <w:highlight w:val="none"/>
        </w:rPr>
        <w:t>评</w:t>
      </w:r>
      <w:bookmarkEnd w:id="4"/>
      <w:r>
        <w:rPr>
          <w:rStyle w:val="23"/>
          <w:rFonts w:hint="eastAsia"/>
          <w:color w:val="auto"/>
          <w:highlight w:val="none"/>
        </w:rPr>
        <w:t>标标准</w:t>
      </w:r>
      <w:r>
        <w:rPr>
          <w:color w:val="auto"/>
          <w:highlight w:val="none"/>
        </w:rPr>
        <w:tab/>
      </w:r>
      <w:r>
        <w:rPr>
          <w:color w:val="auto"/>
          <w:highlight w:val="none"/>
        </w:rPr>
        <w:fldChar w:fldCharType="begin"/>
      </w:r>
      <w:r>
        <w:rPr>
          <w:color w:val="auto"/>
          <w:highlight w:val="none"/>
        </w:rPr>
        <w:instrText xml:space="preserve"> PAGEREF _Toc74323514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color w:val="auto"/>
          <w:sz w:val="21"/>
          <w:szCs w:val="22"/>
          <w:highlight w:val="none"/>
          <w:lang w:val="en-US" w:eastAsia="zh-CN"/>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"_Toc74323515"</w:instrText>
      </w:r>
      <w:r>
        <w:rPr>
          <w:rStyle w:val="23"/>
          <w:color w:val="auto"/>
          <w:highlight w:val="none"/>
        </w:rPr>
        <w:instrText xml:space="preserve"> </w:instrText>
      </w:r>
      <w:r>
        <w:rPr>
          <w:color w:val="auto"/>
          <w:highlight w:val="none"/>
        </w:rPr>
        <w:fldChar w:fldCharType="separate"/>
      </w:r>
      <w:r>
        <w:rPr>
          <w:rStyle w:val="23"/>
          <w:rFonts w:hint="eastAsia"/>
          <w:color w:val="auto"/>
          <w:highlight w:val="none"/>
        </w:rPr>
        <w:t>第五章</w:t>
      </w:r>
      <w:r>
        <w:rPr>
          <w:rStyle w:val="23"/>
          <w:color w:val="auto"/>
          <w:highlight w:val="none"/>
        </w:rPr>
        <w:t xml:space="preserve">  </w:t>
      </w:r>
      <w:r>
        <w:rPr>
          <w:rStyle w:val="23"/>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_Toc74323515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color w:val="auto"/>
          <w:sz w:val="21"/>
          <w:szCs w:val="22"/>
          <w:highlight w:val="none"/>
          <w:lang w:val="en-US" w:eastAsia="zh-CN"/>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"_Toc74323516"</w:instrText>
      </w:r>
      <w:r>
        <w:rPr>
          <w:rStyle w:val="23"/>
          <w:color w:val="auto"/>
          <w:highlight w:val="none"/>
        </w:rPr>
        <w:instrText xml:space="preserve"> </w:instrText>
      </w:r>
      <w:r>
        <w:rPr>
          <w:color w:val="auto"/>
          <w:highlight w:val="none"/>
        </w:rPr>
        <w:fldChar w:fldCharType="separate"/>
      </w:r>
      <w:r>
        <w:rPr>
          <w:rStyle w:val="23"/>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_Toc74323516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tabs>
          <w:tab w:val="right" w:leader="dot" w:pos="8789"/>
        </w:tabs>
        <w:snapToGrid w:val="0"/>
        <w:spacing w:line="500" w:lineRule="atLeas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pPr>
        <w:spacing w:before="120" w:beforeLines="50" w:line="480" w:lineRule="exact"/>
        <w:rPr>
          <w:rFonts w:hint="eastAsia" w:ascii="仿宋_GB2312" w:hAnsi="宋体" w:eastAsia="仿宋_GB2312"/>
          <w:color w:val="auto"/>
          <w:sz w:val="30"/>
          <w:highlight w:val="none"/>
        </w:rPr>
      </w:pPr>
    </w:p>
    <w:p>
      <w:pPr>
        <w:rPr>
          <w:rFonts w:hint="eastAsia"/>
          <w:color w:val="auto"/>
          <w:highlight w:val="none"/>
        </w:rPr>
      </w:pPr>
    </w:p>
    <w:p>
      <w:pPr>
        <w:spacing w:before="120" w:beforeLines="50" w:line="480" w:lineRule="exact"/>
        <w:rPr>
          <w:rFonts w:hint="eastAsia" w:ascii="仿宋_GB2312" w:hAnsi="宋体" w:eastAsia="仿宋_GB2312"/>
          <w:color w:val="auto"/>
          <w:sz w:val="30"/>
          <w:highlight w:val="none"/>
        </w:rPr>
      </w:pPr>
    </w:p>
    <w:p>
      <w:pPr>
        <w:spacing w:before="120" w:beforeLines="50" w:line="480" w:lineRule="exact"/>
        <w:rPr>
          <w:rFonts w:hint="eastAsia" w:ascii="仿宋_GB2312" w:hAnsi="宋体" w:eastAsia="仿宋_GB2312"/>
          <w:color w:val="auto"/>
          <w:sz w:val="30"/>
          <w:highlight w:val="none"/>
        </w:rPr>
      </w:pPr>
    </w:p>
    <w:p>
      <w:pPr>
        <w:pStyle w:val="9"/>
        <w:rPr>
          <w:rFonts w:hint="eastAsia" w:ascii="宋体" w:hAnsi="宋体" w:cs="宋体"/>
          <w:b/>
          <w:bCs/>
          <w:color w:val="auto"/>
          <w:highlight w:val="none"/>
        </w:rPr>
      </w:pPr>
      <w:bookmarkStart w:id="5" w:name="_Toc254970489"/>
      <w:bookmarkStart w:id="6" w:name="_Toc254970630"/>
    </w:p>
    <w:p>
      <w:pPr>
        <w:pStyle w:val="3"/>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宋体" w:hAnsi="宋体" w:cs="宋体"/>
          <w:b w:val="0"/>
          <w:bCs w:val="0"/>
          <w:color w:val="auto"/>
          <w:highlight w:val="none"/>
        </w:rPr>
        <w:br w:type="page"/>
      </w:r>
      <w:bookmarkStart w:id="7" w:name="_Toc74323511"/>
      <w:r>
        <w:rPr>
          <w:rFonts w:hint="eastAsia"/>
          <w:color w:val="auto"/>
          <w:highlight w:val="none"/>
        </w:rPr>
        <w:t>第一章</w:t>
      </w:r>
      <w:bookmarkEnd w:id="5"/>
      <w:bookmarkEnd w:id="6"/>
      <w:bookmarkStart w:id="8" w:name="_Toc28359001"/>
      <w:bookmarkStart w:id="9" w:name="_Toc35393789"/>
      <w:r>
        <w:rPr>
          <w:rFonts w:hint="eastAsia"/>
          <w:color w:val="auto"/>
          <w:highlight w:val="none"/>
        </w:rPr>
        <w:t xml:space="preserve"> 招标公告</w:t>
      </w:r>
      <w:bookmarkEnd w:id="7"/>
      <w:bookmarkEnd w:id="8"/>
      <w:bookmarkEnd w:id="9"/>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苍梧县国土空间规划编制工作</w:t>
      </w:r>
      <w:r>
        <w:rPr>
          <w:rFonts w:hint="eastAsia" w:ascii="宋体" w:hAnsi="宋体"/>
          <w:color w:val="auto"/>
          <w:szCs w:val="21"/>
          <w:highlight w:val="none"/>
        </w:rPr>
        <w:t>招标项目的潜在投标人应在</w:t>
      </w:r>
      <w:r>
        <w:rPr>
          <w:rFonts w:hint="eastAsia" w:ascii="宋体" w:hAnsi="宋体"/>
          <w:color w:val="auto"/>
          <w:szCs w:val="21"/>
          <w:highlight w:val="none"/>
          <w:u w:val="single"/>
        </w:rPr>
        <w:t>政府采购云平台（www.zcygov.cn）</w:t>
      </w:r>
      <w:r>
        <w:rPr>
          <w:rFonts w:hint="eastAsia" w:ascii="宋体" w:hAnsi="宋体"/>
          <w:color w:val="auto"/>
          <w:szCs w:val="21"/>
          <w:highlight w:val="none"/>
        </w:rPr>
        <w:t>获取招标文件，并于</w:t>
      </w:r>
      <w:r>
        <w:rPr>
          <w:rFonts w:hint="eastAsia" w:ascii="宋体" w:hAnsi="宋体"/>
          <w:color w:val="auto"/>
          <w:szCs w:val="21"/>
          <w:highlight w:val="none"/>
          <w:u w:val="single"/>
        </w:rPr>
        <w:t>2021</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24</w:t>
      </w:r>
      <w:r>
        <w:rPr>
          <w:rFonts w:hint="eastAsia" w:ascii="宋体" w:hAnsi="宋体"/>
          <w:bCs/>
          <w:color w:val="auto"/>
          <w:szCs w:val="21"/>
          <w:highlight w:val="none"/>
          <w:u w:val="single"/>
        </w:rPr>
        <w:t>日9时30分（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rPr>
          <w:rFonts w:ascii="黑体" w:hAnsi="黑体" w:eastAsia="黑体"/>
          <w:b/>
          <w:bCs/>
          <w:color w:val="auto"/>
          <w:sz w:val="24"/>
          <w:highlight w:val="none"/>
        </w:rPr>
      </w:pPr>
      <w:bookmarkStart w:id="10" w:name="_Toc28359002"/>
      <w:bookmarkStart w:id="11" w:name="_Toc35393621"/>
      <w:bookmarkStart w:id="12" w:name="_Toc28359079"/>
      <w:bookmarkStart w:id="13" w:name="_Toc35393790"/>
      <w:bookmarkStart w:id="14" w:name="_Hlk24379207"/>
      <w:r>
        <w:rPr>
          <w:rFonts w:hint="eastAsia" w:ascii="黑体" w:hAnsi="黑体" w:eastAsia="黑体"/>
          <w:b/>
          <w:bCs/>
          <w:color w:val="auto"/>
          <w:sz w:val="24"/>
          <w:highlight w:val="none"/>
        </w:rPr>
        <w:t>一、项目基本情况</w:t>
      </w:r>
      <w:bookmarkEnd w:id="10"/>
      <w:bookmarkEnd w:id="11"/>
      <w:bookmarkEnd w:id="12"/>
      <w:bookmarkEnd w:id="13"/>
    </w:p>
    <w:bookmarkEnd w:id="14"/>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项目编号：</w:t>
      </w:r>
      <w:r>
        <w:rPr>
          <w:rFonts w:hint="eastAsia" w:ascii="宋体" w:hAnsi="宋体" w:eastAsia="宋体" w:cs="Times New Roman"/>
          <w:color w:val="auto"/>
          <w:sz w:val="21"/>
          <w:szCs w:val="21"/>
          <w:highlight w:val="none"/>
        </w:rPr>
        <w:t>CWZC2021-G3-00</w:t>
      </w:r>
      <w:r>
        <w:rPr>
          <w:rFonts w:hint="eastAsia" w:ascii="宋体" w:hAnsi="宋体" w:eastAsia="宋体" w:cs="Times New Roman"/>
          <w:color w:val="auto"/>
          <w:sz w:val="21"/>
          <w:szCs w:val="21"/>
          <w:highlight w:val="none"/>
          <w:lang w:val="en-US" w:eastAsia="zh-CN"/>
        </w:rPr>
        <w:t>514</w:t>
      </w:r>
      <w:r>
        <w:rPr>
          <w:rFonts w:hint="eastAsia" w:ascii="宋体" w:hAnsi="宋体" w:eastAsia="宋体" w:cs="Times New Roman"/>
          <w:color w:val="auto"/>
          <w:sz w:val="21"/>
          <w:szCs w:val="21"/>
          <w:highlight w:val="none"/>
        </w:rPr>
        <w:t>-ZJZB</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项目名称：苍梧县国土空间规划编制工作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预算总金额：1050万元</w:t>
      </w:r>
    </w:p>
    <w:p>
      <w:pPr>
        <w:ind w:firstLine="420" w:firstLineChars="200"/>
        <w:rPr>
          <w:rFonts w:hint="eastAsia" w:ascii="宋体" w:hAnsi="宋体" w:cs="宋体"/>
          <w:color w:val="auto"/>
          <w:sz w:val="22"/>
          <w:szCs w:val="22"/>
          <w:highlight w:val="none"/>
        </w:rPr>
      </w:pPr>
      <w:r>
        <w:rPr>
          <w:rFonts w:hint="eastAsia" w:ascii="宋体" w:hAnsi="宋体"/>
          <w:color w:val="auto"/>
          <w:szCs w:val="21"/>
          <w:highlight w:val="none"/>
        </w:rPr>
        <w:t>采购需求：</w:t>
      </w:r>
      <w:r>
        <w:rPr>
          <w:rFonts w:hint="eastAsia" w:ascii="宋体" w:hAnsi="宋体"/>
          <w:bCs/>
          <w:color w:val="auto"/>
          <w:szCs w:val="21"/>
          <w:highlight w:val="none"/>
          <w:u w:val="single"/>
        </w:rPr>
        <w:t>苍梧县国土空间规划编制工作</w:t>
      </w:r>
      <w:r>
        <w:rPr>
          <w:rFonts w:hint="eastAsia" w:ascii="宋体" w:hAnsi="宋体" w:cs="宋体"/>
          <w:color w:val="auto"/>
          <w:sz w:val="22"/>
          <w:szCs w:val="22"/>
          <w:highlight w:val="none"/>
        </w:rPr>
        <w:t>（具体内容详见招标文件）</w:t>
      </w:r>
    </w:p>
    <w:p>
      <w:pPr>
        <w:spacing w:line="350" w:lineRule="exact"/>
        <w:ind w:firstLine="420" w:firstLineChars="200"/>
        <w:rPr>
          <w:rFonts w:hint="eastAsia" w:ascii="宋体" w:hAnsi="宋体" w:cs="宋体"/>
          <w:color w:val="auto"/>
          <w:sz w:val="22"/>
          <w:szCs w:val="22"/>
          <w:highlight w:val="none"/>
        </w:rPr>
      </w:pPr>
      <w:r>
        <w:rPr>
          <w:rFonts w:hint="eastAsia" w:ascii="宋体" w:hAnsi="宋体"/>
          <w:color w:val="auto"/>
          <w:szCs w:val="21"/>
          <w:highlight w:val="none"/>
        </w:rPr>
        <w:t>合同履行期限：</w:t>
      </w:r>
      <w:r>
        <w:rPr>
          <w:rFonts w:hint="eastAsia" w:ascii="宋体" w:hAnsi="宋体" w:cs="宋体"/>
          <w:b/>
          <w:bCs/>
          <w:color w:val="auto"/>
          <w:sz w:val="22"/>
          <w:szCs w:val="22"/>
          <w:highlight w:val="none"/>
        </w:rPr>
        <w:t>（1）专题研究成果</w:t>
      </w:r>
      <w:r>
        <w:rPr>
          <w:rFonts w:hint="eastAsia" w:ascii="宋体" w:hAnsi="宋体" w:cs="宋体"/>
          <w:color w:val="auto"/>
          <w:sz w:val="22"/>
          <w:szCs w:val="22"/>
          <w:highlight w:val="none"/>
        </w:rPr>
        <w:t>：202</w:t>
      </w:r>
      <w:r>
        <w:rPr>
          <w:rFonts w:ascii="宋体" w:hAnsi="宋体" w:cs="宋体"/>
          <w:color w:val="auto"/>
          <w:sz w:val="22"/>
          <w:szCs w:val="22"/>
          <w:highlight w:val="none"/>
        </w:rPr>
        <w:t>1</w:t>
      </w:r>
      <w:r>
        <w:rPr>
          <w:rFonts w:hint="eastAsia" w:ascii="宋体" w:hAnsi="宋体" w:cs="宋体"/>
          <w:color w:val="auto"/>
          <w:sz w:val="22"/>
          <w:szCs w:val="22"/>
          <w:highlight w:val="none"/>
        </w:rPr>
        <w:t>年</w:t>
      </w:r>
      <w:r>
        <w:rPr>
          <w:rFonts w:ascii="宋体" w:hAnsi="宋体" w:cs="宋体"/>
          <w:color w:val="auto"/>
          <w:sz w:val="22"/>
          <w:szCs w:val="22"/>
          <w:highlight w:val="none"/>
        </w:rPr>
        <w:t>11</w:t>
      </w:r>
      <w:r>
        <w:rPr>
          <w:rFonts w:hint="eastAsia" w:ascii="宋体" w:hAnsi="宋体" w:cs="宋体"/>
          <w:color w:val="auto"/>
          <w:sz w:val="22"/>
          <w:szCs w:val="22"/>
          <w:highlight w:val="none"/>
        </w:rPr>
        <w:t>月3</w:t>
      </w:r>
      <w:r>
        <w:rPr>
          <w:rFonts w:ascii="宋体" w:hAnsi="宋体" w:cs="宋体"/>
          <w:color w:val="auto"/>
          <w:sz w:val="22"/>
          <w:szCs w:val="22"/>
          <w:highlight w:val="none"/>
        </w:rPr>
        <w:t>0</w:t>
      </w:r>
      <w:r>
        <w:rPr>
          <w:rFonts w:hint="eastAsia" w:ascii="宋体" w:hAnsi="宋体" w:cs="宋体"/>
          <w:color w:val="auto"/>
          <w:sz w:val="22"/>
          <w:szCs w:val="22"/>
          <w:highlight w:val="none"/>
        </w:rPr>
        <w:t>日前提交县级国土空间规划专题研究成果初稿，并按照自然资源部和自治区自然资源厅的时间要求上报</w:t>
      </w:r>
      <w:r>
        <w:rPr>
          <w:rFonts w:hint="eastAsia" w:ascii="宋体" w:hAnsi="宋体" w:cs="宋体"/>
          <w:color w:val="auto"/>
          <w:sz w:val="22"/>
          <w:szCs w:val="22"/>
          <w:highlight w:val="none"/>
        </w:rPr>
        <w:t>审查。</w:t>
      </w:r>
    </w:p>
    <w:p>
      <w:pPr>
        <w:spacing w:line="35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（2）县级国土空间总体规划成果：</w:t>
      </w:r>
      <w:r>
        <w:rPr>
          <w:rFonts w:hint="eastAsia" w:ascii="宋体" w:hAnsi="宋体" w:cs="宋体"/>
          <w:color w:val="auto"/>
          <w:sz w:val="22"/>
          <w:szCs w:val="22"/>
          <w:highlight w:val="none"/>
        </w:rPr>
        <w:t>202</w:t>
      </w:r>
      <w:r>
        <w:rPr>
          <w:rFonts w:ascii="宋体" w:hAnsi="宋体" w:cs="宋体"/>
          <w:color w:val="auto"/>
          <w:sz w:val="22"/>
          <w:szCs w:val="22"/>
          <w:highlight w:val="none"/>
        </w:rPr>
        <w:t>1</w:t>
      </w:r>
      <w:r>
        <w:rPr>
          <w:rFonts w:hint="eastAsia" w:ascii="宋体" w:hAnsi="宋体" w:cs="宋体"/>
          <w:color w:val="auto"/>
          <w:sz w:val="22"/>
          <w:szCs w:val="22"/>
          <w:highlight w:val="none"/>
        </w:rPr>
        <w:t>年</w:t>
      </w:r>
      <w:r>
        <w:rPr>
          <w:rFonts w:ascii="宋体" w:hAnsi="宋体" w:cs="宋体"/>
          <w:color w:val="auto"/>
          <w:sz w:val="22"/>
          <w:szCs w:val="22"/>
          <w:highlight w:val="none"/>
        </w:rPr>
        <w:t>12</w:t>
      </w:r>
      <w:r>
        <w:rPr>
          <w:rFonts w:hint="eastAsia" w:ascii="宋体" w:hAnsi="宋体" w:cs="宋体"/>
          <w:color w:val="auto"/>
          <w:sz w:val="22"/>
          <w:szCs w:val="22"/>
          <w:highlight w:val="none"/>
        </w:rPr>
        <w:t>月31日前提交县级规划成果，并按照自然资源部和自治区自然资源厅的时间要求完成上报审批工作。</w:t>
      </w:r>
    </w:p>
    <w:p>
      <w:pPr>
        <w:spacing w:line="35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（3）乡镇国土空间总体规划成果： </w:t>
      </w:r>
      <w:r>
        <w:rPr>
          <w:rFonts w:hint="eastAsia" w:ascii="宋体" w:hAnsi="宋体" w:cs="宋体"/>
          <w:color w:val="auto"/>
          <w:sz w:val="22"/>
          <w:szCs w:val="22"/>
          <w:highlight w:val="none"/>
        </w:rPr>
        <w:t>202</w:t>
      </w:r>
      <w:r>
        <w:rPr>
          <w:rFonts w:ascii="宋体" w:hAnsi="宋体" w:cs="宋体"/>
          <w:color w:val="auto"/>
          <w:sz w:val="22"/>
          <w:szCs w:val="22"/>
          <w:highlight w:val="none"/>
        </w:rPr>
        <w:t>2</w:t>
      </w:r>
      <w:r>
        <w:rPr>
          <w:rFonts w:hint="eastAsia" w:ascii="宋体" w:hAnsi="宋体" w:cs="宋体"/>
          <w:color w:val="auto"/>
          <w:sz w:val="22"/>
          <w:szCs w:val="22"/>
          <w:highlight w:val="none"/>
        </w:rPr>
        <w:t>年</w:t>
      </w:r>
      <w:r>
        <w:rPr>
          <w:rFonts w:ascii="宋体" w:hAnsi="宋体" w:cs="宋体"/>
          <w:color w:val="auto"/>
          <w:sz w:val="22"/>
          <w:szCs w:val="22"/>
          <w:highlight w:val="none"/>
        </w:rPr>
        <w:t>6</w:t>
      </w:r>
      <w:r>
        <w:rPr>
          <w:rFonts w:hint="eastAsia" w:ascii="宋体" w:hAnsi="宋体" w:cs="宋体"/>
          <w:color w:val="auto"/>
          <w:sz w:val="22"/>
          <w:szCs w:val="22"/>
          <w:highlight w:val="none"/>
        </w:rPr>
        <w:t>月30日前提交乡镇规划成果征求意见稿；并按照自然资源部和自治区自然资源厅的时间要求完成上报审批工作。</w:t>
      </w:r>
    </w:p>
    <w:p>
      <w:pPr>
        <w:spacing w:line="35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w:t>
      </w:r>
      <w:r>
        <w:rPr>
          <w:rFonts w:ascii="宋体" w:hAnsi="宋体" w:cs="宋体"/>
          <w:b/>
          <w:bCs/>
          <w:color w:val="auto"/>
          <w:sz w:val="22"/>
          <w:szCs w:val="22"/>
          <w:highlight w:val="none"/>
        </w:rPr>
        <w:t>4</w:t>
      </w:r>
      <w:r>
        <w:rPr>
          <w:rFonts w:hint="eastAsia" w:ascii="宋体" w:hAnsi="宋体" w:cs="宋体"/>
          <w:b/>
          <w:bCs/>
          <w:color w:val="auto"/>
          <w:sz w:val="22"/>
          <w:szCs w:val="22"/>
          <w:highlight w:val="none"/>
        </w:rPr>
        <w:t>）国家和自治区对成果提交时间另有安排的，从其规定</w:t>
      </w:r>
      <w:r>
        <w:rPr>
          <w:rFonts w:hint="eastAsia" w:ascii="宋体" w:hAnsi="宋体" w:cs="宋体"/>
          <w:color w:val="auto"/>
          <w:sz w:val="22"/>
          <w:szCs w:val="22"/>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本项目接受联合体投标。</w:t>
      </w:r>
    </w:p>
    <w:p>
      <w:pPr>
        <w:spacing w:line="360" w:lineRule="auto"/>
        <w:rPr>
          <w:rFonts w:ascii="黑体" w:hAnsi="黑体" w:eastAsia="黑体"/>
          <w:b/>
          <w:bCs/>
          <w:color w:val="auto"/>
          <w:sz w:val="24"/>
          <w:highlight w:val="none"/>
        </w:rPr>
      </w:pPr>
      <w:bookmarkStart w:id="15" w:name="_Toc35393791"/>
      <w:bookmarkStart w:id="16" w:name="_Toc28359003"/>
      <w:bookmarkStart w:id="17" w:name="_Toc28359080"/>
      <w:bookmarkStart w:id="18" w:name="_Toc35393622"/>
      <w:r>
        <w:rPr>
          <w:rFonts w:hint="eastAsia" w:ascii="黑体" w:hAnsi="黑体" w:eastAsia="黑体"/>
          <w:b/>
          <w:bCs/>
          <w:color w:val="auto"/>
          <w:sz w:val="24"/>
          <w:highlight w:val="none"/>
        </w:rPr>
        <w:t>二、申请人的资格要求：</w:t>
      </w:r>
      <w:bookmarkEnd w:id="15"/>
      <w:bookmarkEnd w:id="16"/>
      <w:bookmarkEnd w:id="17"/>
      <w:bookmarkEnd w:id="18"/>
    </w:p>
    <w:p>
      <w:pPr>
        <w:spacing w:line="360" w:lineRule="auto"/>
        <w:ind w:firstLine="420" w:firstLineChars="200"/>
        <w:rPr>
          <w:rFonts w:ascii="宋体" w:hAnsi="宋体"/>
          <w:color w:val="auto"/>
          <w:szCs w:val="21"/>
          <w:highlight w:val="none"/>
        </w:rPr>
      </w:pPr>
      <w:bookmarkStart w:id="19" w:name="_Hlk51746371"/>
      <w:bookmarkStart w:id="20" w:name="_Toc28359004"/>
      <w:bookmarkStart w:id="21" w:name="_Toc35393623"/>
      <w:bookmarkStart w:id="22" w:name="_Toc28359081"/>
      <w:bookmarkStart w:id="23" w:name="_Toc35393792"/>
      <w:r>
        <w:rPr>
          <w:rFonts w:hint="eastAsia" w:ascii="宋体" w:hAnsi="宋体"/>
          <w:color w:val="auto"/>
          <w:szCs w:val="21"/>
          <w:highlight w:val="none"/>
        </w:rPr>
        <w:t>1.满足《中华人民共和国政府采购法》第二十二条规定；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无</w:t>
      </w:r>
    </w:p>
    <w:p>
      <w:pPr>
        <w:spacing w:line="420" w:lineRule="exact"/>
        <w:ind w:firstLine="420" w:firstLineChars="200"/>
        <w:rPr>
          <w:rFonts w:hint="eastAsia" w:ascii="宋体" w:hAnsi="宋体" w:cs="宋体"/>
          <w:color w:val="auto"/>
          <w:sz w:val="22"/>
          <w:szCs w:val="22"/>
          <w:highlight w:val="none"/>
          <w:shd w:val="clear" w:color="auto" w:fill="FFFFFF"/>
        </w:rPr>
      </w:pPr>
      <w:r>
        <w:rPr>
          <w:rFonts w:hint="eastAsia" w:ascii="宋体" w:hAnsi="宋体"/>
          <w:color w:val="auto"/>
          <w:szCs w:val="21"/>
          <w:highlight w:val="none"/>
        </w:rPr>
        <w:t>3.本项目的特定资格要求：</w:t>
      </w:r>
      <w:r>
        <w:rPr>
          <w:rFonts w:hint="eastAsia" w:ascii="宋体" w:hAnsi="宋体" w:cs="宋体"/>
          <w:color w:val="auto"/>
          <w:sz w:val="22"/>
          <w:szCs w:val="22"/>
          <w:highlight w:val="none"/>
          <w:shd w:val="clear" w:color="auto" w:fill="FFFFFF"/>
        </w:rPr>
        <w:t>（1）国内注册（指按国家有关规定要求注册的），具有独立法人资格，投标人具有土地规划机构乙级及以上资质或城乡规划编制乙级及以上资质（根据《自然资源部办公厅关于国土空间规划编制资质有关问题的函》（自然资办函[2019]2375号）、中国土地学会《关于停止土地规划甲级机构名录推荐评审工作的公告》等相关部门发布的文件，由于国家政策变动的原因，出现了具有城乡规划编制资质或土地规划资质的投标人的规划资质证书过期而在政策过渡期间不能办理延续的情况。因此本次投标允许具有城乡规划编制资质或土地规划资质到期的投标人使用过期的资质证书参加竞标。）并在人员、设备、资金等方面具有相应履约能力的供应商。</w:t>
      </w:r>
    </w:p>
    <w:p>
      <w:pPr>
        <w:spacing w:line="42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（2）单位负责人为同一人或者存在直接控股、管理关系的不同供应商，不得参加同一合同项下的政府采购活动。</w:t>
      </w:r>
    </w:p>
    <w:p>
      <w:pPr>
        <w:spacing w:line="420" w:lineRule="exact"/>
        <w:ind w:firstLine="440" w:firstLineChars="200"/>
        <w:rPr>
          <w:rFonts w:hint="eastAsia" w:ascii="宋体" w:hAnsi="宋体" w:eastAsia="宋体"/>
          <w:color w:val="auto"/>
          <w:szCs w:val="21"/>
          <w:highlight w:val="none"/>
          <w:u w:val="single"/>
          <w:lang w:val="en-US" w:eastAsia="zh-CN"/>
        </w:rPr>
      </w:pPr>
      <w:r>
        <w:rPr>
          <w:rFonts w:hint="eastAsia" w:ascii="宋体" w:hAnsi="宋体" w:cs="宋体"/>
          <w:color w:val="auto"/>
          <w:sz w:val="22"/>
          <w:szCs w:val="22"/>
          <w:highlight w:val="none"/>
          <w:shd w:val="clear" w:color="auto" w:fill="FFFFFF"/>
        </w:rPr>
        <w:t>（3）本项目接受联合体投标（联合体数量不超过两家）</w:t>
      </w:r>
      <w:r>
        <w:rPr>
          <w:rFonts w:hint="eastAsia" w:ascii="宋体" w:hAnsi="宋体" w:cs="宋体"/>
          <w:color w:val="auto"/>
          <w:sz w:val="22"/>
          <w:szCs w:val="22"/>
          <w:highlight w:val="none"/>
          <w:shd w:val="clear" w:color="auto" w:fill="FFFFFF"/>
          <w:lang w:eastAsia="zh-CN"/>
        </w:rPr>
        <w:t>。</w:t>
      </w:r>
    </w:p>
    <w:bookmarkEnd w:id="19"/>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0"/>
      <w:bookmarkEnd w:id="21"/>
      <w:bookmarkEnd w:id="22"/>
      <w:bookmarkEnd w:id="23"/>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rPr>
        <w:t>2021年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31</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2021年</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8：00至12：00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下午15：00至18：00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地点：政府采购云平台（www.zcygov.cn）</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方式：供应商登录政采云平台https://www.zcygov.cn/在线申请获取采购文件（进入“项目采购”应用，在获取采购文件菜单中选择项目，申请获取采购文件）</w:t>
      </w:r>
    </w:p>
    <w:p>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rPr>
        <w:t>0元</w:t>
      </w:r>
    </w:p>
    <w:p>
      <w:pPr>
        <w:spacing w:line="360" w:lineRule="auto"/>
        <w:rPr>
          <w:rFonts w:ascii="黑体" w:hAnsi="黑体" w:eastAsia="黑体"/>
          <w:b/>
          <w:bCs/>
          <w:color w:val="auto"/>
          <w:sz w:val="24"/>
          <w:highlight w:val="none"/>
        </w:rPr>
      </w:pPr>
      <w:bookmarkStart w:id="24" w:name="_Toc28359005"/>
      <w:bookmarkStart w:id="25" w:name="_Toc28359082"/>
      <w:bookmarkStart w:id="26" w:name="_Toc35393624"/>
      <w:bookmarkStart w:id="27" w:name="_Toc35393793"/>
      <w:r>
        <w:rPr>
          <w:rFonts w:hint="eastAsia" w:ascii="黑体" w:hAnsi="黑体" w:eastAsia="黑体"/>
          <w:b/>
          <w:bCs/>
          <w:color w:val="auto"/>
          <w:sz w:val="24"/>
          <w:highlight w:val="none"/>
        </w:rPr>
        <w:t>四、提交投标文件</w:t>
      </w:r>
      <w:bookmarkEnd w:id="24"/>
      <w:bookmarkEnd w:id="25"/>
      <w:r>
        <w:rPr>
          <w:rFonts w:hint="eastAsia" w:ascii="黑体" w:hAnsi="黑体" w:eastAsia="黑体"/>
          <w:b/>
          <w:bCs/>
          <w:color w:val="auto"/>
          <w:sz w:val="24"/>
          <w:highlight w:val="none"/>
        </w:rPr>
        <w:t>截止时间、开标时间和地点</w:t>
      </w:r>
      <w:bookmarkEnd w:id="26"/>
      <w:bookmarkEnd w:id="27"/>
    </w:p>
    <w:p>
      <w:pPr>
        <w:spacing w:line="360" w:lineRule="auto"/>
        <w:ind w:firstLine="420" w:firstLineChars="200"/>
        <w:rPr>
          <w:rFonts w:hint="eastAsia" w:ascii="宋体" w:hAnsi="宋体"/>
          <w:bCs/>
          <w:color w:val="auto"/>
          <w:szCs w:val="21"/>
          <w:highlight w:val="none"/>
          <w:u w:val="single"/>
        </w:rPr>
      </w:pPr>
      <w:bookmarkStart w:id="28" w:name="_Toc35393794"/>
      <w:bookmarkStart w:id="29" w:name="_Toc35393625"/>
      <w:bookmarkStart w:id="30" w:name="_Toc28359084"/>
      <w:bookmarkStart w:id="31" w:name="_Toc28359007"/>
      <w:r>
        <w:rPr>
          <w:rFonts w:hint="eastAsia" w:ascii="宋体" w:hAnsi="宋体"/>
          <w:bCs/>
          <w:color w:val="auto"/>
          <w:szCs w:val="21"/>
          <w:highlight w:val="none"/>
          <w:u w:val="single"/>
        </w:rPr>
        <w:t>提交投标文件截止时间：2021年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24</w:t>
      </w:r>
      <w:r>
        <w:rPr>
          <w:rFonts w:hint="eastAsia" w:ascii="宋体" w:hAnsi="宋体"/>
          <w:bCs/>
          <w:color w:val="auto"/>
          <w:szCs w:val="21"/>
          <w:highlight w:val="none"/>
          <w:u w:val="single"/>
        </w:rPr>
        <w:t>日09点30 分（北京时间）</w:t>
      </w:r>
    </w:p>
    <w:p>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投标地点（网址）：政府采购云平台（https://www.zcygov.cn）在线投标</w:t>
      </w:r>
    </w:p>
    <w:p>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开标时间：2021年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24</w:t>
      </w:r>
      <w:r>
        <w:rPr>
          <w:rFonts w:hint="eastAsia" w:ascii="宋体" w:hAnsi="宋体"/>
          <w:bCs/>
          <w:color w:val="auto"/>
          <w:szCs w:val="21"/>
          <w:highlight w:val="none"/>
          <w:u w:val="single"/>
        </w:rPr>
        <w:t>日09:30</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u w:val="single"/>
        </w:rPr>
        <w:t>开标地点：通过政府采购云平台（https://www.zcygov.cn）在线解密开启投标文件。</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32" w:name="_Toc35393626"/>
      <w:bookmarkStart w:id="33" w:name="_Toc35393795"/>
      <w:r>
        <w:rPr>
          <w:rFonts w:hint="eastAsia" w:ascii="黑体" w:hAnsi="黑体" w:eastAsia="黑体"/>
          <w:b/>
          <w:bCs/>
          <w:color w:val="auto"/>
          <w:sz w:val="24"/>
          <w:highlight w:val="none"/>
        </w:rPr>
        <w:t>六、其他补充事宜</w:t>
      </w:r>
      <w:bookmarkEnd w:id="32"/>
      <w:bookmarkEnd w:id="33"/>
    </w:p>
    <w:p>
      <w:pPr>
        <w:spacing w:line="360" w:lineRule="auto"/>
        <w:ind w:firstLine="420" w:firstLineChars="200"/>
        <w:rPr>
          <w:rFonts w:hint="eastAsia" w:ascii="宋体" w:hAnsi="宋体" w:cs="宋体"/>
          <w:color w:val="auto"/>
          <w:kern w:val="0"/>
          <w:szCs w:val="21"/>
          <w:highlight w:val="none"/>
        </w:rPr>
      </w:pPr>
      <w:bookmarkStart w:id="34" w:name="_Hlk37429585"/>
      <w:bookmarkStart w:id="35" w:name="_Hlk37429595"/>
      <w:bookmarkStart w:id="36" w:name="_Toc35393627"/>
      <w:bookmarkStart w:id="37" w:name="_Toc35393796"/>
      <w:bookmarkStart w:id="38" w:name="_Toc28359085"/>
      <w:bookmarkStart w:id="39" w:name="_Toc28359008"/>
      <w:r>
        <w:rPr>
          <w:rFonts w:hint="eastAsia" w:ascii="宋体" w:hAnsi="宋体" w:cs="宋体"/>
          <w:color w:val="auto"/>
          <w:kern w:val="0"/>
          <w:szCs w:val="21"/>
          <w:highlight w:val="none"/>
        </w:rPr>
        <w:t>1.网上查询地址</w:t>
      </w:r>
    </w:p>
    <w:bookmarkEnd w:id="34"/>
    <w:bookmarkEnd w:id="35"/>
    <w:p>
      <w:pPr>
        <w:spacing w:line="360" w:lineRule="auto"/>
        <w:ind w:firstLine="424" w:firstLineChars="202"/>
        <w:rPr>
          <w:rFonts w:hint="eastAsia" w:ascii="宋体" w:hAnsi="宋体" w:eastAsia="宋体" w:cs="宋体"/>
          <w:color w:val="auto"/>
          <w:kern w:val="0"/>
          <w:szCs w:val="21"/>
          <w:highlight w:val="none"/>
          <w:lang w:eastAsia="zh-CN"/>
        </w:rPr>
      </w:pPr>
      <w:bookmarkStart w:id="40" w:name="_Hlk37429674"/>
      <w:r>
        <w:rPr>
          <w:rFonts w:hint="eastAsia" w:ascii="宋体" w:hAnsi="宋体" w:cs="宋体"/>
          <w:color w:val="auto"/>
          <w:kern w:val="0"/>
          <w:szCs w:val="21"/>
          <w:highlight w:val="none"/>
        </w:rPr>
        <w:t>www.ccgp.gov.cn（中国政府采购网）、http://www.ccgp-guangxi.gov.cn/（广西壮族自治区政府采购网）、http://117.141.250.58:10030/web/cgw/index.ptl（梧州市政府采购网）、http://www.wzggzy.cn/gxwzzbw/（梧州市公共资源交易中心</w:t>
      </w:r>
      <w:r>
        <w:rPr>
          <w:rFonts w:hint="eastAsia" w:ascii="宋体" w:hAnsi="宋体" w:cs="宋体"/>
          <w:color w:val="auto"/>
          <w:kern w:val="0"/>
          <w:szCs w:val="21"/>
          <w:highlight w:val="none"/>
          <w:u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b w:val="0"/>
          <w:bCs w:val="0"/>
          <w:color w:val="auto"/>
          <w:kern w:val="0"/>
          <w:sz w:val="21"/>
          <w:szCs w:val="21"/>
          <w:highlight w:val="none"/>
          <w:lang w:val="en-US" w:eastAsia="zh-CN" w:bidi="ar-SA"/>
        </w:rPr>
        <w:t>广西梧州苍梧县</w:t>
      </w:r>
      <w:r>
        <w:rPr>
          <w:rFonts w:hint="eastAsia" w:ascii="宋体" w:hAnsi="宋体" w:eastAsia="宋体" w:cs="宋体"/>
          <w:color w:val="auto"/>
          <w:kern w:val="0"/>
          <w:szCs w:val="21"/>
          <w:highlight w:val="none"/>
        </w:rPr>
        <w:t>政府采购网</w:t>
      </w:r>
      <w:r>
        <w:rPr>
          <w:rFonts w:hint="eastAsia" w:ascii="宋体" w:hAnsi="宋体" w:eastAsia="宋体" w:cs="宋体"/>
          <w:color w:val="auto"/>
          <w:kern w:val="0"/>
          <w:szCs w:val="21"/>
          <w:highlight w:val="none"/>
          <w:lang w:eastAsia="zh-CN"/>
        </w:rPr>
        <w:t>。</w:t>
      </w:r>
    </w:p>
    <w:p>
      <w:pPr>
        <w:spacing w:line="360" w:lineRule="auto"/>
        <w:ind w:firstLine="424" w:firstLineChars="202"/>
        <w:rPr>
          <w:rFonts w:hint="eastAsia"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（6）政府采购扶持不发达地区和少数民族地区政策。</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bCs/>
          <w:color w:val="auto"/>
          <w:kern w:val="0"/>
          <w:szCs w:val="21"/>
          <w:highlight w:val="none"/>
        </w:rPr>
        <w:t>3.在</w:t>
      </w:r>
      <w:r>
        <w:rPr>
          <w:rFonts w:hint="eastAsia" w:ascii="宋体" w:hAnsi="宋体" w:cs="宋体"/>
          <w:b/>
          <w:color w:val="auto"/>
          <w:kern w:val="0"/>
          <w:szCs w:val="21"/>
          <w:highlight w:val="none"/>
        </w:rPr>
        <w:t>线投标响应（电子投标）说明</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1）本项目为梧州市本级全流程电子化试点项目，通过政采云平台实行在线投标响应（电子投标），供应商需要先安装“政采云电子交易客户端”，并按照本招标文件和政采云平台的要求，通过“政采云电子交易客户端”编制并加密投标文件。供应商未按规定编制并加密的投标文件，政采云平台将予以拒收。</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政采云电子交易客户端”请自行前往广西政府采购网下载并安装（http://zfcg.gxzf.gov.cn/OfficeService/DownloadArea/2455918.html?utm=sites_group_front.b8b6c91.0.0.c51f9820a48111eabb9bcbdf01af125e）；电子投标具体操作流程登录政府采购云平台→服务中心→帮助文档→参考《政府采购项目电子交易管理操作指南-供应商》；通过政采云平台参与在线投标时如遇平台技术问题详询400-881-7190。</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CA证书申请及操作流程详见公开招标公告附件处下载查阅；</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3）供应商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4）电子投标文件提交的同时，需要一并提交以介质（U盘）存储的线下纸质版投标文件（正本，以PDF为格式）扫描件的电子备份投标文件，电子备份投标文件应当在投标文件递交截止时间前按要求密封并送达梧州市长洲区新兴二路125号梧州日报社8楼中经国际招标集团有限公司，逾期送达或未按要求密封将被拒收。电子备份投标文件应当密封包装并在包装上注明投标人名称、投标人地址、投标文件名称（电子备份投标文件）、投标项目名称、项目编号、并加盖投标人公章，并注明“开标时才能启封”。</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邮寄地址：梧州市长洲区新兴二路125号梧州日报社8楼中经国际招标集团有限公司</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联系人：梁小姐，电话：0774-3819193。</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本项目拒收到付邮件，通过邮寄方式送达的，请合理安排邮寄时间，因邮寄原因未能在规定时间内送达的后果由供应商自行承担。</w:t>
      </w:r>
    </w:p>
    <w:p>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5）通过“政府采购云平台”上传递交的“电子加密投标文件”无法按时解密，供应商递交了电子备份投标文件的，以电子备份投标文件为依据，否则视为投标文件撤回。通过政采云平台上传递交的电子加密投标文件已按时解密的，电子备份投标文件自动失效。供应商仅递交电子备份投标文件的，投标无效。</w:t>
      </w:r>
    </w:p>
    <w:bookmarkEnd w:id="40"/>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6"/>
      <w:bookmarkEnd w:id="37"/>
      <w:bookmarkEnd w:id="38"/>
      <w:bookmarkEnd w:id="39"/>
    </w:p>
    <w:p>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1.采购人信息</w:t>
      </w:r>
    </w:p>
    <w:p>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苍梧县自然资源局</w:t>
      </w:r>
    </w:p>
    <w:p>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苍梧县新县城第三办公区公租房6栋一楼</w:t>
      </w:r>
    </w:p>
    <w:p>
      <w:pPr>
        <w:spacing w:line="360" w:lineRule="auto"/>
        <w:ind w:firstLine="424" w:firstLineChars="202"/>
        <w:jc w:val="left"/>
        <w:rPr>
          <w:rFonts w:hint="eastAsia" w:ascii="宋体" w:hAnsi="宋体" w:eastAsia="宋体" w:cs="Times New Roman"/>
          <w:color w:val="auto"/>
          <w:szCs w:val="21"/>
          <w:highlight w:val="none"/>
          <w:u w:val="single"/>
        </w:rPr>
      </w:pPr>
      <w:r>
        <w:rPr>
          <w:rFonts w:hint="eastAsia" w:ascii="宋体" w:hAnsi="宋体"/>
          <w:color w:val="auto"/>
          <w:szCs w:val="21"/>
          <w:highlight w:val="none"/>
        </w:rPr>
        <w:t>联系方式</w:t>
      </w:r>
      <w:bookmarkStart w:id="41" w:name="_Toc28359086"/>
      <w:bookmarkStart w:id="42" w:name="_Toc28359009"/>
      <w:r>
        <w:rPr>
          <w:rFonts w:hint="eastAsia" w:ascii="宋体" w:hAnsi="宋体"/>
          <w:color w:val="auto"/>
          <w:szCs w:val="21"/>
          <w:highlight w:val="none"/>
        </w:rPr>
        <w:t>：0774-</w:t>
      </w:r>
      <w:r>
        <w:rPr>
          <w:rFonts w:hint="eastAsia" w:ascii="宋体" w:hAnsi="宋体" w:eastAsia="宋体" w:cs="Times New Roman"/>
          <w:color w:val="auto"/>
          <w:szCs w:val="21"/>
          <w:highlight w:val="none"/>
          <w:u w:val="single"/>
        </w:rPr>
        <w:t>26</w:t>
      </w:r>
      <w:r>
        <w:rPr>
          <w:rFonts w:hint="eastAsia" w:ascii="宋体" w:hAnsi="宋体" w:cs="Times New Roman"/>
          <w:color w:val="auto"/>
          <w:szCs w:val="21"/>
          <w:highlight w:val="none"/>
          <w:u w:val="single"/>
          <w:lang w:val="en-US" w:eastAsia="zh-CN"/>
        </w:rPr>
        <w:t>8</w:t>
      </w:r>
      <w:r>
        <w:rPr>
          <w:rFonts w:hint="eastAsia" w:ascii="宋体" w:hAnsi="宋体" w:eastAsia="宋体" w:cs="Times New Roman"/>
          <w:color w:val="auto"/>
          <w:szCs w:val="21"/>
          <w:highlight w:val="none"/>
          <w:u w:val="single"/>
          <w:lang w:val="en-US" w:eastAsia="zh-CN"/>
        </w:rPr>
        <w:t>1068</w:t>
      </w:r>
      <w:r>
        <w:rPr>
          <w:rFonts w:hint="eastAsia" w:ascii="宋体" w:hAnsi="宋体" w:eastAsia="宋体" w:cs="Times New Roman"/>
          <w:color w:val="auto"/>
          <w:szCs w:val="21"/>
          <w:highlight w:val="none"/>
          <w:u w:val="single"/>
        </w:rPr>
        <w:t> </w:t>
      </w:r>
    </w:p>
    <w:p>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41"/>
      <w:bookmarkEnd w:id="42"/>
    </w:p>
    <w:p>
      <w:pPr>
        <w:spacing w:line="360" w:lineRule="auto"/>
        <w:ind w:firstLine="424" w:firstLineChars="202"/>
        <w:rPr>
          <w:rFonts w:hint="eastAsia" w:ascii="宋体" w:hAnsi="宋体"/>
          <w:color w:val="auto"/>
          <w:szCs w:val="21"/>
          <w:highlight w:val="none"/>
        </w:rPr>
      </w:pPr>
      <w:bookmarkStart w:id="43" w:name="_Toc28359010"/>
      <w:bookmarkStart w:id="44" w:name="_Toc28359087"/>
      <w:r>
        <w:rPr>
          <w:rFonts w:hint="eastAsia" w:ascii="宋体" w:hAnsi="宋体"/>
          <w:color w:val="auto"/>
          <w:szCs w:val="21"/>
          <w:highlight w:val="none"/>
        </w:rPr>
        <w:t>名称：中经国际招标集团有限公司</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地址：梧州市长洲区新兴二路125号梧州日报社8楼</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 xml:space="preserve">联系方式：梁小姐  0774-3819193 </w:t>
      </w:r>
    </w:p>
    <w:p>
      <w:pPr>
        <w:spacing w:line="360" w:lineRule="auto"/>
        <w:ind w:firstLine="424" w:firstLineChars="202"/>
        <w:rPr>
          <w:rFonts w:ascii="宋体" w:hAnsi="宋体"/>
          <w:color w:val="auto"/>
          <w:szCs w:val="21"/>
          <w:highlight w:val="none"/>
          <w:u w:val="singl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43"/>
      <w:bookmarkEnd w:id="44"/>
    </w:p>
    <w:p>
      <w:pPr>
        <w:pStyle w:val="13"/>
        <w:spacing w:line="360" w:lineRule="auto"/>
        <w:ind w:firstLine="424" w:firstLineChars="202"/>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u w:val="single"/>
        </w:rPr>
        <w:t>梁小姐</w:t>
      </w:r>
    </w:p>
    <w:p>
      <w:pPr>
        <w:spacing w:line="360" w:lineRule="auto"/>
        <w:ind w:firstLine="424" w:firstLineChars="202"/>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0774-3819193</w:t>
      </w:r>
    </w:p>
    <w:p>
      <w:pPr>
        <w:spacing w:line="360" w:lineRule="auto"/>
        <w:rPr>
          <w:rFonts w:ascii="宋体" w:hAnsi="宋体"/>
          <w:color w:val="auto"/>
          <w:szCs w:val="21"/>
          <w:highlight w:val="none"/>
        </w:rPr>
      </w:pPr>
    </w:p>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ascii="仿宋_GB2312" w:hAnsi="宋体" w:eastAsia="仿宋_GB2312"/>
          <w:color w:val="auto"/>
          <w:sz w:val="24"/>
          <w:szCs w:val="20"/>
          <w:highlight w:val="none"/>
        </w:rPr>
        <w:br w:type="page"/>
      </w:r>
      <w:bookmarkStart w:id="45" w:name="_Toc74323512"/>
      <w:r>
        <w:rPr>
          <w:rFonts w:hint="eastAsia"/>
          <w:color w:val="auto"/>
          <w:highlight w:val="none"/>
        </w:rPr>
        <w:t>第二章  采购需求</w:t>
      </w:r>
      <w:bookmarkEnd w:id="45"/>
    </w:p>
    <w:p>
      <w:pPr>
        <w:spacing w:line="360" w:lineRule="auto"/>
        <w:jc w:val="left"/>
        <w:rPr>
          <w:rFonts w:hint="eastAsia" w:ascii="宋体" w:hAnsi="宋体" w:cs="宋体"/>
          <w:color w:val="auto"/>
          <w:szCs w:val="21"/>
          <w:highlight w:val="none"/>
        </w:rPr>
      </w:pPr>
      <w:bookmarkStart w:id="46" w:name="_Toc254970631"/>
      <w:bookmarkStart w:id="47" w:name="_Toc254970490"/>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jc w:val="left"/>
        <w:rPr>
          <w:rFonts w:hint="eastAsia"/>
          <w:color w:val="auto"/>
          <w:highlight w:val="none"/>
        </w:rPr>
      </w:pPr>
      <w:r>
        <w:rPr>
          <w:rFonts w:hint="eastAsia"/>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w:t>
      </w:r>
      <w:r>
        <w:rPr>
          <w:rFonts w:hint="eastAsia" w:ascii="宋体" w:hAnsi="宋体" w:cs="宋体"/>
          <w:b/>
          <w:color w:val="auto"/>
          <w:szCs w:val="21"/>
          <w:highlight w:val="none"/>
        </w:rPr>
        <w:t>否则投标无效</w:t>
      </w:r>
      <w:r>
        <w:rPr>
          <w:rFonts w:hint="eastAsia" w:ascii="宋体" w:hAnsi="宋体" w:cs="宋体"/>
          <w:color w:val="auto"/>
          <w:szCs w:val="21"/>
          <w:highlight w:val="none"/>
        </w:rPr>
        <w:t>。如本项目包含的货物属于品目清单内非标注“★”的产品时，应优先采购，具体详见“第四章 评标方法和评标标准”。</w:t>
      </w:r>
    </w:p>
    <w:p>
      <w:pPr>
        <w:spacing w:line="360" w:lineRule="auto"/>
        <w:ind w:firstLine="424" w:firstLineChars="202"/>
        <w:jc w:val="left"/>
        <w:rPr>
          <w:rFonts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授予的有效的信息安全产品认证证书（加盖投标人公章），否则投标无效。</w:t>
      </w:r>
      <w:bookmarkStart w:id="162" w:name="_GoBack"/>
      <w:bookmarkEnd w:id="162"/>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2.“实质性要求”是指招标文件中已经指明不满足则投标无效的条款，或者不能负偏离的条款，或者采购需求中带“▲”的条款，本项目所有服务需求均为实质性要求。</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bookmarkStart w:id="48" w:name="_Hlk54774389"/>
      <w:r>
        <w:rPr>
          <w:rFonts w:hint="eastAsia" w:ascii="宋体" w:hAnsi="宋体" w:cs="宋体"/>
          <w:color w:val="auto"/>
          <w:szCs w:val="21"/>
          <w:highlight w:val="none"/>
        </w:rPr>
        <w:t>服务项目中伴随货物的，</w:t>
      </w:r>
      <w:bookmarkEnd w:id="48"/>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308" w:firstLineChars="147"/>
        <w:jc w:val="left"/>
        <w:rPr>
          <w:rFonts w:hint="eastAsia"/>
          <w:color w:val="auto"/>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color w:val="auto"/>
          <w:highlight w:val="none"/>
        </w:rPr>
        <w:t>投标人</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p>
    <w:p>
      <w:pPr>
        <w:spacing w:line="360" w:lineRule="auto"/>
        <w:ind w:firstLine="308" w:firstLineChars="147"/>
        <w:jc w:val="left"/>
        <w:rPr>
          <w:rFonts w:hint="eastAsia"/>
          <w:color w:val="auto"/>
          <w:highlight w:val="none"/>
        </w:rPr>
      </w:pPr>
    </w:p>
    <w:tbl>
      <w:tblPr>
        <w:tblStyle w:val="20"/>
        <w:tblW w:w="89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
        <w:gridCol w:w="1526"/>
        <w:gridCol w:w="699"/>
        <w:gridCol w:w="6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b/>
                <w:color w:val="auto"/>
                <w:szCs w:val="21"/>
                <w:highlight w:val="none"/>
              </w:rPr>
            </w:pPr>
            <w:r>
              <w:rPr>
                <w:rFonts w:hint="eastAsia"/>
                <w:b/>
                <w:color w:val="auto"/>
                <w:szCs w:val="21"/>
                <w:highlight w:val="none"/>
              </w:rPr>
              <w:t>项号</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color w:val="auto"/>
                <w:szCs w:val="21"/>
                <w:highlight w:val="none"/>
              </w:rPr>
            </w:pPr>
            <w:r>
              <w:rPr>
                <w:rFonts w:hint="eastAsia"/>
                <w:b/>
                <w:color w:val="auto"/>
                <w:szCs w:val="21"/>
                <w:highlight w:val="none"/>
              </w:rPr>
              <w:t>服务名称</w:t>
            </w:r>
          </w:p>
        </w:tc>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color w:val="auto"/>
                <w:szCs w:val="21"/>
                <w:highlight w:val="none"/>
              </w:rPr>
            </w:pPr>
            <w:r>
              <w:rPr>
                <w:rFonts w:hint="eastAsia"/>
                <w:b/>
                <w:color w:val="auto"/>
                <w:szCs w:val="21"/>
                <w:highlight w:val="none"/>
              </w:rPr>
              <w:t>数量</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color w:val="auto"/>
                <w:szCs w:val="21"/>
                <w:highlight w:val="none"/>
              </w:rPr>
            </w:pPr>
            <w:r>
              <w:rPr>
                <w:rFonts w:hint="eastAsia"/>
                <w:b/>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00" w:lineRule="exact"/>
              <w:jc w:val="center"/>
              <w:rPr>
                <w:color w:val="auto"/>
                <w:szCs w:val="21"/>
                <w:highlight w:val="none"/>
              </w:rPr>
            </w:pPr>
            <w:r>
              <w:rPr>
                <w:rFonts w:hint="eastAsia"/>
                <w:color w:val="auto"/>
                <w:spacing w:val="-5"/>
                <w:szCs w:val="21"/>
                <w:highlight w:val="none"/>
              </w:rPr>
              <w:t>1</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rPr>
                <w:rFonts w:hAnsi="宋体"/>
                <w:color w:val="auto"/>
                <w:highlight w:val="none"/>
              </w:rPr>
            </w:pPr>
          </w:p>
          <w:p>
            <w:pPr>
              <w:pStyle w:val="13"/>
              <w:spacing w:line="400" w:lineRule="exact"/>
              <w:rPr>
                <w:rFonts w:hAnsi="宋体"/>
                <w:color w:val="auto"/>
                <w:highlight w:val="none"/>
              </w:rPr>
            </w:pPr>
          </w:p>
          <w:p>
            <w:pPr>
              <w:pStyle w:val="13"/>
              <w:spacing w:line="400" w:lineRule="exact"/>
              <w:rPr>
                <w:rFonts w:hAnsi="宋体"/>
                <w:color w:val="auto"/>
                <w:highlight w:val="none"/>
              </w:rPr>
            </w:pPr>
          </w:p>
          <w:p>
            <w:pPr>
              <w:pStyle w:val="13"/>
              <w:spacing w:line="400" w:lineRule="exact"/>
              <w:rPr>
                <w:rFonts w:hAnsi="宋体"/>
                <w:color w:val="auto"/>
                <w:highlight w:val="none"/>
              </w:rPr>
            </w:pPr>
          </w:p>
          <w:p>
            <w:pPr>
              <w:pStyle w:val="13"/>
              <w:spacing w:line="400" w:lineRule="exact"/>
              <w:rPr>
                <w:rFonts w:hAnsi="宋体"/>
                <w:color w:val="auto"/>
                <w:highlight w:val="none"/>
              </w:rPr>
            </w:pPr>
          </w:p>
          <w:p>
            <w:pPr>
              <w:pStyle w:val="13"/>
              <w:spacing w:line="400" w:lineRule="exact"/>
              <w:rPr>
                <w:rFonts w:hAnsi="宋体"/>
                <w:color w:val="auto"/>
                <w:highlight w:val="none"/>
              </w:rPr>
            </w:pPr>
          </w:p>
          <w:p>
            <w:pPr>
              <w:pStyle w:val="13"/>
              <w:spacing w:line="400" w:lineRule="exact"/>
              <w:rPr>
                <w:rFonts w:hAnsi="宋体"/>
                <w:color w:val="auto"/>
                <w:highlight w:val="none"/>
              </w:rPr>
            </w:pPr>
          </w:p>
          <w:p>
            <w:pPr>
              <w:pStyle w:val="13"/>
              <w:spacing w:line="400" w:lineRule="exact"/>
              <w:rPr>
                <w:rFonts w:hAnsi="宋体"/>
                <w:color w:val="auto"/>
                <w:highlight w:val="none"/>
              </w:rPr>
            </w:pPr>
          </w:p>
          <w:p>
            <w:pPr>
              <w:pStyle w:val="13"/>
              <w:spacing w:line="400" w:lineRule="exact"/>
              <w:rPr>
                <w:rFonts w:hint="eastAsia" w:hAnsi="宋体" w:cs="宋体"/>
                <w:iCs/>
                <w:color w:val="auto"/>
                <w:highlight w:val="none"/>
              </w:rPr>
            </w:pPr>
            <w:r>
              <w:rPr>
                <w:rFonts w:hint="eastAsia" w:hAnsi="宋体"/>
                <w:color w:val="auto"/>
                <w:highlight w:val="none"/>
              </w:rPr>
              <w:t>苍梧县国土空间规划编制工作</w:t>
            </w:r>
          </w:p>
        </w:tc>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auto"/>
                <w:szCs w:val="21"/>
                <w:highlight w:val="none"/>
              </w:rPr>
            </w:pPr>
            <w:r>
              <w:rPr>
                <w:rFonts w:hint="eastAsia"/>
                <w:color w:val="auto"/>
                <w:szCs w:val="21"/>
                <w:highlight w:val="none"/>
              </w:rPr>
              <w:t>1项</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widowControl/>
              <w:spacing w:line="350" w:lineRule="exac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服务内容：苍梧县国土空间总体规划（202</w:t>
            </w:r>
            <w:r>
              <w:rPr>
                <w:rFonts w:ascii="宋体" w:hAnsi="宋体" w:cs="宋体"/>
                <w:b/>
                <w:bCs/>
                <w:color w:val="auto"/>
                <w:sz w:val="22"/>
                <w:szCs w:val="22"/>
                <w:highlight w:val="none"/>
              </w:rPr>
              <w:t>1</w:t>
            </w:r>
            <w:r>
              <w:rPr>
                <w:rFonts w:hint="eastAsia" w:ascii="宋体" w:hAnsi="宋体" w:cs="宋体"/>
                <w:b/>
                <w:bCs/>
                <w:color w:val="auto"/>
                <w:sz w:val="22"/>
                <w:szCs w:val="22"/>
                <w:highlight w:val="none"/>
              </w:rPr>
              <w:t>-2035年）编制</w:t>
            </w:r>
          </w:p>
          <w:p>
            <w:pPr>
              <w:widowControl/>
              <w:spacing w:before="120" w:beforeLines="50" w:line="350" w:lineRule="exac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一、项目背景</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我国现行存在主体功能区规划、国土规划、土地利用总体规划、城乡规划等多个空间性规划，各个规划在特定历史条件和发展时期均发挥了积极作用，但这些规划的理念和方法脱胎于工业文明，难以适应生态文明的需要，且规划之间缺乏协同，技术标准不一、内容交叉、空间重叠甚至相互冲突，导致规划审批效率不高。为贯彻以习近平同志为核心的党中央生态文明建设思想，解决长期以来规划领域存在的突出问题，实现“一张蓝图干到底”，2018年3月国家实施机构改革成立了自然资源部，由自然资源部建立国土空间规划体系并监督实施。2019年1月，中央全面深化改革委员会第六次会议审议通过了《关于建立国土空间规划体系并监督实施的若干意见》，提出编制五级三类国土空间规划并监督实施，明确将主体功能区规划、土地利用规划、城乡规划等空间规划融合为统一的国土空间总体规划，实现“多规合一”，形成国土空间开发保护“一张图”。2019年2月中旬，广西自治区自然资源厅也印发了《关于贯彻落实全国自然资源工作会议精神开展国土空间规划编制前期工作的通知》（桂自然资发〔2019〕8号），对国土空间总体规划的编制工作进行了部署。</w:t>
            </w:r>
          </w:p>
          <w:p>
            <w:pPr>
              <w:pStyle w:val="25"/>
              <w:spacing w:line="350" w:lineRule="exact"/>
              <w:ind w:firstLine="420"/>
              <w:jc w:val="left"/>
              <w:rPr>
                <w:rFonts w:hint="eastAsia" w:hAnsi="宋体" w:cs="宋体"/>
                <w:color w:val="auto"/>
                <w:sz w:val="22"/>
                <w:szCs w:val="22"/>
                <w:highlight w:val="none"/>
              </w:rPr>
            </w:pPr>
            <w:r>
              <w:rPr>
                <w:rFonts w:hint="eastAsia" w:hAnsi="宋体" w:cs="宋体"/>
                <w:color w:val="auto"/>
                <w:sz w:val="22"/>
                <w:szCs w:val="22"/>
                <w:highlight w:val="none"/>
              </w:rPr>
              <w:t>《苍梧县土地利用总体规划（2006—2020年）》、《苍梧县县城总体规划（</w:t>
            </w:r>
            <w:r>
              <w:rPr>
                <w:rFonts w:hint="eastAsia" w:hAnsi="宋体" w:cs="宋体"/>
                <w:color w:val="auto"/>
                <w:sz w:val="22"/>
                <w:szCs w:val="22"/>
                <w:highlight w:val="none"/>
              </w:rPr>
              <w:t>201</w:t>
            </w:r>
            <w:r>
              <w:rPr>
                <w:rFonts w:hint="eastAsia" w:hAnsi="宋体" w:cs="宋体"/>
                <w:color w:val="auto"/>
                <w:sz w:val="22"/>
                <w:szCs w:val="22"/>
                <w:highlight w:val="none"/>
                <w:lang w:val="en-US" w:eastAsia="zh-CN"/>
              </w:rPr>
              <w:t>4</w:t>
            </w:r>
            <w:r>
              <w:rPr>
                <w:rFonts w:hint="eastAsia" w:hAnsi="宋体" w:cs="宋体"/>
                <w:color w:val="auto"/>
                <w:sz w:val="22"/>
                <w:szCs w:val="22"/>
                <w:highlight w:val="none"/>
              </w:rPr>
              <w:t>—2030年）》为苍梧县土地管理和城乡建设提供了强有力的依据，促进了耕地的保护和城市的发展。随着“一路一带”、“珠江－西江经济带”等国家宏观战略、国家新型城镇化规划发展和广西“双核驱动”、“南向、北联、东融、西拓”等战略实施，苍梧县社会经济和城市规划建设将迎来新的重大发展机遇，迫切需要对苍梧县发展思路、用地结构和布局进行必要调整。</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基于上述背景和形势，现按照《关于建立国土空间规划体系并监督实施的若干意见》、全国自然资源工作会议精神、《广西壮族自治区自然资源厅关于贯彻落实全国自然资源工作会议精神开展国土空间规划编制前期工作的通知》（桂自然资发〔2019〕8号）等相关文件要求，开展苍梧县国土空间总体规划编制工作。</w:t>
            </w:r>
          </w:p>
          <w:p>
            <w:pPr>
              <w:widowControl/>
              <w:spacing w:before="120" w:beforeLines="50" w:line="35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二、项目类型：国土空间总体规划</w:t>
            </w:r>
          </w:p>
          <w:p>
            <w:pPr>
              <w:spacing w:before="120" w:beforeLines="50" w:line="35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三、规划期限</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规划期限为202</w:t>
            </w:r>
            <w:r>
              <w:rPr>
                <w:rFonts w:ascii="宋体" w:hAnsi="宋体" w:cs="宋体"/>
                <w:color w:val="auto"/>
                <w:sz w:val="22"/>
                <w:szCs w:val="22"/>
                <w:highlight w:val="none"/>
              </w:rPr>
              <w:t>1</w:t>
            </w:r>
            <w:r>
              <w:rPr>
                <w:rFonts w:hint="eastAsia" w:ascii="宋体" w:hAnsi="宋体" w:cs="宋体"/>
                <w:color w:val="auto"/>
                <w:sz w:val="22"/>
                <w:szCs w:val="22"/>
                <w:highlight w:val="none"/>
              </w:rPr>
              <w:t>年至2035年。基期年为20</w:t>
            </w:r>
            <w:r>
              <w:rPr>
                <w:rFonts w:ascii="宋体" w:hAnsi="宋体" w:cs="宋体"/>
                <w:color w:val="auto"/>
                <w:sz w:val="22"/>
                <w:szCs w:val="22"/>
                <w:highlight w:val="none"/>
              </w:rPr>
              <w:t>20</w:t>
            </w:r>
            <w:r>
              <w:rPr>
                <w:rFonts w:hint="eastAsia" w:ascii="宋体" w:hAnsi="宋体" w:cs="宋体"/>
                <w:color w:val="auto"/>
                <w:sz w:val="22"/>
                <w:szCs w:val="22"/>
                <w:highlight w:val="none"/>
              </w:rPr>
              <w:t>年，近期到2025年，远期至2035年。</w:t>
            </w:r>
          </w:p>
          <w:p>
            <w:pPr>
              <w:spacing w:line="35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四、编制依据</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（1）《关于建立国土空间规划体系并监督实施的若干意见》；</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（2）《广西壮族自治区自然资源厅关于贯彻落实全国自然资源工作会议精神开展国土空间规划编制前期工作的通知》（桂自然资发〔2019〕8号）；</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（3）《广西壮族自治区自然资源厅关于加快开展市县国土空间总体规划前期研究工作的通知》（桂自然资办[2019]215号）；</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（4）《广西建立国土空间规划体系并监督实施的实施方案》</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（5）《广西壮族自治区自然资源厅办公室关于印发&lt;全面推进广西村庄规划编制的工作方案&gt;的通知》（桂自然资办[2019]216号）。</w:t>
            </w:r>
          </w:p>
          <w:p>
            <w:pPr>
              <w:widowControl/>
              <w:spacing w:before="120" w:beforeLines="50" w:line="350" w:lineRule="exac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五、县级国土空间总体规划编制要求</w:t>
            </w:r>
          </w:p>
          <w:p>
            <w:pPr>
              <w:widowControl/>
              <w:spacing w:line="35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（一）项目编制范围</w:t>
            </w:r>
          </w:p>
          <w:p>
            <w:pPr>
              <w:widowControl/>
              <w:spacing w:line="350" w:lineRule="exact"/>
              <w:ind w:firstLine="330" w:firstLineChars="15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县域规划范围：苍梧县行政辖区范围；</w:t>
            </w:r>
          </w:p>
          <w:p>
            <w:pPr>
              <w:spacing w:line="350" w:lineRule="exact"/>
              <w:ind w:firstLine="330" w:firstLineChars="15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中心城区规划范围：县中心城区现状城市建设用地和预留城市建设用地区域，总用地面积约</w:t>
            </w:r>
            <w:r>
              <w:rPr>
                <w:rFonts w:ascii="宋体" w:hAnsi="宋体" w:cs="宋体"/>
                <w:color w:val="auto"/>
                <w:sz w:val="22"/>
                <w:szCs w:val="22"/>
                <w:highlight w:val="none"/>
              </w:rPr>
              <w:t>20</w:t>
            </w:r>
            <w:r>
              <w:rPr>
                <w:rFonts w:hint="eastAsia" w:ascii="宋体" w:hAnsi="宋体" w:cs="宋体"/>
                <w:color w:val="auto"/>
                <w:sz w:val="22"/>
                <w:szCs w:val="22"/>
                <w:highlight w:val="none"/>
              </w:rPr>
              <w:t>平方公里。</w:t>
            </w:r>
          </w:p>
          <w:p>
            <w:pPr>
              <w:pStyle w:val="25"/>
              <w:spacing w:line="350" w:lineRule="exact"/>
              <w:jc w:val="left"/>
              <w:rPr>
                <w:rFonts w:hint="eastAsia" w:hAnsi="宋体" w:cs="宋体"/>
                <w:color w:val="auto"/>
                <w:sz w:val="22"/>
                <w:szCs w:val="22"/>
                <w:highlight w:val="none"/>
              </w:rPr>
            </w:pPr>
            <w:r>
              <w:rPr>
                <w:rFonts w:hint="eastAsia" w:hAnsi="宋体" w:cs="宋体"/>
                <w:color w:val="auto"/>
                <w:sz w:val="22"/>
                <w:szCs w:val="22"/>
                <w:highlight w:val="none"/>
              </w:rPr>
              <w:t>（二）规划内容</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展国土空间总体规划编制工作，并进行相应的规划专题研究，明确苍梧县新时期发展目标和战略定位，在土地利用总体规划和城市总体规划实施评估（以下简称“双评估”）、资源环境承载能力和国土空间开发适宜性评价（以下简称“双评价”）研究基础上，摸清苍梧县两规实施以来取得的成效、存在的问题和面临的形势，明确区域发展的优势资源和短板因素。在科学研判发展趋势、面临问题挑战的基础上提出国土空间发展战略目标，构建苍梧县域交通基础设施网络格局、生态保护格局、历史文化保护格局。在确定的国土空间开发、利用、保护格局框架内，统筹划定三区三线，优化交通基础设施、公共服务设施、水系、绿地等要素配置，明确国土综合整治和生态修复目标、分阶段规划实施目标和重点任务、下位规划需要落实的管控指标、边界和要求，并提出规划实施的保障措施。</w:t>
            </w:r>
          </w:p>
          <w:p>
            <w:pPr>
              <w:pStyle w:val="25"/>
              <w:spacing w:line="350" w:lineRule="exact"/>
              <w:jc w:val="left"/>
              <w:rPr>
                <w:rFonts w:hint="eastAsia" w:hAnsi="宋体" w:cs="宋体"/>
                <w:color w:val="auto"/>
                <w:sz w:val="22"/>
                <w:szCs w:val="22"/>
                <w:highlight w:val="none"/>
              </w:rPr>
            </w:pPr>
            <w:r>
              <w:rPr>
                <w:rFonts w:hint="eastAsia" w:hAnsi="宋体" w:cs="宋体"/>
                <w:color w:val="auto"/>
                <w:sz w:val="22"/>
                <w:szCs w:val="22"/>
                <w:highlight w:val="none"/>
              </w:rPr>
              <w:t>（三）编制技术要求</w:t>
            </w:r>
          </w:p>
          <w:p>
            <w:pPr>
              <w:widowControl/>
              <w:spacing w:line="35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1、苍梧县国土空间总体规划（2020-2035年）编制</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成果包括基础和形势、目标与战略、三区三线管控、区域合作与产业发展、城乡统筹、国土空间整治与修复、要素配置、市区空间布局规划、实施保障等章节，主要内容包括：</w:t>
            </w:r>
          </w:p>
          <w:p>
            <w:pPr>
              <w:pStyle w:val="26"/>
              <w:widowControl/>
              <w:numPr>
                <w:ilvl w:val="0"/>
                <w:numId w:val="2"/>
              </w:numPr>
              <w:spacing w:line="350" w:lineRule="exact"/>
              <w:ind w:firstLineChars="0"/>
              <w:rPr>
                <w:rFonts w:hint="eastAsia" w:ascii="宋体" w:hAnsi="宋体" w:cs="宋体"/>
                <w:color w:val="auto"/>
                <w:sz w:val="22"/>
                <w:highlight w:val="none"/>
              </w:rPr>
            </w:pPr>
            <w:r>
              <w:rPr>
                <w:rFonts w:hint="eastAsia" w:ascii="宋体" w:hAnsi="宋体" w:cs="宋体"/>
                <w:color w:val="auto"/>
                <w:sz w:val="22"/>
                <w:highlight w:val="none"/>
              </w:rPr>
              <w:t>基础和形势</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总结分析苍梧县基本概况、国土空间利用现状和存在问题、资源环境承载力和国土空间适宜性和面临的机遇挑战。</w:t>
            </w:r>
          </w:p>
          <w:p>
            <w:pPr>
              <w:pStyle w:val="26"/>
              <w:widowControl/>
              <w:numPr>
                <w:ilvl w:val="0"/>
                <w:numId w:val="2"/>
              </w:numPr>
              <w:spacing w:line="350" w:lineRule="exact"/>
              <w:ind w:firstLineChars="0"/>
              <w:rPr>
                <w:rFonts w:hint="eastAsia" w:ascii="宋体" w:hAnsi="宋体" w:cs="宋体"/>
                <w:color w:val="auto"/>
                <w:sz w:val="22"/>
                <w:highlight w:val="none"/>
              </w:rPr>
            </w:pPr>
            <w:r>
              <w:rPr>
                <w:rFonts w:hint="eastAsia" w:ascii="宋体" w:hAnsi="宋体" w:cs="宋体"/>
                <w:color w:val="auto"/>
                <w:sz w:val="22"/>
                <w:highlight w:val="none"/>
              </w:rPr>
              <w:t>目标与战略</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阐述规划编制指导思想、基本原则、主要目标，明确苍梧县战略定位、空间格局，以及各乡镇区域定位、国土利用引导和主要约束性指标。</w:t>
            </w:r>
          </w:p>
          <w:p>
            <w:pPr>
              <w:pStyle w:val="26"/>
              <w:widowControl/>
              <w:numPr>
                <w:ilvl w:val="0"/>
                <w:numId w:val="2"/>
              </w:numPr>
              <w:spacing w:line="350" w:lineRule="exact"/>
              <w:ind w:firstLineChars="0"/>
              <w:rPr>
                <w:rFonts w:hint="eastAsia" w:ascii="宋体" w:hAnsi="宋体" w:cs="宋体"/>
                <w:color w:val="auto"/>
                <w:sz w:val="22"/>
                <w:highlight w:val="none"/>
              </w:rPr>
            </w:pPr>
            <w:r>
              <w:rPr>
                <w:rFonts w:hint="eastAsia" w:ascii="宋体" w:hAnsi="宋体" w:cs="宋体"/>
                <w:color w:val="auto"/>
                <w:sz w:val="22"/>
                <w:highlight w:val="none"/>
              </w:rPr>
              <w:t>三区三线管控</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划定三区三线范围，明确相关空间规模及保护目标，提出“三区三线”管控细则和不同用途之间的转换规则。</w:t>
            </w:r>
          </w:p>
          <w:p>
            <w:pPr>
              <w:pStyle w:val="26"/>
              <w:widowControl/>
              <w:numPr>
                <w:ilvl w:val="0"/>
                <w:numId w:val="2"/>
              </w:numPr>
              <w:spacing w:line="350" w:lineRule="exact"/>
              <w:ind w:firstLineChars="0"/>
              <w:rPr>
                <w:rFonts w:hint="eastAsia" w:ascii="宋体" w:hAnsi="宋体" w:cs="宋体"/>
                <w:color w:val="auto"/>
                <w:sz w:val="22"/>
                <w:highlight w:val="none"/>
              </w:rPr>
            </w:pPr>
            <w:r>
              <w:rPr>
                <w:rFonts w:hint="eastAsia" w:ascii="宋体" w:hAnsi="宋体" w:cs="宋体"/>
                <w:color w:val="auto"/>
                <w:sz w:val="22"/>
                <w:highlight w:val="none"/>
              </w:rPr>
              <w:t>区域合作与产业发展</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围绕一带一路、西江-珠江经济带、“南向、北联、东融、西拓”等国家和自治区发展战略，研究提出产业发展目标及策略，引导苍梧县产业合理化布局。</w:t>
            </w:r>
          </w:p>
          <w:p>
            <w:pPr>
              <w:pStyle w:val="26"/>
              <w:widowControl/>
              <w:numPr>
                <w:ilvl w:val="0"/>
                <w:numId w:val="2"/>
              </w:numPr>
              <w:spacing w:line="350" w:lineRule="exact"/>
              <w:ind w:firstLineChars="0"/>
              <w:rPr>
                <w:rFonts w:hint="eastAsia" w:ascii="宋体" w:hAnsi="宋体" w:cs="宋体"/>
                <w:color w:val="auto"/>
                <w:sz w:val="22"/>
                <w:highlight w:val="none"/>
              </w:rPr>
            </w:pPr>
            <w:r>
              <w:rPr>
                <w:rFonts w:hint="eastAsia" w:ascii="宋体" w:hAnsi="宋体" w:cs="宋体"/>
                <w:color w:val="auto"/>
                <w:sz w:val="22"/>
                <w:highlight w:val="none"/>
              </w:rPr>
              <w:t>城乡统筹</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提出苍梧县城镇体系结构，合理制定城镇体系布局，明确城乡空间人口规模、建设用地指标等管控指标，提出城镇、乡镇、村庄发展指引。</w:t>
            </w:r>
          </w:p>
          <w:p>
            <w:pPr>
              <w:pStyle w:val="26"/>
              <w:widowControl/>
              <w:numPr>
                <w:ilvl w:val="0"/>
                <w:numId w:val="2"/>
              </w:numPr>
              <w:spacing w:line="350" w:lineRule="exact"/>
              <w:ind w:firstLineChars="0"/>
              <w:rPr>
                <w:rFonts w:hint="eastAsia" w:ascii="宋体" w:hAnsi="宋体" w:cs="宋体"/>
                <w:color w:val="auto"/>
                <w:sz w:val="22"/>
                <w:highlight w:val="none"/>
              </w:rPr>
            </w:pPr>
            <w:r>
              <w:rPr>
                <w:rFonts w:hint="eastAsia" w:ascii="宋体" w:hAnsi="宋体" w:cs="宋体"/>
                <w:color w:val="auto"/>
                <w:sz w:val="22"/>
                <w:highlight w:val="none"/>
              </w:rPr>
              <w:t>国土空间整治与修复</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明确城镇地区、农村地区、生态功能区、矿产资源开发区综合整治目标及范围，提出重点整治项目及整治措施。</w:t>
            </w:r>
          </w:p>
          <w:p>
            <w:pPr>
              <w:pStyle w:val="26"/>
              <w:widowControl/>
              <w:numPr>
                <w:ilvl w:val="0"/>
                <w:numId w:val="2"/>
              </w:numPr>
              <w:spacing w:line="350" w:lineRule="exact"/>
              <w:ind w:firstLineChars="0"/>
              <w:rPr>
                <w:rFonts w:hint="eastAsia" w:ascii="宋体" w:hAnsi="宋体" w:cs="宋体"/>
                <w:color w:val="auto"/>
                <w:sz w:val="22"/>
                <w:highlight w:val="none"/>
              </w:rPr>
            </w:pPr>
            <w:r>
              <w:rPr>
                <w:rFonts w:hint="eastAsia" w:ascii="宋体" w:hAnsi="宋体" w:cs="宋体"/>
                <w:color w:val="auto"/>
                <w:sz w:val="22"/>
                <w:highlight w:val="none"/>
              </w:rPr>
              <w:t>要素配置</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统筹安排交通、公共服务设施及综合防灾体系布局，充分发掘苍梧县历史文化价值和特色，明确历史文化名村名镇、文化遗产等布局引导。</w:t>
            </w:r>
          </w:p>
          <w:p>
            <w:pPr>
              <w:pStyle w:val="26"/>
              <w:widowControl/>
              <w:numPr>
                <w:ilvl w:val="0"/>
                <w:numId w:val="2"/>
              </w:numPr>
              <w:spacing w:line="350" w:lineRule="exact"/>
              <w:ind w:firstLineChars="0"/>
              <w:rPr>
                <w:rFonts w:hint="eastAsia" w:ascii="宋体" w:hAnsi="宋体" w:cs="宋体"/>
                <w:color w:val="auto"/>
                <w:sz w:val="22"/>
                <w:highlight w:val="none"/>
              </w:rPr>
            </w:pPr>
            <w:r>
              <w:rPr>
                <w:rFonts w:hint="eastAsia" w:ascii="宋体" w:hAnsi="宋体" w:cs="宋体"/>
                <w:color w:val="auto"/>
                <w:sz w:val="22"/>
                <w:highlight w:val="none"/>
              </w:rPr>
              <w:t>中心城区空间布局规划</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综合确定苍梧县城市用地发展方向，明确中心城区空间布局，统筹规划中心城区支撑保障体系及公共服务设施，对城市设计、城乡风貌特色、水系和绿地系统建设提出原则要求，并对涉及中心城区的乡镇发展提出指引。</w:t>
            </w:r>
          </w:p>
          <w:p>
            <w:pPr>
              <w:pStyle w:val="26"/>
              <w:widowControl/>
              <w:numPr>
                <w:ilvl w:val="0"/>
                <w:numId w:val="2"/>
              </w:numPr>
              <w:spacing w:line="350" w:lineRule="exact"/>
              <w:ind w:firstLineChars="0"/>
              <w:rPr>
                <w:rFonts w:hint="eastAsia" w:ascii="宋体" w:hAnsi="宋体" w:cs="宋体"/>
                <w:color w:val="auto"/>
                <w:sz w:val="22"/>
                <w:highlight w:val="none"/>
              </w:rPr>
            </w:pPr>
            <w:r>
              <w:rPr>
                <w:rFonts w:hint="eastAsia" w:ascii="宋体" w:hAnsi="宋体" w:cs="宋体"/>
                <w:color w:val="auto"/>
                <w:sz w:val="22"/>
                <w:highlight w:val="none"/>
              </w:rPr>
              <w:t>实施保障</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从建立规划实施评估指标体系、健全规划实施动态监测、评估、预警、考核和动态调整机制等方面，提出规划实施保障措施。</w:t>
            </w:r>
          </w:p>
          <w:p>
            <w:pPr>
              <w:pStyle w:val="25"/>
              <w:spacing w:line="350" w:lineRule="exact"/>
              <w:jc w:val="left"/>
              <w:rPr>
                <w:rFonts w:hint="eastAsia" w:hAnsi="宋体" w:cs="宋体"/>
                <w:color w:val="auto"/>
                <w:sz w:val="22"/>
                <w:szCs w:val="22"/>
                <w:highlight w:val="none"/>
              </w:rPr>
            </w:pPr>
            <w:r>
              <w:rPr>
                <w:rFonts w:hint="eastAsia" w:hAnsi="宋体" w:cs="宋体"/>
                <w:color w:val="auto"/>
                <w:sz w:val="22"/>
                <w:szCs w:val="22"/>
                <w:highlight w:val="none"/>
              </w:rPr>
              <w:t>2、专题研究成果</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苍梧县现行空间性规划实施评估》。总结现行土地利用总体规划、城市规划等空间性规划实施以来取得的主要成效和面临的突出问题，为开展国土空间总体规划编制工作梳理问题、厘清思路、明确目标、提供治理方案。</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苍梧县生态保护红线和永久基本农田保护研究》。核查现有生态红线划定成果的相符性，核查生态功能极重要、生态环境极敏感脆弱区域是否划入生态保护红线，评估生态保护红线内永久基本农田、耕地、人工商品林、林粮间作、基本草原、承包草原、镇村、基础设施、合法矿业权、战略性矿产资源区域、国家规划矿区等交叉重叠情况，提出生态红线处理原则与优化调整建议。按照《自然资源部农业农村部关于加强和改进永久基本农田保护工作的通知》（自然资规【2019】1号）要求，重点针对划定不实、违法占用等问题进行评估，梳理问题清单，提出分类处置意见，做好永久基本农田调整补划。</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(3)《苍梧县城镇开发边界划定研究》。在划定生态保护红线和永久基本农田的基础上，根据苍梧县资源环境承载力和适宜性评价结果，结合人口流动趋势，研究人口与城镇化的关系，预测城镇人口、城镇建设用地规模，围绕建设适度、宜居、美丽的生活空间目标划定城镇开发边界。</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苍梧县村庄布局研究》。针对不同村庄的发展现状、区域条件、资源禀赋等，将村庄划分为集聚提升、城郊融合、特色保护、搬迁撤并五类；从资源、人口、产业、用地、公共服务及基础设施等方面，合理确定城镇村体系，明确村庄类型、发展定位、发展规模和建设标准，引导村庄空间布局，为促进城乡统筹发展和指导村庄规划编制提供依据。</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苍梧县全域国土综合整治与生态修复研究》。明确国土空间生态修复目标、任务和重点区域，安排国土综合整治重点工程的规模、布局和时序，明确自然保护地范围，提出生态保护修复要求，提高生态空间系统性和完整性，明确自然灾害防治的主要目标和措施。</w:t>
            </w:r>
          </w:p>
          <w:p>
            <w:pPr>
              <w:spacing w:line="35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ascii="宋体" w:hAnsi="宋体" w:cs="宋体"/>
                <w:color w:val="auto"/>
                <w:sz w:val="22"/>
                <w:szCs w:val="22"/>
                <w:highlight w:val="none"/>
              </w:rPr>
              <w:t>9</w:t>
            </w:r>
            <w:r>
              <w:rPr>
                <w:rFonts w:hint="eastAsia" w:ascii="宋体" w:hAnsi="宋体" w:cs="宋体"/>
                <w:color w:val="auto"/>
                <w:sz w:val="22"/>
                <w:szCs w:val="22"/>
                <w:highlight w:val="none"/>
              </w:rPr>
              <w:t>个乡镇国土空间规划。</w:t>
            </w:r>
          </w:p>
          <w:p>
            <w:pPr>
              <w:spacing w:line="3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对全县所辖乡镇编制乡镇级国土空间规划，明确各个乡镇的发展方向和布局。</w:t>
            </w:r>
          </w:p>
          <w:p>
            <w:pPr>
              <w:spacing w:line="35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4、图件与数据库</w:t>
            </w:r>
          </w:p>
          <w:p>
            <w:pPr>
              <w:spacing w:line="35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根据国土空间规划的表达要求编制相应的规划图件，并采用地理信息系统软件编制国土空间规划数据库。</w:t>
            </w:r>
          </w:p>
          <w:p>
            <w:pPr>
              <w:pStyle w:val="25"/>
              <w:spacing w:line="350" w:lineRule="exact"/>
              <w:jc w:val="left"/>
              <w:rPr>
                <w:rFonts w:hint="eastAsia" w:hAnsi="宋体" w:cs="宋体"/>
                <w:color w:val="auto"/>
                <w:sz w:val="22"/>
                <w:szCs w:val="22"/>
                <w:highlight w:val="none"/>
              </w:rPr>
            </w:pPr>
            <w:r>
              <w:rPr>
                <w:rFonts w:hint="eastAsia" w:hAnsi="宋体" w:cs="宋体"/>
                <w:color w:val="auto"/>
                <w:sz w:val="22"/>
                <w:szCs w:val="22"/>
                <w:highlight w:val="none"/>
              </w:rPr>
              <w:t>（四）县级及乡镇成果内容</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1、苍梧县现行空间性规划实施评估等5个专题研究报告。</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2、《苍梧县国土空间总体规划（202</w:t>
            </w:r>
            <w:r>
              <w:rPr>
                <w:rFonts w:ascii="宋体" w:hAnsi="宋体" w:cs="宋体"/>
                <w:color w:val="auto"/>
                <w:sz w:val="22"/>
                <w:szCs w:val="22"/>
                <w:highlight w:val="none"/>
              </w:rPr>
              <w:t>1</w:t>
            </w:r>
            <w:r>
              <w:rPr>
                <w:rFonts w:hint="eastAsia" w:ascii="宋体" w:hAnsi="宋体" w:cs="宋体"/>
                <w:color w:val="auto"/>
                <w:sz w:val="22"/>
                <w:szCs w:val="22"/>
                <w:highlight w:val="none"/>
              </w:rPr>
              <w:t>-2035年）》规划成果，包括规划文本、说明、图件、数据库。</w:t>
            </w:r>
          </w:p>
          <w:p>
            <w:pPr>
              <w:widowControl/>
              <w:spacing w:line="35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3、石桥镇等</w:t>
            </w:r>
            <w:r>
              <w:rPr>
                <w:rFonts w:ascii="宋体" w:hAnsi="宋体" w:cs="宋体"/>
                <w:color w:val="auto"/>
                <w:sz w:val="22"/>
                <w:szCs w:val="22"/>
                <w:highlight w:val="none"/>
              </w:rPr>
              <w:t>9</w:t>
            </w:r>
            <w:r>
              <w:rPr>
                <w:rFonts w:hint="eastAsia" w:ascii="宋体" w:hAnsi="宋体" w:cs="宋体"/>
                <w:color w:val="auto"/>
                <w:sz w:val="22"/>
                <w:szCs w:val="22"/>
                <w:highlight w:val="none"/>
              </w:rPr>
              <w:t>个乡（镇）乡镇级国土空间总体规划成果，包括文本、图件、数据库。</w:t>
            </w:r>
          </w:p>
          <w:p>
            <w:pPr>
              <w:widowControl/>
              <w:spacing w:before="120" w:beforeLines="50" w:line="350" w:lineRule="exac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六、成果要求</w:t>
            </w:r>
          </w:p>
          <w:p>
            <w:pPr>
              <w:pStyle w:val="15"/>
              <w:spacing w:line="360" w:lineRule="auto"/>
              <w:ind w:firstLine="374" w:firstLineChars="170"/>
              <w:rPr>
                <w:rFonts w:hint="eastAsia" w:ascii="宋体" w:hAnsi="宋体" w:cs="宋体"/>
                <w:color w:val="auto"/>
                <w:sz w:val="22"/>
                <w:szCs w:val="22"/>
                <w:highlight w:val="none"/>
              </w:rPr>
            </w:pPr>
            <w:r>
              <w:rPr>
                <w:rFonts w:hint="eastAsia" w:ascii="宋体" w:hAnsi="宋体" w:cs="宋体"/>
                <w:color w:val="auto"/>
                <w:sz w:val="22"/>
                <w:szCs w:val="22"/>
                <w:highlight w:val="none"/>
              </w:rPr>
              <w:t>全部成果均应提供电子文件和纸质文本</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10份</w:t>
            </w:r>
            <w:r>
              <w:rPr>
                <w:rFonts w:hint="eastAsia" w:ascii="宋体" w:hAnsi="宋体" w:cs="宋体"/>
                <w:color w:val="auto"/>
                <w:sz w:val="22"/>
                <w:szCs w:val="22"/>
                <w:highlight w:val="none"/>
              </w:rPr>
              <w:t>）</w:t>
            </w:r>
            <w:r>
              <w:rPr>
                <w:rFonts w:hint="eastAsia" w:ascii="宋体" w:hAnsi="宋体" w:cs="宋体"/>
                <w:color w:val="auto"/>
                <w:sz w:val="22"/>
                <w:szCs w:val="22"/>
                <w:highlight w:val="none"/>
              </w:rPr>
              <w:t>，文图表的内容应一致。电子文本采用 Microsoft Word格式文件，附表采用 Microsoft Excel格式文件：绘制规划附图采用GIS软件的标准矢量格式和JPG格式；数据库采用符合国家和自治区数据库汇总要求的shape或vct格式。</w:t>
            </w:r>
          </w:p>
          <w:p>
            <w:pPr>
              <w:rPr>
                <w:rFonts w:hint="eastAsia" w:ascii="宋体" w:hAnsi="宋体" w:cs="宋体"/>
                <w:color w:val="auto"/>
                <w:sz w:val="22"/>
                <w:szCs w:val="22"/>
                <w:highlight w:val="none"/>
              </w:rPr>
            </w:pPr>
            <w:r>
              <w:rPr>
                <w:rFonts w:hint="eastAsia" w:ascii="宋体" w:hAnsi="宋体"/>
                <w:b/>
                <w:bCs/>
                <w:color w:val="auto"/>
                <w:szCs w:val="21"/>
                <w:highlight w:val="none"/>
              </w:rPr>
              <w:t>七、服务质量</w:t>
            </w:r>
            <w:r>
              <w:rPr>
                <w:rFonts w:hint="eastAsia" w:ascii="宋体" w:hAnsi="宋体"/>
                <w:color w:val="auto"/>
                <w:szCs w:val="21"/>
                <w:highlight w:val="none"/>
              </w:rPr>
              <w:t>：</w:t>
            </w:r>
            <w:r>
              <w:rPr>
                <w:rFonts w:hint="eastAsia" w:ascii="宋体" w:hAnsi="宋体" w:cs="宋体"/>
                <w:color w:val="auto"/>
                <w:szCs w:val="21"/>
                <w:highlight w:val="none"/>
              </w:rPr>
              <w:t>符合国家规定的标准、政策和现行技术规范、规程要求。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90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rFonts w:hint="eastAsia"/>
                <w:color w:val="auto"/>
                <w:szCs w:val="21"/>
                <w:highlight w:val="none"/>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8900"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1、合同签订期：自中标通知书发出之日起 </w:t>
            </w:r>
            <w:r>
              <w:rPr>
                <w:rFonts w:hint="eastAsia" w:ascii="宋体" w:hAnsi="宋体" w:eastAsia="宋体"/>
                <w:b w:val="0"/>
                <w:color w:val="auto"/>
                <w:sz w:val="21"/>
                <w:szCs w:val="21"/>
                <w:highlight w:val="none"/>
                <w:lang w:val="en-US" w:eastAsia="zh-CN"/>
              </w:rPr>
              <w:t>1</w:t>
            </w:r>
            <w:r>
              <w:rPr>
                <w:rFonts w:hint="eastAsia" w:ascii="宋体" w:hAnsi="宋体" w:eastAsia="宋体"/>
                <w:b w:val="0"/>
                <w:color w:val="auto"/>
                <w:sz w:val="21"/>
                <w:szCs w:val="21"/>
                <w:highlight w:val="none"/>
              </w:rPr>
              <w:t>5 日内。</w:t>
            </w:r>
          </w:p>
          <w:p>
            <w:pPr>
              <w:pStyle w:val="4"/>
              <w:spacing w:line="400" w:lineRule="exac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2、合同履行期限：</w:t>
            </w:r>
            <w:r>
              <w:rPr>
                <w:rFonts w:ascii="宋体" w:hAnsi="宋体" w:eastAsia="宋体"/>
                <w:b w:val="0"/>
                <w:color w:val="auto"/>
                <w:sz w:val="21"/>
                <w:szCs w:val="21"/>
                <w:highlight w:val="none"/>
              </w:rPr>
              <w:t xml:space="preserve"> </w:t>
            </w:r>
          </w:p>
          <w:p>
            <w:pPr>
              <w:spacing w:line="35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（1）专题研究成果</w:t>
            </w:r>
            <w:r>
              <w:rPr>
                <w:rFonts w:hint="eastAsia" w:ascii="宋体" w:hAnsi="宋体" w:cs="宋体"/>
                <w:color w:val="auto"/>
                <w:sz w:val="22"/>
                <w:szCs w:val="22"/>
                <w:highlight w:val="none"/>
              </w:rPr>
              <w:t>：202</w:t>
            </w:r>
            <w:r>
              <w:rPr>
                <w:rFonts w:ascii="宋体" w:hAnsi="宋体" w:cs="宋体"/>
                <w:color w:val="auto"/>
                <w:sz w:val="22"/>
                <w:szCs w:val="22"/>
                <w:highlight w:val="none"/>
              </w:rPr>
              <w:t>1</w:t>
            </w:r>
            <w:r>
              <w:rPr>
                <w:rFonts w:hint="eastAsia" w:ascii="宋体" w:hAnsi="宋体" w:cs="宋体"/>
                <w:color w:val="auto"/>
                <w:sz w:val="22"/>
                <w:szCs w:val="22"/>
                <w:highlight w:val="none"/>
              </w:rPr>
              <w:t>年</w:t>
            </w:r>
            <w:r>
              <w:rPr>
                <w:rFonts w:ascii="宋体" w:hAnsi="宋体" w:cs="宋体"/>
                <w:color w:val="auto"/>
                <w:sz w:val="22"/>
                <w:szCs w:val="22"/>
                <w:highlight w:val="none"/>
              </w:rPr>
              <w:t>11</w:t>
            </w:r>
            <w:r>
              <w:rPr>
                <w:rFonts w:hint="eastAsia" w:ascii="宋体" w:hAnsi="宋体" w:cs="宋体"/>
                <w:color w:val="auto"/>
                <w:sz w:val="22"/>
                <w:szCs w:val="22"/>
                <w:highlight w:val="none"/>
              </w:rPr>
              <w:t>月3</w:t>
            </w:r>
            <w:r>
              <w:rPr>
                <w:rFonts w:ascii="宋体" w:hAnsi="宋体" w:cs="宋体"/>
                <w:color w:val="auto"/>
                <w:sz w:val="22"/>
                <w:szCs w:val="22"/>
                <w:highlight w:val="none"/>
              </w:rPr>
              <w:t>0</w:t>
            </w:r>
            <w:r>
              <w:rPr>
                <w:rFonts w:hint="eastAsia" w:ascii="宋体" w:hAnsi="宋体" w:cs="宋体"/>
                <w:color w:val="auto"/>
                <w:sz w:val="22"/>
                <w:szCs w:val="22"/>
                <w:highlight w:val="none"/>
              </w:rPr>
              <w:t>日前提交县级国土空间规划专题研究成果初稿，并按照自然资源部和自治区自然资源厅的时间要求上报</w:t>
            </w:r>
            <w:r>
              <w:rPr>
                <w:rFonts w:hint="eastAsia" w:ascii="宋体" w:hAnsi="宋体" w:cs="宋体"/>
                <w:color w:val="auto"/>
                <w:sz w:val="22"/>
                <w:szCs w:val="22"/>
                <w:highlight w:val="none"/>
              </w:rPr>
              <w:t>审查。</w:t>
            </w:r>
          </w:p>
          <w:p>
            <w:pPr>
              <w:spacing w:line="35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（2）县级国土空间总体规划成果：</w:t>
            </w:r>
            <w:r>
              <w:rPr>
                <w:rFonts w:hint="eastAsia" w:ascii="宋体" w:hAnsi="宋体" w:cs="宋体"/>
                <w:color w:val="auto"/>
                <w:sz w:val="22"/>
                <w:szCs w:val="22"/>
                <w:highlight w:val="none"/>
              </w:rPr>
              <w:t>202</w:t>
            </w:r>
            <w:r>
              <w:rPr>
                <w:rFonts w:ascii="宋体" w:hAnsi="宋体" w:cs="宋体"/>
                <w:color w:val="auto"/>
                <w:sz w:val="22"/>
                <w:szCs w:val="22"/>
                <w:highlight w:val="none"/>
              </w:rPr>
              <w:t>1</w:t>
            </w:r>
            <w:r>
              <w:rPr>
                <w:rFonts w:hint="eastAsia" w:ascii="宋体" w:hAnsi="宋体" w:cs="宋体"/>
                <w:color w:val="auto"/>
                <w:sz w:val="22"/>
                <w:szCs w:val="22"/>
                <w:highlight w:val="none"/>
              </w:rPr>
              <w:t>年</w:t>
            </w:r>
            <w:r>
              <w:rPr>
                <w:rFonts w:ascii="宋体" w:hAnsi="宋体" w:cs="宋体"/>
                <w:color w:val="auto"/>
                <w:sz w:val="22"/>
                <w:szCs w:val="22"/>
                <w:highlight w:val="none"/>
              </w:rPr>
              <w:t>12</w:t>
            </w:r>
            <w:r>
              <w:rPr>
                <w:rFonts w:hint="eastAsia" w:ascii="宋体" w:hAnsi="宋体" w:cs="宋体"/>
                <w:color w:val="auto"/>
                <w:sz w:val="22"/>
                <w:szCs w:val="22"/>
                <w:highlight w:val="none"/>
              </w:rPr>
              <w:t>月31日前提交县级规划成果，并按照自然资源部和自治区自然资源厅的时间要求完成上报审批工作。</w:t>
            </w:r>
          </w:p>
          <w:p>
            <w:pPr>
              <w:spacing w:line="35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（3）乡镇国土空间总体规划成果： </w:t>
            </w:r>
            <w:r>
              <w:rPr>
                <w:rFonts w:hint="eastAsia" w:ascii="宋体" w:hAnsi="宋体" w:cs="宋体"/>
                <w:color w:val="auto"/>
                <w:sz w:val="22"/>
                <w:szCs w:val="22"/>
                <w:highlight w:val="none"/>
              </w:rPr>
              <w:t>202</w:t>
            </w:r>
            <w:r>
              <w:rPr>
                <w:rFonts w:ascii="宋体" w:hAnsi="宋体" w:cs="宋体"/>
                <w:color w:val="auto"/>
                <w:sz w:val="22"/>
                <w:szCs w:val="22"/>
                <w:highlight w:val="none"/>
              </w:rPr>
              <w:t>2</w:t>
            </w:r>
            <w:r>
              <w:rPr>
                <w:rFonts w:hint="eastAsia" w:ascii="宋体" w:hAnsi="宋体" w:cs="宋体"/>
                <w:color w:val="auto"/>
                <w:sz w:val="22"/>
                <w:szCs w:val="22"/>
                <w:highlight w:val="none"/>
              </w:rPr>
              <w:t>年</w:t>
            </w:r>
            <w:r>
              <w:rPr>
                <w:rFonts w:ascii="宋体" w:hAnsi="宋体" w:cs="宋体"/>
                <w:color w:val="auto"/>
                <w:sz w:val="22"/>
                <w:szCs w:val="22"/>
                <w:highlight w:val="none"/>
              </w:rPr>
              <w:t>6</w:t>
            </w:r>
            <w:r>
              <w:rPr>
                <w:rFonts w:hint="eastAsia" w:ascii="宋体" w:hAnsi="宋体" w:cs="宋体"/>
                <w:color w:val="auto"/>
                <w:sz w:val="22"/>
                <w:szCs w:val="22"/>
                <w:highlight w:val="none"/>
              </w:rPr>
              <w:t>月30日前提交乡镇规划成果征求意见稿；并按照自然资源部和自治区自然资源厅的时间要求完成上报审批工作。</w:t>
            </w:r>
          </w:p>
          <w:p>
            <w:pPr>
              <w:spacing w:line="35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w:t>
            </w:r>
            <w:r>
              <w:rPr>
                <w:rFonts w:ascii="宋体" w:hAnsi="宋体" w:cs="宋体"/>
                <w:b/>
                <w:bCs/>
                <w:color w:val="auto"/>
                <w:sz w:val="22"/>
                <w:szCs w:val="22"/>
                <w:highlight w:val="none"/>
              </w:rPr>
              <w:t>4</w:t>
            </w:r>
            <w:r>
              <w:rPr>
                <w:rFonts w:hint="eastAsia" w:ascii="宋体" w:hAnsi="宋体" w:cs="宋体"/>
                <w:b/>
                <w:bCs/>
                <w:color w:val="auto"/>
                <w:sz w:val="22"/>
                <w:szCs w:val="22"/>
                <w:highlight w:val="none"/>
              </w:rPr>
              <w:t>）国家和自治区对成果提交时间另有安排的，从其规定</w:t>
            </w:r>
            <w:r>
              <w:rPr>
                <w:rFonts w:hint="eastAsia" w:ascii="宋体" w:hAnsi="宋体" w:cs="宋体"/>
                <w:color w:val="auto"/>
                <w:sz w:val="22"/>
                <w:szCs w:val="22"/>
                <w:highlight w:val="none"/>
              </w:rPr>
              <w:t>。</w:t>
            </w:r>
          </w:p>
          <w:p>
            <w:pPr>
              <w:pStyle w:val="4"/>
              <w:spacing w:line="400" w:lineRule="exact"/>
              <w:rPr>
                <w:rFonts w:ascii="宋体" w:hAnsi="宋体" w:eastAsia="宋体"/>
                <w:b w:val="0"/>
                <w:color w:val="auto"/>
                <w:sz w:val="21"/>
                <w:szCs w:val="21"/>
                <w:highlight w:val="none"/>
              </w:rPr>
            </w:pPr>
            <w:r>
              <w:rPr>
                <w:rFonts w:ascii="宋体" w:hAnsi="宋体" w:eastAsia="宋体"/>
                <w:b w:val="0"/>
                <w:color w:val="auto"/>
                <w:sz w:val="21"/>
                <w:szCs w:val="21"/>
                <w:highlight w:val="none"/>
              </w:rPr>
              <w:t>3</w:t>
            </w:r>
            <w:r>
              <w:rPr>
                <w:rFonts w:hint="eastAsia" w:ascii="宋体" w:hAnsi="宋体" w:eastAsia="宋体"/>
                <w:b w:val="0"/>
                <w:color w:val="auto"/>
                <w:sz w:val="21"/>
                <w:szCs w:val="21"/>
                <w:highlight w:val="none"/>
              </w:rPr>
              <w:t>、提交服务成果地点：采购人指定地点</w:t>
            </w:r>
          </w:p>
          <w:p>
            <w:pPr>
              <w:spacing w:line="276" w:lineRule="auto"/>
              <w:rPr>
                <w:rFonts w:hint="eastAsia" w:ascii="宋体" w:hAnsi="宋体" w:cs="宋体"/>
                <w:color w:val="auto"/>
                <w:sz w:val="22"/>
                <w:szCs w:val="22"/>
                <w:highlight w:val="none"/>
              </w:rPr>
            </w:pPr>
            <w:r>
              <w:rPr>
                <w:rFonts w:ascii="宋体" w:hAnsi="宋体" w:cs="宋体"/>
                <w:b/>
                <w:bCs/>
                <w:color w:val="auto"/>
                <w:sz w:val="22"/>
                <w:szCs w:val="22"/>
                <w:highlight w:val="none"/>
              </w:rPr>
              <w:t>4</w:t>
            </w:r>
            <w:r>
              <w:rPr>
                <w:rFonts w:hint="eastAsia" w:ascii="宋体" w:hAnsi="宋体" w:cs="宋体"/>
                <w:b/>
                <w:bCs/>
                <w:color w:val="auto"/>
                <w:sz w:val="22"/>
                <w:szCs w:val="22"/>
                <w:highlight w:val="none"/>
              </w:rPr>
              <w:t>、质量要求：</w:t>
            </w:r>
            <w:r>
              <w:rPr>
                <w:rFonts w:hint="eastAsia" w:ascii="宋体" w:hAnsi="宋体" w:cs="宋体"/>
                <w:color w:val="auto"/>
                <w:sz w:val="22"/>
                <w:szCs w:val="22"/>
                <w:highlight w:val="none"/>
              </w:rPr>
              <w:t>符合自然资源部以及自治区自然资源厅国土空间总体规划编制的要求，并通过主管部门的</w:t>
            </w:r>
            <w:r>
              <w:rPr>
                <w:rFonts w:hint="eastAsia" w:ascii="宋体" w:hAnsi="宋体" w:cs="宋体"/>
                <w:color w:val="auto"/>
                <w:sz w:val="22"/>
                <w:szCs w:val="22"/>
                <w:highlight w:val="none"/>
              </w:rPr>
              <w:t>审查。</w:t>
            </w:r>
          </w:p>
          <w:p>
            <w:pPr>
              <w:pStyle w:val="4"/>
              <w:spacing w:line="400" w:lineRule="exact"/>
              <w:rPr>
                <w:rFonts w:ascii="宋体" w:hAnsi="宋体" w:eastAsia="宋体"/>
                <w:b w:val="0"/>
                <w:color w:val="auto"/>
                <w:sz w:val="21"/>
                <w:szCs w:val="21"/>
                <w:highlight w:val="none"/>
              </w:rPr>
            </w:pPr>
            <w:r>
              <w:rPr>
                <w:rFonts w:ascii="宋体" w:hAnsi="宋体" w:eastAsia="宋体"/>
                <w:b w:val="0"/>
                <w:color w:val="auto"/>
                <w:sz w:val="21"/>
                <w:szCs w:val="21"/>
                <w:highlight w:val="none"/>
              </w:rPr>
              <w:t>5</w:t>
            </w:r>
            <w:r>
              <w:rPr>
                <w:rFonts w:hint="eastAsia" w:ascii="宋体" w:hAnsi="宋体" w:eastAsia="宋体"/>
                <w:b w:val="0"/>
                <w:color w:val="auto"/>
                <w:sz w:val="21"/>
                <w:szCs w:val="21"/>
                <w:highlight w:val="none"/>
              </w:rPr>
              <w:t>、售后服务要求：</w:t>
            </w:r>
          </w:p>
          <w:p>
            <w:pPr>
              <w:tabs>
                <w:tab w:val="left" w:pos="567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（1）质量保证期 1 年（自提交服务成果验收合格之日起计）</w:t>
            </w:r>
          </w:p>
          <w:p>
            <w:pPr>
              <w:tabs>
                <w:tab w:val="left" w:pos="567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（2）处理问题响应时间：质量保质期内，由成交供应商接到采购人处理问题通知后24小时内到达采购人指定现场。</w:t>
            </w:r>
          </w:p>
          <w:p>
            <w:pPr>
              <w:tabs>
                <w:tab w:val="left" w:pos="567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（3）其他要求：</w:t>
            </w:r>
          </w:p>
          <w:p>
            <w:pPr>
              <w:tabs>
                <w:tab w:val="left" w:pos="5670"/>
              </w:tabs>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报价必须含以下部分，包括：</w:t>
            </w:r>
          </w:p>
          <w:p>
            <w:pPr>
              <w:tabs>
                <w:tab w:val="left" w:pos="567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①服务的价格；</w:t>
            </w:r>
          </w:p>
          <w:p>
            <w:pPr>
              <w:tabs>
                <w:tab w:val="left" w:pos="567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②必要的保险费用和各项税金；</w:t>
            </w:r>
          </w:p>
          <w:p>
            <w:pPr>
              <w:tabs>
                <w:tab w:val="left" w:pos="567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③其他（如调研、差旅、会务、培训、技术支持等费用）。</w:t>
            </w:r>
          </w:p>
          <w:p>
            <w:pPr>
              <w:tabs>
                <w:tab w:val="left" w:pos="5670"/>
              </w:tabs>
              <w:spacing w:line="360" w:lineRule="auto"/>
              <w:rPr>
                <w:rFonts w:ascii="宋体" w:hAnsi="宋体"/>
                <w:b/>
                <w:color w:val="auto"/>
                <w:szCs w:val="21"/>
                <w:highlight w:val="none"/>
              </w:rPr>
            </w:pPr>
            <w:r>
              <w:rPr>
                <w:rFonts w:hint="eastAsia" w:ascii="宋体" w:hAnsi="宋体"/>
                <w:b/>
                <w:color w:val="auto"/>
                <w:szCs w:val="21"/>
                <w:highlight w:val="none"/>
              </w:rPr>
              <w:t>6、付款条件：</w:t>
            </w:r>
          </w:p>
          <w:p>
            <w:pPr>
              <w:pStyle w:val="2"/>
              <w:spacing w:line="360" w:lineRule="exact"/>
              <w:ind w:firstLine="420"/>
              <w:rPr>
                <w:rFonts w:ascii="宋体" w:hAnsi="宋体" w:cs="宋体"/>
                <w:bCs/>
                <w:color w:val="auto"/>
                <w:szCs w:val="21"/>
                <w:highlight w:val="none"/>
              </w:rPr>
            </w:pPr>
            <w:r>
              <w:rPr>
                <w:rFonts w:hint="eastAsia" w:ascii="宋体" w:hAnsi="宋体" w:cs="宋体"/>
                <w:bCs/>
                <w:color w:val="auto"/>
                <w:szCs w:val="21"/>
                <w:highlight w:val="none"/>
              </w:rPr>
              <w:t>第一期：签订合同后凭中标人提供的等额正规发票在15工作日内支付国土空间总体规划成果中标金额的</w:t>
            </w:r>
            <w:r>
              <w:rPr>
                <w:rFonts w:ascii="宋体" w:hAnsi="宋体" w:cs="宋体"/>
                <w:bCs/>
                <w:color w:val="auto"/>
                <w:szCs w:val="21"/>
                <w:highlight w:val="none"/>
              </w:rPr>
              <w:t>30</w:t>
            </w:r>
            <w:r>
              <w:rPr>
                <w:rFonts w:hint="eastAsia" w:ascii="宋体" w:hAnsi="宋体" w:cs="宋体"/>
                <w:bCs/>
                <w:color w:val="auto"/>
                <w:szCs w:val="21"/>
                <w:highlight w:val="none"/>
              </w:rPr>
              <w:t>%。</w:t>
            </w:r>
          </w:p>
          <w:p>
            <w:pPr>
              <w:pStyle w:val="2"/>
              <w:spacing w:line="360" w:lineRule="exact"/>
              <w:ind w:firstLine="420"/>
              <w:rPr>
                <w:rFonts w:ascii="宋体" w:hAnsi="宋体" w:cs="宋体"/>
                <w:bCs/>
                <w:color w:val="auto"/>
                <w:szCs w:val="21"/>
                <w:highlight w:val="none"/>
              </w:rPr>
            </w:pPr>
            <w:r>
              <w:rPr>
                <w:rFonts w:hint="eastAsia" w:ascii="宋体" w:hAnsi="宋体" w:cs="宋体"/>
                <w:bCs/>
                <w:color w:val="auto"/>
                <w:szCs w:val="21"/>
                <w:highlight w:val="none"/>
              </w:rPr>
              <w:t>第二期：县级国土空间总体规划成果通过市级自然资源管理部门组织的专家评审后凭中标人提供的等额正规发票在15工作日内支付国土空间总体规划成果中标金额的</w:t>
            </w:r>
            <w:r>
              <w:rPr>
                <w:rFonts w:ascii="宋体" w:hAnsi="宋体" w:cs="宋体"/>
                <w:bCs/>
                <w:color w:val="auto"/>
                <w:szCs w:val="21"/>
                <w:highlight w:val="none"/>
              </w:rPr>
              <w:t>20</w:t>
            </w:r>
            <w:r>
              <w:rPr>
                <w:rFonts w:hint="eastAsia" w:ascii="宋体" w:hAnsi="宋体" w:cs="宋体"/>
                <w:bCs/>
                <w:color w:val="auto"/>
                <w:szCs w:val="21"/>
                <w:highlight w:val="none"/>
              </w:rPr>
              <w:t>%。</w:t>
            </w:r>
          </w:p>
          <w:p>
            <w:pPr>
              <w:pStyle w:val="2"/>
              <w:spacing w:line="36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第三期：县级国土空间总体规划成果批复后凭中标人提供的等额正规发票在15工作日内支付国土空间总体规划成果中标金额的</w:t>
            </w:r>
            <w:r>
              <w:rPr>
                <w:rFonts w:ascii="宋体" w:hAnsi="宋体" w:cs="宋体"/>
                <w:bCs/>
                <w:color w:val="auto"/>
                <w:szCs w:val="21"/>
                <w:highlight w:val="none"/>
              </w:rPr>
              <w:t>20</w:t>
            </w:r>
            <w:r>
              <w:rPr>
                <w:rFonts w:hint="eastAsia" w:ascii="宋体" w:hAnsi="宋体" w:cs="宋体"/>
                <w:bCs/>
                <w:color w:val="auto"/>
                <w:szCs w:val="21"/>
                <w:highlight w:val="none"/>
              </w:rPr>
              <w:t>%。</w:t>
            </w:r>
          </w:p>
          <w:p>
            <w:pPr>
              <w:pStyle w:val="2"/>
              <w:spacing w:line="360" w:lineRule="exact"/>
              <w:ind w:firstLine="420"/>
              <w:rPr>
                <w:rFonts w:ascii="宋体" w:hAnsi="宋体" w:cs="宋体"/>
                <w:bCs/>
                <w:color w:val="auto"/>
                <w:szCs w:val="21"/>
                <w:highlight w:val="none"/>
              </w:rPr>
            </w:pPr>
            <w:r>
              <w:rPr>
                <w:rFonts w:hint="eastAsia" w:ascii="宋体" w:hAnsi="宋体" w:cs="宋体"/>
                <w:bCs/>
                <w:color w:val="auto"/>
                <w:szCs w:val="21"/>
                <w:highlight w:val="none"/>
              </w:rPr>
              <w:t>第四期：乡镇级国土空间总体规划成果通过主管部门组织的专家评审并提交所有成果后凭中标人提供的等额正规发票在15工作日内支付国土空间总体规划成果中标金额的20%。</w:t>
            </w:r>
          </w:p>
          <w:p>
            <w:pPr>
              <w:pStyle w:val="2"/>
              <w:spacing w:line="36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第五期：乡镇级国土空间总体规划成果批复后凭中标人提供的等额正规发票在15工作日内支付国土空间总体规划成果中标金额的</w:t>
            </w:r>
            <w:r>
              <w:rPr>
                <w:rFonts w:ascii="宋体" w:hAnsi="宋体" w:cs="宋体"/>
                <w:bCs/>
                <w:color w:val="auto"/>
                <w:szCs w:val="21"/>
                <w:highlight w:val="none"/>
              </w:rPr>
              <w:t>10</w:t>
            </w:r>
            <w:r>
              <w:rPr>
                <w:rFonts w:hint="eastAsia" w:ascii="宋体" w:hAnsi="宋体" w:cs="宋体"/>
                <w:bCs/>
                <w:color w:val="auto"/>
                <w:szCs w:val="21"/>
                <w:highlight w:val="none"/>
              </w:rPr>
              <w:t>%。</w:t>
            </w:r>
          </w:p>
        </w:tc>
      </w:tr>
    </w:tbl>
    <w:p>
      <w:pPr>
        <w:spacing w:line="360" w:lineRule="auto"/>
        <w:ind w:firstLine="308" w:firstLineChars="147"/>
        <w:jc w:val="left"/>
        <w:rPr>
          <w:rFonts w:hint="eastAsia"/>
          <w:color w:val="auto"/>
          <w:highlight w:val="none"/>
        </w:rPr>
      </w:pPr>
    </w:p>
    <w:p>
      <w:pPr>
        <w:spacing w:line="360" w:lineRule="auto"/>
        <w:ind w:firstLine="308" w:firstLineChars="147"/>
        <w:jc w:val="left"/>
        <w:rPr>
          <w:rFonts w:ascii="宋体" w:hAnsi="宋体" w:cs="Arial"/>
          <w:bCs/>
          <w:color w:val="auto"/>
          <w:szCs w:val="21"/>
          <w:highlight w:val="none"/>
          <w:u w:val="singl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bookmarkEnd w:id="46"/>
    <w:bookmarkEnd w:id="47"/>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bookmarkStart w:id="49" w:name="_Toc74323513"/>
      <w:r>
        <w:rPr>
          <w:rFonts w:hint="eastAsia"/>
          <w:color w:val="auto"/>
          <w:highlight w:val="none"/>
        </w:rPr>
        <w:t>第三章  投标人须知</w:t>
      </w:r>
      <w:bookmarkEnd w:id="49"/>
    </w:p>
    <w:p>
      <w:pPr>
        <w:jc w:val="center"/>
        <w:rPr>
          <w:rFonts w:hint="eastAsia"/>
          <w:color w:val="auto"/>
          <w:sz w:val="36"/>
          <w:szCs w:val="36"/>
          <w:highlight w:val="none"/>
        </w:rPr>
      </w:pPr>
      <w:bookmarkStart w:id="50" w:name="_Toc254970526"/>
      <w:bookmarkStart w:id="51" w:name="_Toc254970667"/>
      <w:r>
        <w:rPr>
          <w:rFonts w:hint="eastAsia"/>
          <w:color w:val="auto"/>
          <w:sz w:val="36"/>
          <w:szCs w:val="36"/>
          <w:highlight w:val="none"/>
        </w:rPr>
        <w:t>投标人须知前附表</w:t>
      </w:r>
      <w:bookmarkEnd w:id="50"/>
      <w:bookmarkEnd w:id="51"/>
    </w:p>
    <w:tbl>
      <w:tblPr>
        <w:tblStyle w:val="20"/>
        <w:tblW w:w="99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9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条款号</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w:t>
            </w:r>
            <w:r>
              <w:rPr>
                <w:rFonts w:hint="eastAsia" w:ascii="宋体" w:hAnsi="宋体" w:cs="宋体"/>
                <w:color w:val="auto"/>
                <w:szCs w:val="21"/>
                <w:highlight w:val="none"/>
              </w:rPr>
              <w:t>中国执行信息公开网（http://zxgk.court.gov.cn/shixin/）、</w:t>
            </w:r>
            <w:r>
              <w:rPr>
                <w:rFonts w:hint="eastAsia" w:ascii="宋体" w:hAnsi="宋体"/>
                <w:color w:val="auto"/>
                <w:szCs w:val="21"/>
                <w:highlight w:val="none"/>
              </w:rPr>
              <w:t>“信用中国”网站(www.creditchina.gov.cn)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bookmarkStart w:id="52" w:name="_8.1"/>
            <w:bookmarkEnd w:id="52"/>
            <w:bookmarkStart w:id="53" w:name="_5"/>
            <w:bookmarkEnd w:id="53"/>
            <w:bookmarkStart w:id="54" w:name="_9.2"/>
            <w:bookmarkEnd w:id="54"/>
            <w:r>
              <w:rPr>
                <w:rFonts w:hint="eastAsia" w:ascii="宋体" w:hAnsi="宋体"/>
                <w:color w:val="auto"/>
                <w:szCs w:val="21"/>
                <w:highlight w:val="none"/>
              </w:rPr>
              <w:t>6.1</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宋体" w:hAnsi="宋体"/>
                <w:color w:val="auto"/>
                <w:szCs w:val="21"/>
                <w:highlight w:val="none"/>
              </w:rPr>
            </w:pPr>
            <w:r>
              <w:rPr>
                <w:rFonts w:hint="eastAsia" w:ascii="宋体" w:hAnsi="宋体"/>
                <w:color w:val="auto"/>
                <w:szCs w:val="21"/>
                <w:highlight w:val="none"/>
              </w:rPr>
              <w:t>本项目是否接受联合体投标：是。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ascii="宋体" w:hAnsi="宋体"/>
                <w:color w:val="auto"/>
                <w:szCs w:val="21"/>
                <w:highlight w:val="none"/>
              </w:rPr>
              <w:t>6.2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联合体投标要求如下：</w:t>
            </w:r>
          </w:p>
          <w:p>
            <w:pPr>
              <w:spacing w:line="42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①联合体各方均应符合“具有独立承担民事责任的能力”的条件。</w:t>
            </w:r>
          </w:p>
          <w:p>
            <w:pPr>
              <w:spacing w:line="42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②联合体各方应当签订联合体协议书，其中联合体牵头人代表联合体各方成员负责投标和合同实施阶段的主办、协调工作，但联合体其他成员在投标、签约与履行合同过程中，仍有连带的和各自的法律责任。</w:t>
            </w:r>
          </w:p>
          <w:p>
            <w:pPr>
              <w:spacing w:line="42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③组成联合体进行投标的单位不得再以自己的名义单独参与同一项目的投标，也不得组成新的联合体参与同一项目的投标。</w:t>
            </w:r>
          </w:p>
          <w:p>
            <w:pPr>
              <w:spacing w:line="420" w:lineRule="exact"/>
              <w:ind w:firstLine="440" w:firstLineChars="20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④联合体各方应分别在人员、设备、资金等方面具有承担本项目联合体协议书分工职责范围内的履约能力。</w:t>
            </w:r>
          </w:p>
          <w:p>
            <w:pPr>
              <w:pStyle w:val="9"/>
              <w:spacing w:line="360" w:lineRule="auto"/>
              <w:ind w:firstLine="440" w:firstLineChars="200"/>
              <w:rPr>
                <w:rFonts w:hint="eastAsia" w:ascii="宋体" w:hAnsi="宋体"/>
                <w:color w:val="auto"/>
                <w:szCs w:val="21"/>
                <w:highlight w:val="none"/>
              </w:rPr>
            </w:pPr>
            <w:r>
              <w:rPr>
                <w:rFonts w:hint="eastAsia" w:ascii="宋体" w:hAnsi="宋体" w:cs="宋体"/>
                <w:color w:val="auto"/>
                <w:sz w:val="22"/>
                <w:szCs w:val="22"/>
                <w:highlight w:val="none"/>
                <w:shd w:val="clear" w:color="auto" w:fill="FFFFFF"/>
              </w:rPr>
              <w:t>⑤投标报名截止后，联合体的组成与结构不得变动。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不允许分包</w:t>
            </w:r>
          </w:p>
          <w:p>
            <w:pPr>
              <w:pStyle w:val="9"/>
              <w:spacing w:line="360" w:lineRule="auto"/>
              <w:rPr>
                <w:rFonts w:hint="eastAsia" w:ascii="宋体" w:hAnsi="宋体"/>
                <w:color w:val="auto"/>
                <w:szCs w:val="21"/>
                <w:highlight w:val="none"/>
                <w:u w:val="single"/>
              </w:rPr>
            </w:pPr>
            <w:r>
              <w:rPr>
                <w:rFonts w:hint="eastAsia" w:ascii="宋体" w:hAnsi="宋体"/>
                <w:color w:val="auto"/>
                <w:szCs w:val="21"/>
                <w:highlight w:val="none"/>
              </w:rPr>
              <w:sym w:font="Wingdings 2" w:char="00A3"/>
            </w:r>
            <w:r>
              <w:rPr>
                <w:rFonts w:hint="eastAsia" w:ascii="宋体" w:hAnsi="宋体"/>
                <w:color w:val="auto"/>
                <w:szCs w:val="21"/>
                <w:highlight w:val="none"/>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sym w:font="Wingdings" w:char="F0FE"/>
            </w:r>
            <w:r>
              <w:rPr>
                <w:rFonts w:hint="eastAsia" w:ascii="宋体" w:hAnsi="宋体"/>
                <w:color w:val="auto"/>
                <w:szCs w:val="21"/>
                <w:highlight w:val="none"/>
              </w:rPr>
              <w:t>不组织现场考察</w:t>
            </w:r>
          </w:p>
          <w:p>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□不组织召开开标前答疑会</w:t>
            </w:r>
          </w:p>
          <w:p>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投标前准备：</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1.本项目实行网上投标，采用电子投标文件。若供应商参与投标，自行承担投标一切费用。</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2.各供应商应在投标文件递交截止时间前应确保成为政采云正式注册入库供应商，并完成CA数字证书申领。因未注册入库、未办理CA数字证书等原因造成无法投标或投标失败等后果由供应商自行承担。</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3.供应商将政采云电子交易客户端下载、安装完成后，可通过账号密码或CA登录客户端进行投标文件制作。客户端请自行前往广西政府采购网下载并安装（http://zfcg.gxzf.gov.cn/OfficeService/DownloadArea/2455918.html?utm=sites_group_front.b8b6c91.0.0.c51f9820a48111eabb9bcbdf01af125e），如有问题可拨打政采云客户服务热线400-881-7190进行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noWrap w:val="0"/>
            <w:vAlign w:val="center"/>
          </w:tcPr>
          <w:p>
            <w:pPr>
              <w:spacing w:line="360" w:lineRule="auto"/>
              <w:ind w:firstLine="210" w:firstLineChars="100"/>
              <w:rPr>
                <w:rFonts w:hint="eastAsia" w:ascii="宋体" w:hAnsi="宋体"/>
                <w:color w:val="auto"/>
                <w:szCs w:val="21"/>
                <w:highlight w:val="none"/>
              </w:rPr>
            </w:pPr>
            <w:bookmarkStart w:id="55" w:name="_13.1"/>
            <w:bookmarkEnd w:id="55"/>
            <w:r>
              <w:rPr>
                <w:rFonts w:hint="eastAsia" w:ascii="宋体" w:hAnsi="宋体"/>
                <w:color w:val="auto"/>
                <w:szCs w:val="21"/>
                <w:highlight w:val="none"/>
              </w:rPr>
              <w:t>13.</w:t>
            </w:r>
            <w:bookmarkStart w:id="56" w:name="_Hlt19632543"/>
            <w:r>
              <w:rPr>
                <w:rFonts w:hint="eastAsia" w:ascii="宋体" w:hAnsi="宋体"/>
                <w:color w:val="auto"/>
                <w:szCs w:val="21"/>
                <w:highlight w:val="none"/>
              </w:rPr>
              <w:t>1</w:t>
            </w:r>
            <w:bookmarkEnd w:id="56"/>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pPr>
              <w:numPr>
                <w:ilvl w:val="0"/>
                <w:numId w:val="3"/>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投标函（格式后附）；</w:t>
            </w:r>
            <w:r>
              <w:rPr>
                <w:rFonts w:hint="eastAsia" w:ascii="宋体" w:hAnsi="宋体"/>
                <w:b/>
                <w:color w:val="auto"/>
                <w:szCs w:val="21"/>
                <w:highlight w:val="none"/>
              </w:rPr>
              <w:t>（必须提供，否则按无效投标处理）</w:t>
            </w:r>
          </w:p>
          <w:p>
            <w:pPr>
              <w:numPr>
                <w:ilvl w:val="0"/>
                <w:numId w:val="3"/>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开标一览表（格式后附）；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3"/>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投标人针对报价需要说明的其他文件和说明（格式自拟）。</w:t>
            </w:r>
          </w:p>
          <w:p>
            <w:pPr>
              <w:snapToGrid w:val="0"/>
              <w:spacing w:line="360" w:lineRule="auto"/>
              <w:ind w:firstLine="420"/>
              <w:jc w:val="left"/>
              <w:rPr>
                <w:rFonts w:hint="eastAsia" w:ascii="宋体" w:hAnsi="宋体"/>
                <w:b/>
                <w:bCs/>
                <w:color w:val="auto"/>
                <w:szCs w:val="21"/>
                <w:highlight w:val="none"/>
              </w:rPr>
            </w:pPr>
            <w:r>
              <w:rPr>
                <w:rFonts w:hint="eastAsia" w:ascii="宋体" w:hAnsi="宋体"/>
                <w:b/>
                <w:bCs/>
                <w:color w:val="auto"/>
                <w:szCs w:val="21"/>
                <w:highlight w:val="none"/>
              </w:rPr>
              <w:t>注：1.投标函、开标一览表必须由法定代表人或者委托代理人在规定签章处逐一签字并加盖投标人公章，联合体投标的，盖牵头方公章即可，否则按无效投标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360" w:lineRule="auto"/>
              <w:ind w:firstLine="420"/>
              <w:jc w:val="left"/>
              <w:rPr>
                <w:rFonts w:hint="eastAsia" w:ascii="宋体" w:hAnsi="宋体"/>
                <w:color w:val="auto"/>
                <w:szCs w:val="21"/>
                <w:highlight w:val="none"/>
              </w:rPr>
            </w:pPr>
            <w:r>
              <w:rPr>
                <w:rFonts w:hint="eastAsia" w:ascii="宋体" w:hAnsi="宋体"/>
                <w:b/>
                <w:bCs/>
                <w:color w:val="auto"/>
                <w:szCs w:val="21"/>
                <w:highlight w:val="none"/>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57" w:name="_13.2"/>
            <w:bookmarkEnd w:id="57"/>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numPr>
                <w:ilvl w:val="0"/>
                <w:numId w:val="4"/>
              </w:numPr>
              <w:snapToGrid w:val="0"/>
              <w:spacing w:line="360" w:lineRule="auto"/>
              <w:ind w:left="990"/>
              <w:jc w:val="left"/>
              <w:rPr>
                <w:rFonts w:hint="eastAsia" w:ascii="宋体" w:hAnsi="宋体"/>
                <w:color w:val="auto"/>
                <w:szCs w:val="21"/>
                <w:highlight w:val="none"/>
              </w:rPr>
            </w:pPr>
            <w:r>
              <w:rPr>
                <w:rFonts w:hint="eastAsia" w:ascii="宋体" w:hAnsi="宋体"/>
                <w:color w:val="auto"/>
                <w:szCs w:val="21"/>
                <w:highlight w:val="none"/>
              </w:rPr>
              <w:t>投标人为法人或者其他组织的，提供营业执照等证明文件</w:t>
            </w:r>
            <w:r>
              <w:rPr>
                <w:rFonts w:hint="eastAsia" w:ascii="宋体" w:hAnsi="宋体" w:cs="宋体"/>
                <w:color w:val="auto"/>
                <w:szCs w:val="21"/>
                <w:highlight w:val="none"/>
              </w:rPr>
              <w:t>（如营业执照或者事业单位法人证书或者</w:t>
            </w:r>
            <w:r>
              <w:rPr>
                <w:rStyle w:val="27"/>
                <w:color w:val="auto"/>
                <w:sz w:val="21"/>
                <w:szCs w:val="21"/>
                <w:highlight w:val="none"/>
              </w:rPr>
              <w:t>执业许可证</w:t>
            </w:r>
            <w:r>
              <w:rPr>
                <w:rFonts w:hint="eastAsia" w:ascii="宋体" w:hAnsi="宋体" w:cs="宋体"/>
                <w:color w:val="auto"/>
                <w:szCs w:val="21"/>
                <w:highlight w:val="none"/>
              </w:rPr>
              <w:t>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0"/>
              </w:numPr>
              <w:snapToGrid w:val="0"/>
              <w:spacing w:line="360" w:lineRule="auto"/>
              <w:ind w:left="420" w:leftChars="0" w:firstLine="210" w:firstLineChars="100"/>
              <w:jc w:val="left"/>
              <w:rPr>
                <w:rFonts w:hint="eastAsia" w:eastAsia="宋体"/>
                <w:color w:val="auto"/>
                <w:highlight w:val="none"/>
                <w:lang w:val="en-US" w:eastAsia="zh-CN"/>
              </w:rPr>
            </w:pPr>
            <w:r>
              <w:rPr>
                <w:rFonts w:hint="eastAsia" w:ascii="宋体" w:hAnsi="宋体"/>
                <w:color w:val="auto"/>
                <w:szCs w:val="21"/>
                <w:highlight w:val="none"/>
                <w:lang w:val="en-US" w:eastAsia="zh-CN"/>
              </w:rPr>
              <w:t>2.</w:t>
            </w:r>
            <w:r>
              <w:rPr>
                <w:rFonts w:hint="eastAsia" w:ascii="宋体" w:hAnsi="宋体" w:eastAsia="宋体" w:cs="宋体"/>
                <w:b w:val="0"/>
                <w:bCs w:val="0"/>
                <w:color w:val="auto"/>
                <w:kern w:val="2"/>
                <w:sz w:val="21"/>
                <w:szCs w:val="21"/>
                <w:highlight w:val="none"/>
                <w:lang w:val="en-US" w:eastAsia="zh-CN" w:bidi="ar-SA"/>
              </w:rPr>
              <w:t>投标人的资质证书（复印件，必须提供，须符合本项目所要求的资质等级，</w:t>
            </w:r>
            <w:r>
              <w:rPr>
                <w:rFonts w:hint="eastAsia" w:ascii="宋体" w:hAnsi="宋体"/>
                <w:b/>
                <w:color w:val="auto"/>
                <w:szCs w:val="21"/>
                <w:highlight w:val="none"/>
              </w:rPr>
              <w:t>否则按无效投标处理</w:t>
            </w:r>
            <w:r>
              <w:rPr>
                <w:rFonts w:hint="eastAsia" w:ascii="宋体" w:hAnsi="宋体" w:eastAsia="宋体" w:cs="宋体"/>
                <w:b w:val="0"/>
                <w:bCs w:val="0"/>
                <w:color w:val="auto"/>
                <w:kern w:val="2"/>
                <w:sz w:val="21"/>
                <w:szCs w:val="21"/>
                <w:highlight w:val="none"/>
                <w:lang w:val="en-US" w:eastAsia="zh-CN" w:bidi="ar-SA"/>
              </w:rPr>
              <w:t>）</w:t>
            </w:r>
          </w:p>
          <w:p>
            <w:pPr>
              <w:numPr>
                <w:ilvl w:val="-1"/>
                <w:numId w:val="0"/>
              </w:numPr>
              <w:snapToGrid w:val="0"/>
              <w:spacing w:line="360" w:lineRule="auto"/>
              <w:ind w:left="420" w:firstLine="210" w:firstLineChars="100"/>
              <w:jc w:val="left"/>
              <w:rPr>
                <w:rFonts w:hint="eastAsia" w:ascii="宋体" w:hAnsi="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u w:val="single"/>
              </w:rPr>
              <w:t>2021</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2021</w:t>
            </w:r>
            <w:r>
              <w:rPr>
                <w:rFonts w:hint="eastAsia" w:ascii="宋体" w:hAnsi="宋体" w:cs="宋体"/>
                <w:color w:val="auto"/>
                <w:szCs w:val="21"/>
                <w:highlight w:val="none"/>
              </w:rPr>
              <w:t>年</w:t>
            </w:r>
            <w:r>
              <w:rPr>
                <w:rFonts w:hint="eastAsia" w:ascii="宋体" w:hAnsi="宋体" w:cs="宋体"/>
                <w:color w:val="auto"/>
                <w:szCs w:val="21"/>
                <w:highlight w:val="none"/>
                <w:u w:val="single"/>
              </w:rPr>
              <w:t>8</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1"/>
                <w:numId w:val="0"/>
              </w:numPr>
              <w:snapToGrid w:val="0"/>
              <w:spacing w:line="360" w:lineRule="auto"/>
              <w:ind w:left="630" w:firstLine="0"/>
              <w:jc w:val="left"/>
              <w:rPr>
                <w:rFonts w:hint="eastAsia" w:ascii="宋体" w:hAnsi="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u w:val="single"/>
              </w:rPr>
              <w:t>2021年1月至2021年8月内连续 3 个月</w:t>
            </w:r>
            <w:r>
              <w:rPr>
                <w:rFonts w:hint="eastAsia" w:ascii="宋体" w:hAnsi="宋体" w:cs="宋体"/>
                <w:color w:val="auto"/>
                <w:szCs w:val="21"/>
                <w:highlight w:val="none"/>
              </w:rPr>
              <w:t>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1"/>
                <w:numId w:val="0"/>
              </w:numPr>
              <w:snapToGrid w:val="0"/>
              <w:spacing w:line="360" w:lineRule="auto"/>
              <w:ind w:left="630" w:firstLine="0"/>
              <w:jc w:val="left"/>
              <w:rPr>
                <w:rFonts w:hint="eastAsia" w:ascii="宋体" w:hAnsi="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投标人财务状况报告[</w:t>
            </w:r>
            <w:r>
              <w:rPr>
                <w:rFonts w:hint="eastAsia" w:ascii="宋体" w:hAnsi="宋体" w:cs="宋体"/>
                <w:color w:val="auto"/>
                <w:szCs w:val="21"/>
                <w:highlight w:val="none"/>
                <w:u w:val="single"/>
              </w:rPr>
              <w:t xml:space="preserve"> 2019或2020</w:t>
            </w:r>
            <w:r>
              <w:rPr>
                <w:rFonts w:hint="eastAsia" w:ascii="宋体" w:hAnsi="宋体" w:cs="宋体"/>
                <w:color w:val="auto"/>
                <w:szCs w:val="21"/>
                <w:highlight w:val="none"/>
              </w:rPr>
              <w:t>年度财务状况报告复印件，供应商是法人的，应提供经审计的财务报告或者其基本开户银行出具的资信证明（注明有效期的，应在有效期内；未注明有效期的，出具时间至投标截止时间不超过一年）；供应商是其他组织或者自然人的，应提供经审计的财务报告或者银行出具的资信证明（注明有效期的，应在有效期内；未注明有效期的，出具时间至投标截止时间不超过一年）]</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1"/>
                <w:numId w:val="0"/>
              </w:numPr>
              <w:snapToGrid w:val="0"/>
              <w:spacing w:line="360" w:lineRule="auto"/>
              <w:ind w:left="630" w:firstLine="0"/>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投标人直接控股、管理关系信息表（格式后附）；（如有，请提供）</w:t>
            </w:r>
          </w:p>
          <w:p>
            <w:pPr>
              <w:numPr>
                <w:ilvl w:val="-1"/>
                <w:numId w:val="0"/>
              </w:numPr>
              <w:snapToGrid w:val="0"/>
              <w:spacing w:line="360" w:lineRule="auto"/>
              <w:ind w:left="630" w:firstLine="0"/>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1"/>
                <w:numId w:val="0"/>
              </w:numPr>
              <w:snapToGrid w:val="0"/>
              <w:spacing w:line="360" w:lineRule="auto"/>
              <w:ind w:left="630" w:firstLine="0"/>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除招标文件规定必须提供以外，投标人认为需要提供的其他证明材料。</w:t>
            </w:r>
          </w:p>
          <w:p>
            <w:pPr>
              <w:snapToGrid w:val="0"/>
              <w:spacing w:line="360" w:lineRule="auto"/>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以上标明“必须提供”的材料属于复印件的，必须加盖投标人公章，联合体投标的，盖牵头方公章即可，否则按无效投标</w:t>
            </w:r>
            <w:r>
              <w:rPr>
                <w:rFonts w:hint="eastAsia" w:ascii="宋体" w:hAnsi="宋体" w:cs="Courier New"/>
                <w:b/>
                <w:color w:val="auto"/>
                <w:szCs w:val="21"/>
                <w:highlight w:val="none"/>
              </w:rPr>
              <w:t>处理。</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投标声明必须由法定代表人在规定签章处签字并加盖投标人公章，联合体投标的，盖牵头方公章即可，否则按无效投标处理。</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3.投标人直接控股、管理关系信息表必须由法定代表人或者委托代理人在规定签章处签字并加盖投标人公章，联合体投标的，盖牵头方公章即可，否则按无效投标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58" w:name="_13.3"/>
            <w:bookmarkEnd w:id="58"/>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如要求提交则必须提供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商务条款偏离表（格式后附）；（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.投标人情况介绍（格式自拟）；</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8、联合体协议书（如有，请提供）</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 1.授权委托书必须由法定代表人及委托代理人签字，并加盖投标人公章，联合体投标的，盖牵头方公章即可，否则按无效投标处理。</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以上标明“必须提供”的材料属于复印件的，必须加盖投标人公章，联合体投标的，盖牵头方公章即可，否则按无效投标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360" w:lineRule="auto"/>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59" w:name="_13.4"/>
            <w:bookmarkEnd w:id="59"/>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技术文件：</w:t>
            </w:r>
          </w:p>
          <w:p>
            <w:pPr>
              <w:snapToGrid w:val="0"/>
              <w:spacing w:line="360" w:lineRule="auto"/>
              <w:ind w:left="420"/>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.服务需求偏离表（格式后附）；（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w:t>
            </w:r>
            <w:r>
              <w:rPr>
                <w:rFonts w:hint="eastAsia"/>
                <w:color w:val="auto"/>
                <w:highlight w:val="none"/>
              </w:rPr>
              <w:t>拟投入的技术力量、人员配置</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pacing w:line="360" w:lineRule="auto"/>
              <w:ind w:firstLine="424" w:firstLineChars="202"/>
              <w:rPr>
                <w:color w:val="auto"/>
                <w:highlight w:val="none"/>
              </w:rPr>
            </w:pPr>
            <w:r>
              <w:rPr>
                <w:rFonts w:hint="eastAsia" w:ascii="宋体" w:hAnsi="宋体"/>
                <w:color w:val="auto"/>
                <w:szCs w:val="21"/>
                <w:highlight w:val="none"/>
              </w:rPr>
              <w:t>3.</w:t>
            </w:r>
            <w:r>
              <w:rPr>
                <w:rFonts w:hint="eastAsia"/>
                <w:color w:val="auto"/>
                <w:highlight w:val="none"/>
              </w:rPr>
              <w:t>质量和保密保证措施及承诺</w:t>
            </w:r>
            <w:r>
              <w:rPr>
                <w:rFonts w:hint="eastAsia" w:ascii="宋体" w:hAnsi="宋体"/>
                <w:color w:val="auto"/>
                <w:szCs w:val="21"/>
                <w:highlight w:val="none"/>
              </w:rPr>
              <w:t>；</w:t>
            </w:r>
          </w:p>
          <w:p>
            <w:pPr>
              <w:spacing w:line="360" w:lineRule="auto"/>
              <w:ind w:firstLine="424" w:firstLineChars="202"/>
              <w:rPr>
                <w:rFonts w:hint="eastAsia"/>
                <w:color w:val="auto"/>
                <w:highlight w:val="none"/>
              </w:rPr>
            </w:pPr>
            <w:r>
              <w:rPr>
                <w:rFonts w:hint="eastAsia" w:ascii="宋体" w:hAnsi="宋体"/>
                <w:color w:val="auto"/>
                <w:szCs w:val="21"/>
                <w:highlight w:val="none"/>
              </w:rPr>
              <w:t>4.</w:t>
            </w:r>
            <w:r>
              <w:rPr>
                <w:rFonts w:hint="eastAsia"/>
                <w:color w:val="auto"/>
                <w:highlight w:val="none"/>
              </w:rPr>
              <w:t>后续服务和其它优化措施</w:t>
            </w:r>
            <w:r>
              <w:rPr>
                <w:rFonts w:hint="eastAsia" w:ascii="宋体" w:hAnsi="宋体"/>
                <w:color w:val="auto"/>
                <w:szCs w:val="21"/>
                <w:highlight w:val="none"/>
              </w:rPr>
              <w:t>；</w:t>
            </w:r>
          </w:p>
          <w:p>
            <w:pPr>
              <w:spacing w:line="360" w:lineRule="auto"/>
              <w:ind w:firstLine="424" w:firstLineChars="202"/>
              <w:rPr>
                <w:color w:val="auto"/>
                <w:highlight w:val="none"/>
              </w:rPr>
            </w:pPr>
            <w:r>
              <w:rPr>
                <w:rFonts w:hint="eastAsia"/>
                <w:color w:val="auto"/>
                <w:highlight w:val="none"/>
              </w:rPr>
              <w:t>5.</w:t>
            </w:r>
            <w:r>
              <w:rPr>
                <w:rFonts w:hint="eastAsia"/>
                <w:color w:val="auto"/>
                <w:highlight w:val="none"/>
              </w:rPr>
              <w:t>投标人项目业绩</w:t>
            </w:r>
            <w:r>
              <w:rPr>
                <w:rFonts w:hint="eastAsia" w:ascii="宋体" w:hAnsi="宋体"/>
                <w:color w:val="auto"/>
                <w:szCs w:val="21"/>
                <w:highlight w:val="none"/>
              </w:rPr>
              <w:t>；</w:t>
            </w:r>
          </w:p>
          <w:p>
            <w:pPr>
              <w:snapToGrid w:val="0"/>
              <w:spacing w:line="360" w:lineRule="auto"/>
              <w:ind w:left="420"/>
              <w:jc w:val="left"/>
              <w:rPr>
                <w:rFonts w:hint="eastAsia" w:ascii="宋体" w:hAnsi="宋体"/>
                <w:bCs/>
                <w:color w:val="auto"/>
                <w:szCs w:val="21"/>
                <w:highlight w:val="none"/>
              </w:rPr>
            </w:pPr>
            <w:r>
              <w:rPr>
                <w:rFonts w:hint="eastAsia" w:ascii="宋体" w:hAnsi="宋体"/>
                <w:color w:val="auto"/>
                <w:szCs w:val="21"/>
                <w:highlight w:val="none"/>
              </w:rPr>
              <w:t>6.除招标文件规定必须提供以外，投标人需要说明的其他文件和说明（格式自拟）。</w:t>
            </w:r>
          </w:p>
          <w:p>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注：1.以上标明“必须提供”的材料属于复印件的，必须加盖投标人公章，联合体投标的，盖牵头方公章即可，否则按无效投标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60" w:name="_13.5"/>
            <w:bookmarkEnd w:id="60"/>
            <w:r>
              <w:rPr>
                <w:rFonts w:hint="eastAsia" w:ascii="宋体" w:hAnsi="宋体"/>
                <w:color w:val="auto"/>
                <w:szCs w:val="21"/>
                <w:highlight w:val="none"/>
              </w:rPr>
              <w:t>13.</w:t>
            </w:r>
            <w:r>
              <w:rPr>
                <w:rFonts w:ascii="宋体" w:hAnsi="宋体"/>
                <w:color w:val="auto"/>
                <w:szCs w:val="21"/>
                <w:highlight w:val="none"/>
              </w:rPr>
              <w:t>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1.供应商应准备线下纸质版投标文件扫描件的电子备份投标文件、以介质（U盘）存储。</w:t>
            </w:r>
          </w:p>
          <w:p>
            <w:pPr>
              <w:snapToGrid w:val="0"/>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2.投标文件启用顺序和效力。投标文件的启用，按先后顺位分别为电子投标文件、以介质存储的线下纸质版投标文件扫描件的电子备份投标文件。顺位在先的投标文件已按时解密的，下一顺位投标文件自动失效。在下一顺位的投标文件启用时，前一顺位的投标文件自动失效。</w:t>
            </w:r>
          </w:p>
          <w:p>
            <w:pPr>
              <w:snapToGrid w:val="0"/>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3.未传输递交电子投标文件的，投标无效。</w:t>
            </w:r>
          </w:p>
          <w:p>
            <w:pPr>
              <w:snapToGrid w:val="0"/>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4.未按规定提供相应的备份投标文件，造成项目开评标活动无法进行下去的，投标无效。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61" w:name="_16.2"/>
            <w:bookmarkEnd w:id="61"/>
            <w:r>
              <w:rPr>
                <w:rFonts w:hint="eastAsia" w:ascii="宋体" w:hAnsi="宋体"/>
                <w:color w:val="auto"/>
                <w:szCs w:val="21"/>
                <w:highlight w:val="none"/>
              </w:rPr>
              <w:t>16</w:t>
            </w:r>
            <w:bookmarkStart w:id="62" w:name="_Hlt19693758"/>
            <w:bookmarkStart w:id="63" w:name="_Hlt19194067"/>
            <w:bookmarkStart w:id="64" w:name="_Hlt19693759"/>
            <w:bookmarkStart w:id="65" w:name="_Hlt19194066"/>
            <w:r>
              <w:rPr>
                <w:rFonts w:hint="eastAsia" w:ascii="宋体" w:hAnsi="宋体"/>
                <w:color w:val="auto"/>
                <w:szCs w:val="21"/>
                <w:highlight w:val="none"/>
              </w:rPr>
              <w:t>.</w:t>
            </w:r>
            <w:bookmarkEnd w:id="62"/>
            <w:bookmarkEnd w:id="63"/>
            <w:bookmarkEnd w:id="64"/>
            <w:bookmarkEnd w:id="65"/>
            <w:r>
              <w:rPr>
                <w:rFonts w:hint="eastAsia" w:ascii="宋体" w:hAnsi="宋体"/>
                <w:color w:val="auto"/>
                <w:szCs w:val="21"/>
                <w:highlight w:val="none"/>
              </w:rPr>
              <w:t>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即满足全部采购需求所应提供的服务。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66" w:name="_17.1"/>
            <w:bookmarkEnd w:id="66"/>
            <w:r>
              <w:rPr>
                <w:rFonts w:hint="eastAsia" w:ascii="宋体" w:hAnsi="宋体"/>
                <w:color w:val="auto"/>
                <w:szCs w:val="21"/>
                <w:highlight w:val="none"/>
              </w:rPr>
              <w:t>17.</w:t>
            </w:r>
            <w:r>
              <w:rPr>
                <w:rFonts w:ascii="宋体" w:hAnsi="宋体"/>
                <w:color w:val="auto"/>
                <w:szCs w:val="21"/>
                <w:highlight w:val="none"/>
              </w:rPr>
              <w:t>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lang w:val="en-US" w:eastAsia="zh-CN"/>
              </w:rPr>
              <w:t>90</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67" w:name="_18"/>
            <w:bookmarkEnd w:id="67"/>
            <w:r>
              <w:rPr>
                <w:rFonts w:hint="eastAsia" w:ascii="宋体" w:hAnsi="宋体"/>
                <w:color w:val="auto"/>
                <w:szCs w:val="21"/>
                <w:highlight w:val="none"/>
              </w:rPr>
              <w:t>18</w:t>
            </w:r>
            <w:r>
              <w:rPr>
                <w:rFonts w:ascii="宋体" w:hAnsi="宋体"/>
                <w:color w:val="auto"/>
                <w:szCs w:val="21"/>
                <w:highlight w:val="none"/>
              </w:rPr>
              <w:t>.1</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pPr>
              <w:snapToGrid w:val="0"/>
              <w:spacing w:line="360" w:lineRule="auto"/>
              <w:rPr>
                <w:rFonts w:ascii="宋体" w:hAnsi="宋体"/>
                <w:color w:val="auto"/>
                <w:szCs w:val="21"/>
                <w:highlight w:val="none"/>
              </w:rPr>
            </w:pPr>
            <w:r>
              <w:rPr>
                <w:rFonts w:hint="eastAsia" w:ascii="宋体" w:hAnsi="宋体"/>
                <w:color w:val="auto"/>
                <w:szCs w:val="21"/>
                <w:highlight w:val="none"/>
              </w:rPr>
              <w:sym w:font="Wingdings" w:char="F0FE"/>
            </w:r>
            <w:r>
              <w:rPr>
                <w:rFonts w:hint="eastAsia" w:ascii="宋体" w:hAnsi="宋体"/>
                <w:color w:val="auto"/>
                <w:szCs w:val="21"/>
                <w:highlight w:val="none"/>
              </w:rPr>
              <w:t>本项目收取投标保证金，具体规定如下：</w:t>
            </w:r>
          </w:p>
          <w:p>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rPr>
              <w:t>投标保证金人民币</w:t>
            </w:r>
            <w:r>
              <w:rPr>
                <w:rFonts w:hint="eastAsia" w:ascii="宋体" w:hAnsi="宋体" w:cs="宋体"/>
                <w:color w:val="auto"/>
                <w:kern w:val="0"/>
                <w:szCs w:val="21"/>
                <w:highlight w:val="none"/>
                <w:u w:val="single"/>
              </w:rPr>
              <w:t xml:space="preserve"> 100000.00</w:t>
            </w:r>
            <w:r>
              <w:rPr>
                <w:rFonts w:hint="eastAsia" w:ascii="宋体" w:hAnsi="宋体" w:cs="宋体"/>
                <w:color w:val="auto"/>
                <w:kern w:val="0"/>
                <w:szCs w:val="21"/>
                <w:highlight w:val="none"/>
              </w:rPr>
              <w:t>元。</w:t>
            </w:r>
          </w:p>
          <w:p>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投标保证金的交纳方式：银行转账、支票、汇票、本票或者银行、保险机构出具的保函，禁止采用现钞方式。采用银行转账方式的，在投标截止时间前交至采购代理机构指定账户并且到账（</w:t>
            </w:r>
            <w:r>
              <w:rPr>
                <w:rFonts w:hint="eastAsia" w:ascii="宋体" w:hAnsi="宋体" w:cs="宋体"/>
                <w:color w:val="auto"/>
                <w:szCs w:val="21"/>
                <w:highlight w:val="none"/>
                <w:lang w:bidi="ar"/>
              </w:rPr>
              <w:t>户名：</w:t>
            </w:r>
            <w:r>
              <w:rPr>
                <w:rFonts w:hint="eastAsia" w:ascii="宋体" w:hAnsi="宋体" w:cs="宋体"/>
                <w:color w:val="auto"/>
                <w:szCs w:val="21"/>
                <w:highlight w:val="none"/>
                <w:u w:val="single"/>
                <w:lang w:bidi="ar"/>
              </w:rPr>
              <w:t>苍梧县国土空间规划服务中心</w:t>
            </w:r>
            <w:r>
              <w:rPr>
                <w:rFonts w:hint="eastAsia" w:ascii="宋体" w:hAnsi="宋体" w:cs="宋体"/>
                <w:color w:val="auto"/>
                <w:szCs w:val="21"/>
                <w:highlight w:val="none"/>
                <w:lang w:bidi="ar"/>
              </w:rPr>
              <w:t>，开户行：</w:t>
            </w:r>
            <w:r>
              <w:rPr>
                <w:rFonts w:hint="eastAsia" w:ascii="宋体" w:hAnsi="宋体" w:cs="宋体"/>
                <w:color w:val="auto"/>
                <w:szCs w:val="21"/>
                <w:highlight w:val="none"/>
                <w:u w:val="single"/>
                <w:lang w:bidi="ar"/>
              </w:rPr>
              <w:t>苍梧农行营业室</w:t>
            </w:r>
            <w:r>
              <w:rPr>
                <w:rFonts w:hint="eastAsia" w:ascii="宋体" w:hAnsi="宋体" w:cs="宋体"/>
                <w:color w:val="auto"/>
                <w:szCs w:val="21"/>
                <w:highlight w:val="none"/>
                <w:lang w:bidi="ar"/>
              </w:rPr>
              <w:t>，帐号：</w:t>
            </w:r>
            <w:r>
              <w:rPr>
                <w:rFonts w:hint="eastAsia" w:ascii="宋体" w:hAnsi="宋体" w:cs="宋体"/>
                <w:color w:val="auto"/>
                <w:szCs w:val="21"/>
                <w:highlight w:val="none"/>
                <w:u w:val="single"/>
                <w:lang w:bidi="ar"/>
              </w:rPr>
              <w:t>20351101040004484</w:t>
            </w:r>
            <w:r>
              <w:rPr>
                <w:rFonts w:hint="eastAsia" w:ascii="宋体" w:hAnsi="宋体" w:cs="宋体"/>
                <w:color w:val="auto"/>
                <w:kern w:val="0"/>
                <w:szCs w:val="21"/>
                <w:highlight w:val="none"/>
              </w:rPr>
              <w:t>）；采用支</w:t>
            </w:r>
            <w:r>
              <w:rPr>
                <w:rFonts w:hint="eastAsia" w:ascii="宋体" w:hAnsi="宋体" w:cs="宋体"/>
                <w:color w:val="auto"/>
                <w:kern w:val="0"/>
                <w:szCs w:val="21"/>
                <w:highlight w:val="none"/>
              </w:rPr>
              <w:t>票、汇票、本票或者保函等方式的，在投标截止时间前，投标人必须递交单独密封的支票、汇票、本票或者保函原件。否则视为无效投标保证金。</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pPr>
              <w:pStyle w:val="9"/>
              <w:spacing w:line="360" w:lineRule="auto"/>
              <w:rPr>
                <w:rFonts w:hint="eastAsia" w:ascii="宋体" w:hAnsi="宋体"/>
                <w:color w:val="auto"/>
                <w:szCs w:val="21"/>
                <w:highlight w:val="none"/>
              </w:rPr>
            </w:pPr>
            <w:r>
              <w:rPr>
                <w:rFonts w:hint="eastAsia" w:ascii="宋体" w:hAnsi="宋体"/>
                <w:color w:val="auto"/>
                <w:szCs w:val="21"/>
                <w:highlight w:val="none"/>
              </w:rPr>
              <w:t>1.投标保证金采用银行转账交纳方式的，在投标截止时间前交至采购代理机构指定账户并且到账，投标人应将银行转账底单的复印件作为投标保证金提交凭证，</w:t>
            </w:r>
            <w:r>
              <w:rPr>
                <w:rFonts w:ascii="宋体" w:hAnsi="宋体"/>
                <w:color w:val="auto"/>
                <w:szCs w:val="21"/>
                <w:highlight w:val="none"/>
              </w:rPr>
              <w:t>放置于</w:t>
            </w:r>
            <w:r>
              <w:rPr>
                <w:rFonts w:hint="eastAsia" w:ascii="宋体" w:hAnsi="宋体"/>
                <w:color w:val="auto"/>
                <w:szCs w:val="21"/>
                <w:highlight w:val="none"/>
              </w:rPr>
              <w:t>商务文件</w:t>
            </w:r>
            <w:r>
              <w:rPr>
                <w:rFonts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。投标人必须于递交投标文件时将支票、汇票、本票或者银行、保险机构出具的保函原件提交给采购人或者采购代理机构，由采购人或者采购代理机构向投标人出具回执，并妥善保管。</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5.采用银行、保险机构出具保函的，必须为无条件保函，否则视为无效投标保证金。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68" w:name="_19.2"/>
            <w:bookmarkEnd w:id="68"/>
            <w:r>
              <w:rPr>
                <w:rFonts w:hint="eastAsia" w:ascii="宋体" w:hAnsi="宋体"/>
                <w:color w:val="auto"/>
                <w:szCs w:val="21"/>
                <w:highlight w:val="none"/>
              </w:rPr>
              <w:t>19.2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按报价文件、资格证明文件、商务文件、技术文件分别编制。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69" w:name="_21.1"/>
            <w:bookmarkEnd w:id="69"/>
            <w:r>
              <w:rPr>
                <w:rFonts w:hint="eastAsia" w:ascii="宋体" w:hAnsi="宋体"/>
                <w:color w:val="auto"/>
                <w:szCs w:val="21"/>
                <w:highlight w:val="none"/>
              </w:rPr>
              <w:t>21</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1.提交投标文件截止时间：2021年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24</w:t>
            </w:r>
            <w:r>
              <w:rPr>
                <w:rFonts w:hint="eastAsia" w:ascii="宋体" w:hAnsi="宋体"/>
                <w:color w:val="auto"/>
                <w:szCs w:val="21"/>
                <w:highlight w:val="none"/>
              </w:rPr>
              <w:t>日09时30分</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2.投标地点：政府采购云平台（https://www.zcygov.cn）在线投标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0" w:name="_23"/>
            <w:bookmarkEnd w:id="70"/>
            <w:r>
              <w:rPr>
                <w:rFonts w:hint="eastAsia" w:ascii="宋体" w:hAnsi="宋体"/>
                <w:color w:val="auto"/>
                <w:szCs w:val="21"/>
                <w:highlight w:val="none"/>
              </w:rPr>
              <w:t>23</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1.开标时间：同投标文件递交截止时间</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 通过政府采购云平台实行在线截标</w:t>
            </w:r>
          </w:p>
          <w:p>
            <w:pPr>
              <w:snapToGrid w:val="0"/>
              <w:spacing w:line="360" w:lineRule="auto"/>
              <w:rPr>
                <w:rFonts w:hint="eastAsia" w:ascii="宋体" w:hAnsi="宋体"/>
                <w:color w:val="auto"/>
                <w:szCs w:val="21"/>
                <w:highlight w:val="none"/>
              </w:rPr>
            </w:pPr>
            <w:r>
              <w:rPr>
                <w:rFonts w:hint="eastAsia" w:ascii="宋体" w:hAnsi="宋体"/>
                <w:b/>
                <w:color w:val="auto"/>
                <w:sz w:val="22"/>
                <w:szCs w:val="21"/>
                <w:highlight w:val="none"/>
              </w:rPr>
              <w:t>3.电子投标文件解密时间：</w:t>
            </w:r>
            <w:r>
              <w:rPr>
                <w:rFonts w:hint="eastAsia" w:ascii="宋体" w:hAnsi="宋体"/>
                <w:color w:val="auto"/>
                <w:sz w:val="22"/>
                <w:szCs w:val="21"/>
                <w:highlight w:val="none"/>
              </w:rPr>
              <w:t>截标时间后30分钟内，供应商必须在此时间段内登录政采云平台，用“项目采购-开标评标”功能完成电子投标文件的解密。若投标供应商在规定时间内未按时解密的，视为投标文件撤回。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24（5）</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hAnsi="宋体"/>
                <w:color w:val="auto"/>
                <w:highlight w:val="none"/>
              </w:rPr>
              <w:t>唱标内容：投标人名称、投标价格、</w:t>
            </w:r>
            <w:r>
              <w:rPr>
                <w:rFonts w:hint="eastAsia" w:hAnsi="宋体"/>
                <w:color w:val="auto"/>
                <w:highlight w:val="none"/>
                <w:u w:val="single"/>
              </w:rPr>
              <w:t xml:space="preserve"> 实施时间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1" w:name="_25.3"/>
            <w:bookmarkEnd w:id="71"/>
            <w:r>
              <w:rPr>
                <w:rFonts w:hint="eastAsia" w:ascii="宋体" w:hAnsi="宋体"/>
                <w:color w:val="auto"/>
                <w:szCs w:val="21"/>
                <w:highlight w:val="none"/>
              </w:rPr>
              <w:t>25.3（3）</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w:t>
            </w:r>
            <w:r>
              <w:rPr>
                <w:rFonts w:hint="eastAsia" w:ascii="宋体" w:hAnsi="宋体" w:cs="宋体"/>
                <w:color w:val="auto"/>
                <w:szCs w:val="21"/>
                <w:highlight w:val="none"/>
              </w:rPr>
              <w:t>中国执行信息公开网（http://zxgk.court.gov.cn/shixin/）、</w:t>
            </w:r>
            <w:r>
              <w:rPr>
                <w:rFonts w:hint="eastAsia" w:ascii="宋体" w:hAnsi="宋体"/>
                <w:color w:val="auto"/>
                <w:szCs w:val="21"/>
                <w:highlight w:val="none"/>
              </w:rPr>
              <w:t>“信用中国”网站(www.creditchina.gov.cn) 、中国政府采购网(www.ccgp.gov.cn)。</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查询记录和证据留存方式：在查询网站中直接打印查询记录，打印材料作为评审资料保存。</w:t>
            </w:r>
          </w:p>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信用信息使用规则：对在</w:t>
            </w:r>
            <w:r>
              <w:rPr>
                <w:rFonts w:hint="eastAsia" w:ascii="宋体" w:hAnsi="宋体" w:cs="宋体"/>
                <w:color w:val="auto"/>
                <w:szCs w:val="21"/>
                <w:highlight w:val="none"/>
              </w:rPr>
              <w:t>中国执行信息公开网（http://zxgk.court.gov.cn/shixin/）、</w:t>
            </w:r>
            <w:r>
              <w:rPr>
                <w:rFonts w:hint="eastAsia" w:ascii="宋体" w:hAnsi="宋体"/>
                <w:color w:val="auto"/>
                <w:szCs w:val="21"/>
                <w:highlight w:val="none"/>
              </w:rPr>
              <w:t>“信用中国”网站(www.creditchina.gov.cn)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2" w:name="_26"/>
            <w:bookmarkEnd w:id="72"/>
            <w:r>
              <w:rPr>
                <w:rFonts w:hint="eastAsia" w:ascii="宋体" w:hAnsi="宋体"/>
                <w:color w:val="auto"/>
                <w:szCs w:val="21"/>
                <w:highlight w:val="none"/>
              </w:rPr>
              <w:t>26</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5</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3" w:name="_28.3"/>
            <w:bookmarkEnd w:id="73"/>
            <w:r>
              <w:rPr>
                <w:rFonts w:ascii="宋体" w:hAnsi="宋体"/>
                <w:color w:val="auto"/>
                <w:szCs w:val="21"/>
                <w:highlight w:val="none"/>
              </w:rPr>
              <w:t>29.1</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sym w:font="Wingdings" w:char="F0FE"/>
            </w:r>
            <w:r>
              <w:rPr>
                <w:rFonts w:hint="eastAsia" w:ascii="宋体" w:hAnsi="宋体"/>
                <w:color w:val="auto"/>
                <w:szCs w:val="21"/>
                <w:highlight w:val="none"/>
              </w:rPr>
              <w:t>综合评分法</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□最低评标报价法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7"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4" w:name="_29.2.2（2）"/>
            <w:bookmarkEnd w:id="74"/>
            <w:r>
              <w:rPr>
                <w:rFonts w:hint="eastAsia" w:ascii="宋体" w:hAnsi="宋体"/>
                <w:color w:val="auto"/>
                <w:szCs w:val="21"/>
                <w:highlight w:val="none"/>
              </w:rPr>
              <w:t>29</w:t>
            </w:r>
            <w:r>
              <w:rPr>
                <w:rFonts w:ascii="宋体" w:hAnsi="宋体"/>
                <w:color w:val="auto"/>
                <w:szCs w:val="21"/>
                <w:highlight w:val="none"/>
              </w:rPr>
              <w:t>.2</w:t>
            </w:r>
          </w:p>
        </w:tc>
        <w:tc>
          <w:tcPr>
            <w:tcW w:w="9160" w:type="dxa"/>
            <w:tcBorders>
              <w:top w:val="single" w:color="auto" w:sz="4" w:space="0"/>
              <w:left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商务条款</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p>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采购人确定中标人时，出现中标候选人并列的情形，采购人按以下的方式确定中标人：</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sym w:font="Wingdings" w:char="F0FE"/>
            </w:r>
            <w:r>
              <w:rPr>
                <w:rFonts w:hint="eastAsia" w:ascii="宋体" w:hAnsi="宋体"/>
                <w:color w:val="auto"/>
                <w:szCs w:val="21"/>
                <w:highlight w:val="none"/>
              </w:rPr>
              <w:t>依次按投标报价低的优先、政策分得分高的优先、技术评分高的优先、商务评分高的优先、项目质保期长优先、交货期短优先、故障响应时间短优先的顺序确定；</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采用最低评标价法的采购项目，</w:t>
            </w:r>
            <w:r>
              <w:rPr>
                <w:rFonts w:hint="eastAsia" w:ascii="宋体" w:hAnsi="宋体"/>
                <w:color w:val="auto"/>
                <w:szCs w:val="21"/>
                <w:highlight w:val="none"/>
              </w:rPr>
              <w:t>采购人确定中标人时，出现中标候选人并列的情形，采购人按以下的方式确定中标人：</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依次按投标报价低的优先、节能及环保产品累计金额高的优先、带“▲”的实质性要求正偏离项数多的优先、均无正偏离或者正偏离项数一致时负偏离项数少的优先、质量保证期长优先、交货期短优先、故障响应时间短优先的顺序确定。</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5" w:name="_39.1"/>
            <w:bookmarkEnd w:id="75"/>
            <w:r>
              <w:rPr>
                <w:rFonts w:hint="eastAsia" w:ascii="宋体" w:hAnsi="宋体"/>
                <w:color w:val="auto"/>
                <w:szCs w:val="21"/>
                <w:highlight w:val="none"/>
              </w:rPr>
              <w:t>35</w:t>
            </w:r>
            <w:r>
              <w:rPr>
                <w:rFonts w:ascii="宋体" w:hAnsi="宋体"/>
                <w:color w:val="auto"/>
                <w:szCs w:val="21"/>
                <w:highlight w:val="none"/>
              </w:rPr>
              <w:t>.1</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contextualSpacing/>
              <w:textAlignment w:val="bottom"/>
              <w:rPr>
                <w:rFonts w:hint="eastAsia" w:ascii="宋体" w:hAnsi="宋体"/>
                <w:color w:val="auto"/>
                <w:szCs w:val="21"/>
                <w:highlight w:val="none"/>
              </w:rPr>
            </w:pPr>
            <w:r>
              <w:rPr>
                <w:rFonts w:hint="eastAsia" w:ascii="宋体" w:hAnsi="宋体"/>
                <w:color w:val="auto"/>
                <w:szCs w:val="21"/>
                <w:highlight w:val="none"/>
              </w:rPr>
              <w:t>履约保证金金额：投标保证金转履约保证金</w:t>
            </w:r>
          </w:p>
          <w:p>
            <w:pPr>
              <w:autoSpaceDE w:val="0"/>
              <w:autoSpaceDN w:val="0"/>
              <w:spacing w:line="360" w:lineRule="auto"/>
              <w:contextualSpacing/>
              <w:textAlignment w:val="bottom"/>
              <w:rPr>
                <w:rFonts w:hint="eastAsia" w:ascii="宋体" w:hAnsi="宋体"/>
                <w:color w:val="auto"/>
                <w:szCs w:val="21"/>
                <w:highlight w:val="none"/>
              </w:rPr>
            </w:pPr>
            <w:r>
              <w:rPr>
                <w:rFonts w:hint="eastAsia" w:ascii="宋体" w:hAnsi="宋体"/>
                <w:color w:val="auto"/>
                <w:szCs w:val="21"/>
                <w:highlight w:val="none"/>
              </w:rPr>
              <w:t>履约保证金递交方式：银行转账、支票、汇票、本票或者银行、保险机构出具的保函等非现金方式（参照投标保证金）</w:t>
            </w:r>
          </w:p>
          <w:p>
            <w:pPr>
              <w:autoSpaceDE w:val="0"/>
              <w:autoSpaceDN w:val="0"/>
              <w:spacing w:line="360" w:lineRule="auto"/>
              <w:contextualSpacing/>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①若采用银行转账、电汇或网上支付形式的，履约保证金在中标供应商按合同约定验收合格后，由供应商向保证金收取单位提供《政府采购项目合同验收书》、《政府采购项目履约保证金退付意见书》后5个工作日内以银行转帐方式如数退还（不计利息）。②采用银行、保险机构的保函形式的，履约保函在成交供应商按合同约定交货验收合格后，由供应商向履约保证金收取单位提供《政府采购项目履约保证金退付意见书》及《政府采购项目合同验收书》（详见附件），履约保证金收取单位在收到合格材料后5个工作日内解除履约保函。</w:t>
            </w:r>
          </w:p>
          <w:p>
            <w:pPr>
              <w:autoSpaceDE w:val="0"/>
              <w:autoSpaceDN w:val="0"/>
              <w:spacing w:line="360" w:lineRule="auto"/>
              <w:contextualSpacing/>
              <w:textAlignment w:val="bottom"/>
              <w:rPr>
                <w:rFonts w:hint="eastAsia" w:ascii="宋体" w:hAnsi="宋体"/>
                <w:color w:val="auto"/>
                <w:szCs w:val="21"/>
                <w:highlight w:val="none"/>
              </w:rPr>
            </w:pPr>
            <w:r>
              <w:rPr>
                <w:rFonts w:hint="eastAsia" w:ascii="宋体" w:hAnsi="宋体"/>
                <w:color w:val="auto"/>
                <w:szCs w:val="21"/>
                <w:highlight w:val="none"/>
              </w:rPr>
              <w:t>履约保证金指定账户：</w:t>
            </w:r>
          </w:p>
          <w:p>
            <w:pPr>
              <w:autoSpaceDE w:val="0"/>
              <w:autoSpaceDN w:val="0"/>
              <w:spacing w:line="360" w:lineRule="auto"/>
              <w:contextualSpacing/>
              <w:textAlignment w:val="bottom"/>
              <w:rPr>
                <w:rFonts w:hint="eastAsia" w:ascii="宋体" w:hAnsi="宋体"/>
                <w:color w:val="auto"/>
                <w:szCs w:val="21"/>
                <w:highlight w:val="none"/>
              </w:rPr>
            </w:pPr>
            <w:r>
              <w:rPr>
                <w:rFonts w:hint="eastAsia" w:ascii="宋体" w:hAnsi="宋体"/>
                <w:color w:val="auto"/>
                <w:szCs w:val="21"/>
                <w:highlight w:val="none"/>
              </w:rPr>
              <w:t>开户名称：</w:t>
            </w:r>
            <w:r>
              <w:rPr>
                <w:rFonts w:hint="eastAsia" w:ascii="宋体" w:hAnsi="宋体" w:cs="宋体"/>
                <w:color w:val="auto"/>
                <w:szCs w:val="21"/>
                <w:highlight w:val="none"/>
                <w:u w:val="single"/>
                <w:lang w:bidi="ar"/>
              </w:rPr>
              <w:t>苍梧县国土空间规划服务中心</w:t>
            </w:r>
          </w:p>
          <w:p>
            <w:pPr>
              <w:autoSpaceDE w:val="0"/>
              <w:autoSpaceDN w:val="0"/>
              <w:spacing w:line="360" w:lineRule="auto"/>
              <w:contextualSpacing/>
              <w:textAlignment w:val="bottom"/>
              <w:rPr>
                <w:rFonts w:hint="eastAsia" w:ascii="宋体" w:hAnsi="宋体" w:cs="Arial"/>
                <w:color w:val="auto"/>
                <w:szCs w:val="21"/>
                <w:highlight w:val="none"/>
                <w:u w:val="single"/>
              </w:rPr>
            </w:pPr>
            <w:r>
              <w:rPr>
                <w:rFonts w:hint="eastAsia" w:ascii="宋体" w:hAnsi="宋体"/>
                <w:color w:val="auto"/>
                <w:szCs w:val="21"/>
                <w:highlight w:val="none"/>
              </w:rPr>
              <w:t>开户银行：</w:t>
            </w:r>
            <w:r>
              <w:rPr>
                <w:rFonts w:hint="eastAsia" w:ascii="宋体" w:hAnsi="宋体" w:cs="Arial"/>
                <w:color w:val="auto"/>
                <w:szCs w:val="21"/>
                <w:highlight w:val="none"/>
                <w:u w:val="single"/>
              </w:rPr>
              <w:t>苍梧农行营业室</w:t>
            </w:r>
          </w:p>
          <w:p>
            <w:pPr>
              <w:autoSpaceDE w:val="0"/>
              <w:autoSpaceDN w:val="0"/>
              <w:spacing w:line="360" w:lineRule="auto"/>
              <w:contextualSpacing/>
              <w:textAlignment w:val="bottom"/>
              <w:rPr>
                <w:rFonts w:hint="eastAsia" w:ascii="宋体" w:hAnsi="宋体"/>
                <w:color w:val="auto"/>
                <w:szCs w:val="21"/>
                <w:highlight w:val="none"/>
              </w:rPr>
            </w:pPr>
            <w:r>
              <w:rPr>
                <w:rFonts w:hint="eastAsia" w:ascii="宋体" w:hAnsi="宋体"/>
                <w:color w:val="auto"/>
                <w:szCs w:val="21"/>
                <w:highlight w:val="none"/>
              </w:rPr>
              <w:t>银行账号：</w:t>
            </w:r>
            <w:r>
              <w:rPr>
                <w:rFonts w:hint="eastAsia" w:ascii="宋体" w:hAnsi="宋体" w:cs="Arial"/>
                <w:color w:val="auto"/>
                <w:szCs w:val="21"/>
                <w:highlight w:val="none"/>
                <w:u w:val="single"/>
              </w:rPr>
              <w:t>20351101040004484</w:t>
            </w:r>
          </w:p>
          <w:p>
            <w:pPr>
              <w:spacing w:line="360" w:lineRule="auto"/>
              <w:contextualSpacing/>
              <w:jc w:val="left"/>
              <w:rPr>
                <w:rFonts w:ascii="宋体" w:hAnsi="宋体" w:cs="Courier New"/>
                <w:color w:val="auto"/>
                <w:szCs w:val="21"/>
                <w:highlight w:val="none"/>
              </w:rPr>
            </w:pPr>
            <w:r>
              <w:rPr>
                <w:rFonts w:ascii="宋体" w:hAnsi="宋体" w:cs="Courier New"/>
                <w:color w:val="auto"/>
                <w:szCs w:val="21"/>
                <w:highlight w:val="none"/>
              </w:rPr>
              <w:t>备注：</w:t>
            </w:r>
          </w:p>
          <w:p>
            <w:pPr>
              <w:spacing w:line="360" w:lineRule="auto"/>
              <w:contextualSpacing/>
              <w:jc w:val="left"/>
              <w:rPr>
                <w:rFonts w:hint="eastAsia"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 xml:space="preserve"> </w:t>
            </w:r>
            <w:bookmarkStart w:id="76" w:name="_Hlk54170335"/>
            <w:r>
              <w:rPr>
                <w:rFonts w:hint="eastAsia" w:ascii="宋体" w:hAnsi="宋体"/>
                <w:b/>
                <w:color w:val="auto"/>
                <w:szCs w:val="21"/>
                <w:highlight w:val="none"/>
              </w:rPr>
              <w:t>根据《苍梧县财政局关于贯彻落实优化营商环境政府采购有关工作的通知》（苍财采〔2020〕9号）和《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6"/>
            <w:r>
              <w:rPr>
                <w:rFonts w:ascii="宋体" w:hAnsi="宋体" w:cs="Courier New"/>
                <w:color w:val="auto"/>
                <w:szCs w:val="21"/>
                <w:highlight w:val="none"/>
              </w:rPr>
              <w:br w:type="textWrapping"/>
            </w: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auto"/>
                <w:szCs w:val="21"/>
                <w:highlight w:val="none"/>
              </w:rPr>
              <w:br w:type="textWrapping"/>
            </w:r>
            <w:r>
              <w:rPr>
                <w:rFonts w:ascii="宋体" w:hAnsi="宋体"/>
                <w:b/>
                <w:color w:val="auto"/>
                <w:szCs w:val="21"/>
                <w:highlight w:val="none"/>
              </w:rPr>
              <w:t>3.采用银行、保险机构出具的保函的，必须为无条件保函，否则不予签订合同。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7" w:name="_40.1"/>
            <w:bookmarkEnd w:id="77"/>
            <w:r>
              <w:rPr>
                <w:rFonts w:hint="eastAsia" w:ascii="宋体" w:hAnsi="宋体"/>
                <w:color w:val="auto"/>
                <w:szCs w:val="21"/>
                <w:highlight w:val="none"/>
              </w:rPr>
              <w:t>36.1</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中经国际招标集团有限公司</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：0774-3819193，</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梧州市长洲区新兴二路125号梧州日报社8楼</w:t>
            </w:r>
          </w:p>
          <w:p>
            <w:pPr>
              <w:autoSpaceDE w:val="0"/>
              <w:autoSpaceDN w:val="0"/>
              <w:snapToGrid w:val="0"/>
              <w:spacing w:line="360" w:lineRule="auto"/>
              <w:textAlignment w:val="bottom"/>
              <w:rPr>
                <w:rFonts w:hint="eastAsia" w:ascii="宋体" w:hAnsi="宋体"/>
                <w:color w:val="auto"/>
                <w:szCs w:val="21"/>
                <w:highlight w:val="none"/>
              </w:rPr>
            </w:pPr>
            <w:r>
              <w:rPr>
                <w:rFonts w:hint="eastAsia" w:hAnsi="宋体"/>
                <w:color w:val="auto"/>
                <w:highlight w:val="none"/>
              </w:rPr>
              <w:t>现场提交质疑办理业务时间：每天8时00分到12时00分，15时00分到18时 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8" w:name="_41"/>
            <w:bookmarkEnd w:id="78"/>
            <w:bookmarkStart w:id="79" w:name="_42"/>
            <w:bookmarkEnd w:id="79"/>
            <w:bookmarkStart w:id="80" w:name="_Hlt17709148"/>
            <w:r>
              <w:rPr>
                <w:rFonts w:hint="eastAsia" w:ascii="宋体" w:hAnsi="宋体"/>
                <w:color w:val="auto"/>
                <w:szCs w:val="21"/>
                <w:highlight w:val="none"/>
              </w:rPr>
              <w:t>3</w:t>
            </w:r>
            <w:bookmarkEnd w:id="80"/>
            <w:r>
              <w:rPr>
                <w:rFonts w:ascii="宋体" w:hAnsi="宋体"/>
                <w:color w:val="auto"/>
                <w:szCs w:val="21"/>
                <w:highlight w:val="none"/>
              </w:rPr>
              <w:t>9.1</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sym w:font="Wingdings" w:char="F0FE"/>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□以分标（□中标金额/□采购预算/□暂定中标金额/□其他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条规定的收费计算标准（□货物招标/☑服务招标/□工程招标）采用差额定率累进法计算出收费基准价格，采购代理收费以（☑收费基准价格/□收费基准价格下浮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w:t>
            </w:r>
          </w:p>
          <w:p>
            <w:pPr>
              <w:pStyle w:val="13"/>
              <w:snapToGrid w:val="0"/>
              <w:spacing w:line="360" w:lineRule="auto"/>
              <w:rPr>
                <w:rFonts w:hAnsi="宋体" w:cs="宋体"/>
                <w:color w:val="auto"/>
                <w:sz w:val="21"/>
                <w:highlight w:val="none"/>
                <w:u w:val="single"/>
              </w:rPr>
            </w:pPr>
            <w:r>
              <w:rPr>
                <w:rFonts w:hint="eastAsia" w:hAnsi="宋体" w:cs="宋体"/>
                <w:color w:val="auto"/>
                <w:sz w:val="21"/>
                <w:highlight w:val="none"/>
              </w:rPr>
              <w:sym w:font="Wingdings" w:char="00A8"/>
            </w:r>
            <w:r>
              <w:rPr>
                <w:rFonts w:hint="eastAsia" w:hAnsi="宋体" w:cs="宋体"/>
                <w:color w:val="auto"/>
                <w:sz w:val="21"/>
                <w:highlight w:val="none"/>
              </w:rPr>
              <w:t>固定采购代理收费</w:t>
            </w:r>
          </w:p>
          <w:p>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3</w:t>
            </w:r>
            <w:r>
              <w:rPr>
                <w:rFonts w:hAnsi="宋体" w:cs="宋体"/>
                <w:color w:val="auto"/>
                <w:sz w:val="21"/>
                <w:highlight w:val="none"/>
              </w:rPr>
              <w:t>.</w:t>
            </w:r>
            <w:r>
              <w:rPr>
                <w:rFonts w:hint="eastAsia"/>
                <w:color w:val="auto"/>
                <w:highlight w:val="none"/>
              </w:rPr>
              <w:t xml:space="preserve"> </w:t>
            </w:r>
            <w:r>
              <w:rPr>
                <w:rFonts w:hint="eastAsia" w:hAnsi="宋体" w:cs="宋体"/>
                <w:color w:val="auto"/>
                <w:sz w:val="21"/>
                <w:highlight w:val="none"/>
              </w:rPr>
              <w:t>账户名称：中经国际招标集团有限公司苍梧分公司</w:t>
            </w:r>
          </w:p>
          <w:p>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开户银行：广西北部湾梧州市龙圩支行</w:t>
            </w:r>
          </w:p>
          <w:p>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 xml:space="preserve">银行账号：800108814600010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916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line="360" w:lineRule="auto"/>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3"/>
              <w:snapToGrid w:val="0"/>
              <w:spacing w:line="360" w:lineRule="auto"/>
              <w:rPr>
                <w:rFonts w:hint="eastAsia" w:hAnsi="宋体" w:cs="宋体"/>
                <w:bCs/>
                <w:color w:val="auto"/>
                <w:sz w:val="21"/>
                <w:highlight w:val="none"/>
              </w:rPr>
            </w:pPr>
            <w:r>
              <w:rPr>
                <w:rFonts w:hint="eastAsia" w:hAnsi="宋体" w:cs="宋体"/>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3"/>
              <w:snapToGrid w:val="0"/>
              <w:spacing w:line="360" w:lineRule="auto"/>
              <w:rPr>
                <w:rFonts w:hint="eastAsia" w:hAnsi="宋体" w:cs="宋体"/>
                <w:bCs/>
                <w:color w:val="auto"/>
                <w:sz w:val="21"/>
                <w:highlight w:val="none"/>
              </w:rPr>
            </w:pPr>
            <w:r>
              <w:rPr>
                <w:rFonts w:hint="eastAsia" w:hAnsi="宋体" w:cs="宋体"/>
                <w:bCs/>
                <w:color w:val="auto"/>
                <w:sz w:val="21"/>
                <w:highlight w:val="none"/>
              </w:rPr>
              <w:t>3.本招标文件中描述投标人的“签字”是指投标人的法定代表人或者委托代理人亲自在文件规定签字处亲笔写上个人的名字的行为，私章、签字章、印鉴、影印等其他形式均不能代替亲笔签字。</w:t>
            </w:r>
          </w:p>
          <w:p>
            <w:pPr>
              <w:pStyle w:val="13"/>
              <w:snapToGrid w:val="0"/>
              <w:spacing w:line="360" w:lineRule="auto"/>
              <w:rPr>
                <w:rFonts w:hint="eastAsia" w:hAnsi="宋体" w:cs="宋体"/>
                <w:bCs/>
                <w:color w:val="auto"/>
                <w:sz w:val="21"/>
                <w:highlight w:val="none"/>
              </w:rPr>
            </w:pPr>
            <w:r>
              <w:rPr>
                <w:rFonts w:hint="eastAsia" w:hAnsi="宋体" w:cs="宋体"/>
                <w:bCs/>
                <w:color w:val="auto"/>
                <w:sz w:val="21"/>
                <w:highlight w:val="none"/>
              </w:rPr>
              <w:t>4.自然人投标的，招标文件规定盖公章处由自然人摁手指指印。</w:t>
            </w:r>
          </w:p>
          <w:p>
            <w:pPr>
              <w:spacing w:line="360" w:lineRule="auto"/>
              <w:jc w:val="left"/>
              <w:rPr>
                <w:rFonts w:hint="eastAsia"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pPr>
        <w:snapToGrid w:val="0"/>
        <w:rPr>
          <w:rFonts w:hint="eastAsia" w:ascii="宋体" w:hAnsi="宋体"/>
          <w:color w:val="auto"/>
          <w:sz w:val="24"/>
          <w:szCs w:val="20"/>
          <w:highlight w:val="none"/>
        </w:rPr>
      </w:pPr>
    </w:p>
    <w:p>
      <w:pPr>
        <w:pStyle w:val="5"/>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pPr>
        <w:pStyle w:val="5"/>
        <w:keepNext w:val="0"/>
        <w:keepLines w:val="0"/>
        <w:jc w:val="center"/>
        <w:rPr>
          <w:rFonts w:hint="eastAsia"/>
          <w:color w:val="auto"/>
          <w:highlight w:val="none"/>
        </w:rPr>
      </w:pPr>
      <w:r>
        <w:rPr>
          <w:rFonts w:hint="eastAsia"/>
          <w:color w:val="auto"/>
          <w:highlight w:val="none"/>
        </w:rPr>
        <w:t>一、总  则</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81" w:name="_Toc254970527"/>
      <w:bookmarkStart w:id="82" w:name="_Toc254970668"/>
      <w:r>
        <w:rPr>
          <w:rFonts w:hint="eastAsia" w:ascii="黑体" w:hAnsi="黑体" w:eastAsia="黑体"/>
          <w:color w:val="auto"/>
          <w:sz w:val="24"/>
          <w:highlight w:val="none"/>
        </w:rPr>
        <w:t>1.适用范围</w:t>
      </w:r>
      <w:bookmarkEnd w:id="81"/>
      <w:bookmarkEnd w:id="82"/>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83" w:name="_Toc254970669"/>
      <w:bookmarkStart w:id="84" w:name="_Toc254970528"/>
      <w:r>
        <w:rPr>
          <w:rFonts w:hint="eastAsia" w:ascii="黑体" w:hAnsi="黑体" w:eastAsia="黑体"/>
          <w:color w:val="auto"/>
          <w:sz w:val="24"/>
          <w:highlight w:val="none"/>
        </w:rPr>
        <w:t>2.定义</w:t>
      </w:r>
      <w:bookmarkEnd w:id="83"/>
      <w:bookmarkEnd w:id="84"/>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7"/>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2.5“服务”是指除货物和工程以外的其他政府采购对象。</w:t>
      </w:r>
    </w:p>
    <w:p>
      <w:pPr>
        <w:pStyle w:val="6"/>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w:t>
      </w:r>
      <w:r>
        <w:rPr>
          <w:rFonts w:ascii="宋体" w:hAnsi="宋体"/>
          <w:b w:val="0"/>
          <w:color w:val="auto"/>
          <w:sz w:val="21"/>
          <w:szCs w:val="21"/>
          <w:highlight w:val="none"/>
        </w:rPr>
        <w:t>6</w:t>
      </w:r>
      <w:r>
        <w:rPr>
          <w:rFonts w:hint="eastAsia" w:ascii="宋体" w:hAnsi="宋体"/>
          <w:b w:val="0"/>
          <w:color w:val="auto"/>
          <w:sz w:val="21"/>
          <w:szCs w:val="21"/>
          <w:highlight w:val="none"/>
        </w:rPr>
        <w:t>“书面形式”是指合同书、信件和数据电文（包括电报、电传、传真、电子数据交换和电子邮件）等可以有形地表现所载内容的形式。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w:t>
      </w:r>
      <w:r>
        <w:rPr>
          <w:rFonts w:ascii="宋体" w:hAnsi="宋体"/>
          <w:b w:val="0"/>
          <w:color w:val="auto"/>
          <w:sz w:val="21"/>
          <w:szCs w:val="21"/>
          <w:highlight w:val="none"/>
        </w:rPr>
        <w:t>7</w:t>
      </w:r>
      <w:r>
        <w:rPr>
          <w:rFonts w:hint="eastAsia" w:ascii="宋体" w:hAnsi="宋体"/>
          <w:b w:val="0"/>
          <w:color w:val="auto"/>
          <w:sz w:val="21"/>
          <w:szCs w:val="21"/>
          <w:highlight w:val="none"/>
        </w:rPr>
        <w:t>“实质性要求”是指招标文件中已经指明不满足则投标无效的条款，或者不能负偏离的条款，或者采购需求中带“▲”的条款。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85" w:name="_Toc254970670"/>
      <w:bookmarkStart w:id="86" w:name="_Toc254970529"/>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85"/>
      <w:bookmarkEnd w:id="86"/>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87" w:name="_Toc254970671"/>
      <w:bookmarkStart w:id="88" w:name="_Toc254970530"/>
      <w:r>
        <w:rPr>
          <w:rFonts w:hint="eastAsia" w:ascii="黑体" w:hAnsi="黑体" w:eastAsia="黑体"/>
          <w:color w:val="auto"/>
          <w:sz w:val="24"/>
          <w:highlight w:val="none"/>
        </w:rPr>
        <w:t>4.投标委托</w:t>
      </w:r>
      <w:bookmarkEnd w:id="87"/>
      <w:bookmarkEnd w:id="88"/>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89" w:name="_5.投标费用"/>
      <w:bookmarkEnd w:id="89"/>
      <w:bookmarkStart w:id="90" w:name="_Toc254970531"/>
      <w:bookmarkStart w:id="91" w:name="_Toc254970672"/>
      <w:r>
        <w:rPr>
          <w:rFonts w:hint="eastAsia" w:ascii="黑体" w:hAnsi="黑体" w:eastAsia="黑体"/>
          <w:color w:val="auto"/>
          <w:sz w:val="24"/>
          <w:highlight w:val="none"/>
        </w:rPr>
        <w:t>5.投标费用</w:t>
      </w:r>
      <w:bookmarkEnd w:id="90"/>
      <w:bookmarkEnd w:id="91"/>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6.3</w:t>
      </w:r>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92" w:name="_Toc254970532"/>
      <w:bookmarkStart w:id="93" w:name="_Toc254970673"/>
      <w:r>
        <w:rPr>
          <w:rFonts w:hint="eastAsia" w:ascii="宋体" w:hAnsi="宋体"/>
          <w:b w:val="0"/>
          <w:color w:val="auto"/>
          <w:sz w:val="21"/>
          <w:szCs w:val="21"/>
          <w:highlight w:val="none"/>
        </w:rPr>
        <w:t>7.1本项目不允许转包。</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bookmarkEnd w:id="92"/>
      <w:bookmarkEnd w:id="93"/>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8.2投标人应仔细阅读招标文件的所有内容，按照招标文件的要求提交投标文件，并对所提供的全部资料的真实性承担法律责任。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1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pPr>
        <w:pStyle w:val="1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pPr>
        <w:pStyle w:val="1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pPr>
        <w:pStyle w:val="1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pPr>
        <w:pStyle w:val="1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pPr>
        <w:pStyle w:val="13"/>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13"/>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pPr>
        <w:pStyle w:val="13"/>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pPr>
        <w:pStyle w:val="13"/>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pPr>
        <w:pStyle w:val="13"/>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pPr>
        <w:pStyle w:val="13"/>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pPr>
        <w:pStyle w:val="13"/>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13"/>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（1）供应商直接或者间接从采购人或者采购代理机构处获得其他供应商的相关信息并修改其投标文件或者投标文件；</w:t>
      </w:r>
    </w:p>
    <w:p>
      <w:pPr>
        <w:pStyle w:val="13"/>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（2）供应商按照采购人或者采购代理机构的授意撤换、修改投标文件或者投标文件；</w:t>
      </w:r>
    </w:p>
    <w:p>
      <w:pPr>
        <w:pStyle w:val="13"/>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（3）供应商之间协商报价、技术方案等投标文件或者投标文件的实质性内容；</w:t>
      </w:r>
    </w:p>
    <w:p>
      <w:pPr>
        <w:pStyle w:val="13"/>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pPr>
        <w:pStyle w:val="13"/>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13"/>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pPr>
        <w:pStyle w:val="1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int="eastAsia" w:hAnsi="宋体"/>
          <w:b/>
          <w:color w:val="auto"/>
          <w:kern w:val="2"/>
          <w:sz w:val="21"/>
          <w:highlight w:val="none"/>
        </w:rPr>
      </w:pPr>
    </w:p>
    <w:p>
      <w:pPr>
        <w:pStyle w:val="5"/>
        <w:keepNext w:val="0"/>
        <w:keepLines w:val="0"/>
        <w:jc w:val="center"/>
        <w:rPr>
          <w:rFonts w:hint="eastAsia"/>
          <w:color w:val="auto"/>
          <w:highlight w:val="none"/>
        </w:rPr>
      </w:pPr>
      <w:bookmarkStart w:id="94" w:name="_Toc254970675"/>
      <w:bookmarkStart w:id="95" w:name="_Toc254970534"/>
      <w:r>
        <w:rPr>
          <w:rFonts w:hint="eastAsia"/>
          <w:color w:val="auto"/>
          <w:highlight w:val="none"/>
        </w:rPr>
        <w:t>二、招标文件</w:t>
      </w:r>
      <w:bookmarkEnd w:id="94"/>
      <w:bookmarkEnd w:id="95"/>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3"/>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auto"/>
          <w:sz w:val="21"/>
          <w:highlight w:val="none"/>
        </w:rPr>
        <w:t>投标人</w:t>
      </w:r>
      <w:r>
        <w:rPr>
          <w:rFonts w:hint="eastAsia" w:hAnsi="宋体"/>
          <w:color w:val="auto"/>
          <w:sz w:val="21"/>
          <w:highlight w:val="none"/>
        </w:rPr>
        <w:t>应当</w:t>
      </w:r>
      <w:r>
        <w:rPr>
          <w:rFonts w:hAnsi="宋体"/>
          <w:color w:val="auto"/>
          <w:sz w:val="21"/>
          <w:highlight w:val="none"/>
        </w:rPr>
        <w:t>按照桂财采【2007】65号文件第二十九条规定，在澄清或者修改通知发出后</w:t>
      </w:r>
      <w:r>
        <w:rPr>
          <w:rFonts w:hint="eastAsia" w:hAnsi="宋体"/>
          <w:color w:val="auto"/>
          <w:sz w:val="21"/>
          <w:highlight w:val="none"/>
        </w:rPr>
        <w:t>24</w:t>
      </w:r>
      <w:r>
        <w:rPr>
          <w:rFonts w:hAnsi="宋体"/>
          <w:color w:val="auto"/>
          <w:sz w:val="21"/>
          <w:highlight w:val="none"/>
        </w:rPr>
        <w:t>小时内以书面形式进行确认</w:t>
      </w:r>
      <w:r>
        <w:rPr>
          <w:rFonts w:hint="eastAsia" w:hAnsi="宋体"/>
          <w:color w:val="auto"/>
          <w:sz w:val="21"/>
          <w:highlight w:val="none"/>
        </w:rPr>
        <w:t>（采用网上下载招标文件形式的除外）</w:t>
      </w:r>
      <w:r>
        <w:rPr>
          <w:rFonts w:hAnsi="宋体"/>
          <w:color w:val="auto"/>
          <w:sz w:val="21"/>
          <w:highlight w:val="none"/>
        </w:rPr>
        <w:t>，否则视为已经收到。</w:t>
      </w:r>
    </w:p>
    <w:p>
      <w:pPr>
        <w:pStyle w:val="13"/>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96"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6"/>
    <w:p>
      <w:pPr>
        <w:pStyle w:val="5"/>
        <w:keepNext w:val="0"/>
        <w:keepLines w:val="0"/>
        <w:jc w:val="center"/>
        <w:rPr>
          <w:rFonts w:hint="eastAsia"/>
          <w:color w:val="auto"/>
          <w:highlight w:val="none"/>
        </w:rPr>
      </w:pPr>
      <w:bookmarkStart w:id="97" w:name="_Toc254970676"/>
      <w:bookmarkStart w:id="98" w:name="_Toc254970535"/>
      <w:r>
        <w:rPr>
          <w:rFonts w:hint="eastAsia"/>
          <w:color w:val="auto"/>
          <w:highlight w:val="none"/>
        </w:rPr>
        <w:t>三、投标文件的编制</w:t>
      </w:r>
      <w:bookmarkEnd w:id="97"/>
      <w:bookmarkEnd w:id="98"/>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99" w:name="_Toc254970536"/>
      <w:bookmarkStart w:id="100" w:name="_Toc254970677"/>
      <w:r>
        <w:rPr>
          <w:rFonts w:hint="eastAsia" w:ascii="黑体" w:hAnsi="黑体" w:eastAsia="黑体"/>
          <w:color w:val="auto"/>
          <w:sz w:val="24"/>
          <w:highlight w:val="none"/>
        </w:rPr>
        <w:t>12.</w:t>
      </w:r>
      <w:r>
        <w:rPr>
          <w:rFonts w:hint="eastAsia"/>
          <w:color w:val="auto"/>
          <w:highlight w:val="none"/>
        </w:rPr>
        <w:t xml:space="preserve"> </w:t>
      </w:r>
      <w:r>
        <w:rPr>
          <w:rFonts w:hint="eastAsia" w:ascii="黑体" w:hAnsi="黑体" w:eastAsia="黑体"/>
          <w:color w:val="auto"/>
          <w:sz w:val="24"/>
          <w:highlight w:val="none"/>
        </w:rPr>
        <w:t>投标前准备</w:t>
      </w:r>
    </w:p>
    <w:p>
      <w:pPr>
        <w:snapToGrid w:val="0"/>
        <w:spacing w:line="360" w:lineRule="auto"/>
        <w:ind w:firstLine="420"/>
        <w:jc w:val="left"/>
        <w:rPr>
          <w:rFonts w:hint="eastAsia" w:ascii="宋体" w:hAnsi="宋体" w:cs="Courier New"/>
          <w:color w:val="auto"/>
          <w:szCs w:val="21"/>
          <w:highlight w:val="none"/>
        </w:rPr>
      </w:pPr>
      <w:r>
        <w:rPr>
          <w:rFonts w:hint="eastAsia" w:ascii="宋体" w:hAnsi="宋体"/>
          <w:color w:val="auto"/>
          <w:szCs w:val="21"/>
          <w:highlight w:val="none"/>
        </w:rPr>
        <w:t>投标前准备：具体材料见“投标人须知前附表”。</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99"/>
      <w:bookmarkEnd w:id="100"/>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01" w:name="_13.1报价文件:_具体材料见“投标人须知前附表”。"/>
      <w:bookmarkEnd w:id="101"/>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02" w:name="_13.2资格证明文件：具体材料见“投标人须知前附表”。"/>
      <w:bookmarkEnd w:id="102"/>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03" w:name="_13.3商务文件:_具体材料见“投标人须知前附表”。"/>
      <w:bookmarkEnd w:id="103"/>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04" w:name="_13.4技术文件：具体材料见“投标人须知前附表”。"/>
      <w:bookmarkEnd w:id="104"/>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05" w:name="_13.5投标文件电子版：具体材料见“投标人须知前附表”。"/>
      <w:bookmarkEnd w:id="105"/>
      <w:r>
        <w:rPr>
          <w:rFonts w:hint="eastAsia" w:ascii="宋体" w:hAnsi="宋体"/>
          <w:b w:val="0"/>
          <w:color w:val="auto"/>
          <w:sz w:val="21"/>
          <w:szCs w:val="21"/>
          <w:highlight w:val="none"/>
        </w:rPr>
        <w:t>13.</w:t>
      </w:r>
      <w:r>
        <w:rPr>
          <w:rFonts w:ascii="宋体" w:hAnsi="宋体"/>
          <w:b w:val="0"/>
          <w:color w:val="auto"/>
          <w:sz w:val="21"/>
          <w:szCs w:val="21"/>
          <w:highlight w:val="none"/>
        </w:rPr>
        <w:t>2</w:t>
      </w:r>
      <w:r>
        <w:rPr>
          <w:rFonts w:hint="eastAsia" w:ascii="宋体" w:hAnsi="宋体"/>
          <w:b w:val="0"/>
          <w:color w:val="auto"/>
          <w:sz w:val="21"/>
          <w:szCs w:val="21"/>
          <w:highlight w:val="none"/>
        </w:rPr>
        <w:t>投标文件电子版：</w:t>
      </w:r>
      <w:r>
        <w:rPr>
          <w:rFonts w:ascii="宋体" w:hAnsi="宋体"/>
          <w:b w:val="0"/>
          <w:color w:val="auto"/>
          <w:sz w:val="21"/>
          <w:szCs w:val="21"/>
          <w:highlight w:val="none"/>
        </w:rPr>
        <w:t>具体</w:t>
      </w:r>
      <w:r>
        <w:rPr>
          <w:rFonts w:hint="eastAsia" w:ascii="宋体" w:hAnsi="宋体"/>
          <w:b w:val="0"/>
          <w:color w:val="auto"/>
          <w:sz w:val="21"/>
          <w:szCs w:val="21"/>
          <w:highlight w:val="none"/>
        </w:rPr>
        <w:t>要求</w:t>
      </w:r>
      <w:r>
        <w:rPr>
          <w:rFonts w:ascii="宋体" w:hAnsi="宋体"/>
          <w:b w:val="0"/>
          <w:color w:val="auto"/>
          <w:sz w:val="21"/>
          <w:szCs w:val="21"/>
          <w:highlight w:val="none"/>
        </w:rPr>
        <w:t>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106" w:name="_Toc254970678"/>
      <w:bookmarkStart w:id="107" w:name="_Toc254970537"/>
      <w:r>
        <w:rPr>
          <w:rFonts w:hint="eastAsia" w:ascii="黑体" w:hAnsi="黑体" w:eastAsia="黑体"/>
          <w:color w:val="auto"/>
          <w:sz w:val="24"/>
          <w:highlight w:val="none"/>
        </w:rPr>
        <w:t>14.投标文件的语言及计量</w:t>
      </w:r>
      <w:bookmarkEnd w:id="106"/>
      <w:bookmarkEnd w:id="107"/>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pPr>
        <w:pStyle w:val="13"/>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108" w:name="_Toc254970538"/>
      <w:bookmarkStart w:id="109" w:name="_Toc254970679"/>
      <w:r>
        <w:rPr>
          <w:rFonts w:hint="eastAsia" w:ascii="黑体" w:hAnsi="黑体" w:eastAsia="黑体"/>
          <w:color w:val="auto"/>
          <w:sz w:val="24"/>
          <w:highlight w:val="none"/>
        </w:rPr>
        <w:t>16.投标报价</w:t>
      </w:r>
      <w:bookmarkEnd w:id="108"/>
      <w:bookmarkEnd w:id="109"/>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10" w:name="_16.2投标报价具体定义见投标人须知前附表。"/>
      <w:bookmarkEnd w:id="110"/>
      <w:r>
        <w:rPr>
          <w:rFonts w:hint="eastAsia" w:ascii="宋体" w:hAnsi="宋体"/>
          <w:b w:val="0"/>
          <w:color w:val="auto"/>
          <w:sz w:val="21"/>
          <w:szCs w:val="21"/>
          <w:highlight w:val="none"/>
        </w:rPr>
        <w:t>16.2投标报价具体包括内容详见“投标人须知前附表”。</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bookmarkStart w:id="111" w:name="_17.1投标有效期应按“投标人须知中的前附表”规定的期限。"/>
      <w:bookmarkEnd w:id="111"/>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12" w:name="_Toc254970540"/>
      <w:bookmarkStart w:id="113" w:name="_Toc254970681"/>
      <w:r>
        <w:rPr>
          <w:rFonts w:hint="eastAsia" w:ascii="宋体" w:hAnsi="宋体"/>
          <w:b w:val="0"/>
          <w:color w:val="auto"/>
          <w:sz w:val="21"/>
          <w:szCs w:val="21"/>
          <w:highlight w:val="none"/>
        </w:rPr>
        <w:t xml:space="preserve"> 投标有效期应按规定的期限作出承诺，具体详见“投标人须知前附表”。</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2"/>
      <w:bookmarkEnd w:id="113"/>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114" w:name="_18.投标保证金"/>
      <w:bookmarkEnd w:id="114"/>
      <w:bookmarkStart w:id="115" w:name="_Toc254970682"/>
      <w:bookmarkStart w:id="116" w:name="_Toc254970541"/>
      <w:r>
        <w:rPr>
          <w:rFonts w:hint="eastAsia" w:ascii="黑体" w:hAnsi="黑体" w:eastAsia="黑体"/>
          <w:color w:val="auto"/>
          <w:sz w:val="24"/>
          <w:highlight w:val="none"/>
        </w:rPr>
        <w:t>18.投标保证金</w:t>
      </w:r>
      <w:bookmarkEnd w:id="115"/>
      <w:bookmarkEnd w:id="116"/>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hint="eastAsia" w:ascii="宋体" w:hAnsi="宋体"/>
          <w:color w:val="auto"/>
          <w:szCs w:val="21"/>
          <w:highlight w:val="none"/>
        </w:rPr>
      </w:pPr>
      <w:bookmarkStart w:id="117" w:name="_Toc254970542"/>
      <w:bookmarkStart w:id="118" w:name="_Toc254970683"/>
      <w:r>
        <w:rPr>
          <w:rFonts w:hint="eastAsia" w:ascii="宋体" w:hAnsi="宋体"/>
          <w:color w:val="auto"/>
          <w:szCs w:val="21"/>
          <w:highlight w:val="none"/>
        </w:rPr>
        <w:t>（5）投标人出现本章第9.2、9.3情形的；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19.投标文件的</w:t>
      </w:r>
      <w:bookmarkEnd w:id="117"/>
      <w:bookmarkEnd w:id="118"/>
      <w:r>
        <w:rPr>
          <w:rFonts w:hint="eastAsia" w:ascii="黑体" w:hAnsi="黑体" w:eastAsia="黑体"/>
          <w:color w:val="auto"/>
          <w:sz w:val="24"/>
          <w:highlight w:val="none"/>
        </w:rPr>
        <w:t>编制</w:t>
      </w:r>
    </w:p>
    <w:p>
      <w:pPr>
        <w:pStyle w:val="6"/>
        <w:keepNext w:val="0"/>
        <w:keepLines w:val="0"/>
        <w:spacing w:before="0" w:after="0" w:line="360" w:lineRule="auto"/>
        <w:ind w:left="105" w:leftChars="50" w:firstLine="420" w:firstLineChars="200"/>
        <w:rPr>
          <w:rFonts w:hint="eastAsia" w:ascii="黑体" w:hAnsi="黑体" w:eastAsia="黑体"/>
          <w:color w:val="auto"/>
          <w:sz w:val="24"/>
          <w:highlight w:val="none"/>
        </w:rPr>
      </w:pPr>
      <w:r>
        <w:rPr>
          <w:rFonts w:hint="eastAsia" w:ascii="宋体" w:hAnsi="宋体"/>
          <w:b w:val="0"/>
          <w:color w:val="auto"/>
          <w:sz w:val="21"/>
          <w:szCs w:val="21"/>
          <w:highlight w:val="none"/>
        </w:rPr>
        <w:t>19.1投标人应按本招标文件规定的格式和顺序编制、装订投标文件并标注页码，投标文件内容不完整、编排混乱导致投标文件被误读、漏读或者查找不到相关内容的，由此引发的后果由投标人承担。</w:t>
      </w:r>
      <w:bookmarkStart w:id="119" w:name="_19.2投标文件应按报价文件、资格证明文件、商务文件、技术文件分别编制"/>
      <w:bookmarkEnd w:id="119"/>
    </w:p>
    <w:p>
      <w:pPr>
        <w:pStyle w:val="6"/>
        <w:keepNext w:val="0"/>
        <w:keepLines w:val="0"/>
        <w:spacing w:before="0" w:after="0" w:line="360" w:lineRule="auto"/>
        <w:ind w:left="105" w:leftChars="50" w:firstLine="420" w:firstLineChars="200"/>
        <w:rPr>
          <w:rFonts w:hint="eastAsia" w:ascii="黑体" w:hAnsi="黑体" w:eastAsia="黑体"/>
          <w:color w:val="auto"/>
          <w:sz w:val="24"/>
          <w:highlight w:val="none"/>
        </w:rPr>
      </w:pPr>
      <w:r>
        <w:rPr>
          <w:rFonts w:hint="eastAsia" w:ascii="宋体" w:hAnsi="宋体"/>
          <w:b w:val="0"/>
          <w:color w:val="auto"/>
          <w:sz w:val="21"/>
          <w:szCs w:val="21"/>
          <w:highlight w:val="none"/>
        </w:rPr>
        <w:t>19.2投标文件应按报价文件、资格证明文件、商务文件、技术文件分别编制。</w:t>
      </w:r>
    </w:p>
    <w:p>
      <w:pPr>
        <w:pStyle w:val="6"/>
        <w:keepNext w:val="0"/>
        <w:keepLines w:val="0"/>
        <w:spacing w:before="0" w:after="0" w:line="360" w:lineRule="auto"/>
        <w:ind w:left="105" w:leftChars="50" w:firstLine="420" w:firstLineChars="200"/>
        <w:rPr>
          <w:rFonts w:hint="eastAsia" w:ascii="黑体" w:hAnsi="黑体" w:eastAsia="黑体"/>
          <w:color w:val="auto"/>
          <w:sz w:val="24"/>
          <w:highlight w:val="none"/>
        </w:rPr>
      </w:pPr>
      <w:r>
        <w:rPr>
          <w:rFonts w:hint="eastAsia" w:ascii="宋体" w:hAnsi="宋体"/>
          <w:b w:val="0"/>
          <w:color w:val="auto"/>
          <w:sz w:val="21"/>
          <w:szCs w:val="21"/>
          <w:highlight w:val="none"/>
        </w:rPr>
        <w:t>19.3投标文件须由投标人在规定位置盖公章并由法定代表人（负责人或自然人）或委托代理人签字，否则作无效投标处理。</w:t>
      </w:r>
    </w:p>
    <w:p>
      <w:pPr>
        <w:pStyle w:val="6"/>
        <w:keepNext w:val="0"/>
        <w:keepLines w:val="0"/>
        <w:spacing w:before="0" w:after="0" w:line="360" w:lineRule="auto"/>
        <w:ind w:left="105" w:leftChars="50" w:firstLine="420" w:firstLineChars="200"/>
        <w:rPr>
          <w:rFonts w:hint="eastAsia" w:ascii="黑体" w:hAnsi="黑体" w:eastAsia="黑体"/>
          <w:color w:val="auto"/>
          <w:sz w:val="24"/>
          <w:highlight w:val="none"/>
        </w:rPr>
      </w:pPr>
      <w:r>
        <w:rPr>
          <w:rFonts w:hint="eastAsia" w:ascii="宋体" w:hAnsi="宋体"/>
          <w:b w:val="0"/>
          <w:color w:val="auto"/>
          <w:sz w:val="21"/>
          <w:szCs w:val="21"/>
          <w:highlight w:val="none"/>
        </w:rPr>
        <w:t>19.4投标文件中标注的投标人名称应与主体资格证明（如营业执照、事业单位法人证书、执业许可证、个体工商户营业执照、自然人身份证等）和公章一致，否则作无效投标处理。</w:t>
      </w:r>
    </w:p>
    <w:p>
      <w:pPr>
        <w:pStyle w:val="6"/>
        <w:keepNext w:val="0"/>
        <w:keepLines w:val="0"/>
        <w:spacing w:before="0" w:after="0" w:line="360" w:lineRule="auto"/>
        <w:ind w:left="105" w:leftChars="50" w:firstLine="420" w:firstLineChars="200"/>
        <w:rPr>
          <w:rFonts w:hint="eastAsia" w:ascii="黑体" w:hAnsi="黑体" w:eastAsia="黑体"/>
          <w:color w:val="auto"/>
          <w:sz w:val="24"/>
          <w:highlight w:val="none"/>
        </w:rPr>
      </w:pPr>
      <w:r>
        <w:rPr>
          <w:rFonts w:hint="eastAsia" w:ascii="宋体" w:hAnsi="宋体"/>
          <w:b w:val="0"/>
          <w:color w:val="auto"/>
          <w:sz w:val="21"/>
          <w:szCs w:val="21"/>
          <w:highlight w:val="none"/>
        </w:rPr>
        <w:t>19.5投标文件应尽量避免涂改、行间插字或删除。如果出现上述情况，改动之处应由投标人的法定代表人（负责人或自然人）或其委托代理人签字或盖章。投标文件因字迹潦草或表达不清所引起的后果由投标人承担。</w:t>
      </w:r>
    </w:p>
    <w:p>
      <w:pPr>
        <w:pStyle w:val="6"/>
        <w:keepNext w:val="0"/>
        <w:keepLines w:val="0"/>
        <w:spacing w:before="0" w:after="0" w:line="360" w:lineRule="auto"/>
        <w:ind w:left="105" w:leftChars="50" w:firstLine="420" w:firstLineChars="200"/>
        <w:rPr>
          <w:rFonts w:hint="eastAsia" w:ascii="黑体" w:hAnsi="黑体" w:eastAsia="黑体"/>
          <w:color w:val="auto"/>
          <w:sz w:val="24"/>
          <w:highlight w:val="none"/>
        </w:rPr>
      </w:pPr>
      <w:r>
        <w:rPr>
          <w:rFonts w:hint="eastAsia" w:ascii="宋体" w:hAnsi="宋体"/>
          <w:b w:val="0"/>
          <w:color w:val="auto"/>
          <w:sz w:val="21"/>
          <w:szCs w:val="21"/>
          <w:highlight w:val="none"/>
        </w:rPr>
        <w:t>19.6电子投标文件中须加盖供应商公章部分均采用CA签章，并根据“政府采购项目电子交易管理操作指南-供应商”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pPr>
        <w:pStyle w:val="6"/>
        <w:keepNext w:val="0"/>
        <w:keepLines w:val="0"/>
        <w:spacing w:before="0" w:after="0" w:line="360" w:lineRule="auto"/>
        <w:ind w:left="105" w:leftChars="50" w:firstLine="420" w:firstLineChars="200"/>
        <w:rPr>
          <w:rFonts w:hint="eastAsia" w:ascii="黑体" w:hAnsi="黑体" w:eastAsia="黑体"/>
          <w:color w:val="auto"/>
          <w:sz w:val="24"/>
          <w:highlight w:val="none"/>
        </w:rPr>
      </w:pPr>
      <w:r>
        <w:rPr>
          <w:rFonts w:hint="eastAsia" w:ascii="宋体" w:hAnsi="宋体"/>
          <w:b w:val="0"/>
          <w:color w:val="auto"/>
          <w:sz w:val="21"/>
          <w:szCs w:val="21"/>
          <w:highlight w:val="none"/>
        </w:rPr>
        <w:t>19.7 CA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pStyle w:val="6"/>
        <w:keepNext w:val="0"/>
        <w:keepLines w:val="0"/>
        <w:spacing w:before="0" w:after="0" w:line="360" w:lineRule="auto"/>
        <w:ind w:left="105" w:leftChars="50" w:firstLine="420" w:firstLineChars="200"/>
        <w:rPr>
          <w:rFonts w:hint="eastAsia" w:ascii="黑体" w:hAnsi="黑体" w:eastAsia="黑体"/>
          <w:color w:val="auto"/>
          <w:sz w:val="24"/>
          <w:highlight w:val="none"/>
        </w:rPr>
      </w:pPr>
      <w:r>
        <w:rPr>
          <w:rFonts w:hint="eastAsia" w:ascii="宋体" w:hAnsi="宋体"/>
          <w:b w:val="0"/>
          <w:color w:val="auto"/>
          <w:sz w:val="21"/>
          <w:szCs w:val="21"/>
          <w:highlight w:val="none"/>
        </w:rPr>
        <w:t>19.8投标文件不得涂改，若有修改错漏处，须加盖单位公章或者法定代表人（负责人）或授权委托人签字或盖章。投标文件因字迹潦草或表达不清所引起的后果由供应商负责。</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20.投标文件的密封和标记</w:t>
      </w:r>
    </w:p>
    <w:p>
      <w:pPr>
        <w:pStyle w:val="6"/>
        <w:keepNext w:val="0"/>
        <w:keepLines w:val="0"/>
        <w:spacing w:before="0" w:after="0" w:line="360" w:lineRule="auto"/>
        <w:ind w:left="105" w:leftChars="50"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20.1投标人应将电子备份投标文件装入到一个投标文件袋内加以密封（要求文件袋无明显缝隙露出袋内文件）；电子备份投标文件袋在每一封贴处密封签章【公章、密封章、法定代表人（负责人）、委托代理人签字等均可】。</w:t>
      </w:r>
    </w:p>
    <w:p>
      <w:pPr>
        <w:pStyle w:val="6"/>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电子备份投标文件袋的包装封面上应注明投标人名称、投标人地址、投标文件名称（电子备份投标文件）、投标项目名称、项目编号、并加盖投标人公章，并注明“开标时才能启封”。</w:t>
      </w:r>
      <w:r>
        <w:rPr>
          <w:rFonts w:hint="eastAsia"/>
          <w:color w:val="auto"/>
          <w:highlight w:val="none"/>
        </w:rPr>
        <w:t xml:space="preserve"> </w:t>
      </w:r>
    </w:p>
    <w:p>
      <w:pPr>
        <w:pStyle w:val="6"/>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备份投标文件应建立目录并分级，并保证目录清晰、内容完整。</w:t>
      </w:r>
    </w:p>
    <w:p>
      <w:pPr>
        <w:pStyle w:val="6"/>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备份投标文件的文件命名及存放路径要求如下：</w:t>
      </w:r>
    </w:p>
    <w:p>
      <w:pPr>
        <w:pStyle w:val="6"/>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①文件夹命名方式为：项目编号＋供应商名称；</w:t>
      </w:r>
    </w:p>
    <w:p>
      <w:pPr>
        <w:pStyle w:val="6"/>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②文件夹下存放“纸质版投标文件（正本，以PDF为格式）扫描件的电子备份投标文件”，文件的命名方式为：项目编号＋供应商名称＋报价文件/资格证明文件/商务文件和技术文件。</w:t>
      </w:r>
    </w:p>
    <w:p>
      <w:pPr>
        <w:pStyle w:val="6"/>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20.2逾期送达或者未按照招标文件要求密封的电子备份投标文件将被拒绝，由此造成电子备份投标文件被误投或提前拆封的风险由投标人承担。</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pPr>
        <w:spacing w:line="360" w:lineRule="auto"/>
        <w:ind w:firstLine="420"/>
        <w:jc w:val="left"/>
        <w:rPr>
          <w:rFonts w:hint="eastAsia" w:ascii="宋体" w:hAnsi="宋体"/>
          <w:color w:val="auto"/>
          <w:szCs w:val="21"/>
          <w:highlight w:val="none"/>
        </w:rPr>
      </w:pPr>
      <w:bookmarkStart w:id="120" w:name="_21.1投标人必须在“投标人须知中的前附表”规定的投标文件接收时间和投"/>
      <w:bookmarkEnd w:id="120"/>
      <w:r>
        <w:rPr>
          <w:rFonts w:hint="eastAsia" w:ascii="宋体" w:hAnsi="宋体"/>
          <w:color w:val="auto"/>
          <w:szCs w:val="21"/>
          <w:highlight w:val="none"/>
        </w:rPr>
        <w:t>21.1所有投标文件应于招标文件中规定的时间上传递交至政采云平台。还提供电子备份投标文件的，应当在投标截止时间前按要求密封并送达梧州市长洲区新兴二路125号梧州日报社8楼中经国际招标集团有限公司中经国际招标集团有限公司，逾期送达或未按要求密封将被拒收。</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21.2电子投标文件的相关说明</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21.2.1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21.2.2供应商在电子交易平台传输递交投标文件后，还可以在投标截止时间前提交电子备份投标文件，若供应商未提交电子备份投标文件，其后果由供应商自行承担。</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21.2.3如有特殊情况，本项目延长截止时间和开标时间，采购代理机构和供应商的权利和义务将受到新的截止时间和开标时间的约束。</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hint="eastAsia" w:ascii="宋体" w:hAnsi="宋体"/>
          <w:color w:val="auto"/>
          <w:szCs w:val="21"/>
          <w:highlight w:val="none"/>
        </w:rPr>
      </w:pPr>
      <w:bookmarkStart w:id="121" w:name="_Toc254970543"/>
      <w:bookmarkStart w:id="122" w:name="_Toc254970684"/>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投标人在投标截止时间之前，可以对已提交的投标文件进行补充、修改或者撤回，并书面通知采购人或者采购代理机构。补充、修改的内容必须按照本须知前附表第</w:t>
      </w:r>
      <w:r>
        <w:rPr>
          <w:rFonts w:ascii="宋体" w:hAnsi="宋体"/>
          <w:color w:val="auto"/>
          <w:szCs w:val="21"/>
          <w:highlight w:val="none"/>
        </w:rPr>
        <w:t>40.2</w:t>
      </w:r>
      <w:r>
        <w:rPr>
          <w:rFonts w:hint="eastAsia" w:ascii="宋体" w:hAnsi="宋体"/>
          <w:color w:val="auto"/>
          <w:szCs w:val="21"/>
          <w:highlight w:val="none"/>
        </w:rPr>
        <w:t>条签字、盖章，并按照本须知正文第</w:t>
      </w:r>
      <w:r>
        <w:rPr>
          <w:rFonts w:ascii="宋体" w:hAnsi="宋体"/>
          <w:color w:val="auto"/>
          <w:szCs w:val="21"/>
          <w:highlight w:val="none"/>
        </w:rPr>
        <w:t>20</w:t>
      </w:r>
      <w:r>
        <w:rPr>
          <w:rFonts w:hint="eastAsia" w:ascii="宋体" w:hAnsi="宋体"/>
          <w:color w:val="auto"/>
          <w:szCs w:val="21"/>
          <w:highlight w:val="none"/>
        </w:rPr>
        <w:t>条密封后，作为投标文件的组成部分</w:t>
      </w:r>
      <w:r>
        <w:rPr>
          <w:rFonts w:hint="eastAsia" w:ascii="宋体" w:hAnsi="宋体"/>
          <w:b/>
          <w:color w:val="auto"/>
          <w:szCs w:val="21"/>
          <w:highlight w:val="none"/>
        </w:rPr>
        <w:t>。</w:t>
      </w:r>
    </w:p>
    <w:bookmarkEnd w:id="121"/>
    <w:bookmarkEnd w:id="122"/>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2</w:t>
      </w:r>
      <w:r>
        <w:rPr>
          <w:rFonts w:hint="eastAsia" w:ascii="宋体" w:hAnsi="宋体" w:cs="宋体"/>
          <w:color w:val="auto"/>
          <w:szCs w:val="21"/>
          <w:highlight w:val="none"/>
        </w:rPr>
        <w:t>在投标截止时间止提交投标文件的投标人不足3家时</w:t>
      </w:r>
      <w:r>
        <w:rPr>
          <w:rFonts w:hint="eastAsia" w:ascii="宋体" w:hAnsi="宋体"/>
          <w:color w:val="auto"/>
          <w:szCs w:val="21"/>
          <w:highlight w:val="none"/>
        </w:rPr>
        <w:t>，</w:t>
      </w:r>
      <w:r>
        <w:rPr>
          <w:rFonts w:hint="eastAsia" w:ascii="宋体" w:hAnsi="宋体" w:cs="宋体"/>
          <w:color w:val="auto"/>
          <w:szCs w:val="21"/>
          <w:highlight w:val="none"/>
        </w:rPr>
        <w:t>不得开标</w:t>
      </w:r>
      <w:r>
        <w:rPr>
          <w:rFonts w:hint="eastAsia" w:ascii="宋体" w:hAnsi="宋体"/>
          <w:color w:val="auto"/>
          <w:szCs w:val="21"/>
          <w:highlight w:val="none"/>
        </w:rPr>
        <w:t>，</w:t>
      </w:r>
      <w:r>
        <w:rPr>
          <w:rFonts w:hint="eastAsia" w:ascii="宋体" w:hAnsi="宋体" w:cs="宋体"/>
          <w:color w:val="auto"/>
          <w:szCs w:val="21"/>
          <w:highlight w:val="none"/>
        </w:rPr>
        <w:t>应当由投标人法定代表人或者委托代理人签字领回投标文件（投标文件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，以到付的方式寄回至原地址），除此之外采购人和采购代理机构对已提交的投标文件概不退回。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pPr>
        <w:pStyle w:val="12"/>
        <w:snapToGrid w:val="0"/>
        <w:spacing w:line="360" w:lineRule="auto"/>
        <w:ind w:firstLine="739"/>
        <w:rPr>
          <w:rFonts w:hint="eastAsia" w:ascii="宋体" w:hAnsi="宋体" w:eastAsia="宋体"/>
          <w:snapToGrid w:val="0"/>
          <w:color w:val="auto"/>
          <w:sz w:val="21"/>
          <w:szCs w:val="21"/>
          <w:highlight w:val="none"/>
        </w:rPr>
      </w:pPr>
    </w:p>
    <w:p>
      <w:pPr>
        <w:pStyle w:val="5"/>
        <w:keepNext w:val="0"/>
        <w:keepLines w:val="0"/>
        <w:jc w:val="center"/>
        <w:rPr>
          <w:rFonts w:hint="eastAsia"/>
          <w:color w:val="auto"/>
          <w:highlight w:val="none"/>
        </w:rPr>
      </w:pPr>
      <w:bookmarkStart w:id="123" w:name="_Toc254970685"/>
      <w:bookmarkStart w:id="124" w:name="_Toc254970544"/>
      <w:r>
        <w:rPr>
          <w:rFonts w:hint="eastAsia"/>
          <w:color w:val="auto"/>
          <w:highlight w:val="none"/>
        </w:rPr>
        <w:t>四、开    标</w:t>
      </w:r>
      <w:bookmarkEnd w:id="123"/>
      <w:bookmarkEnd w:id="124"/>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125" w:name="_23.开标时间和地点"/>
      <w:bookmarkEnd w:id="125"/>
      <w:r>
        <w:rPr>
          <w:rFonts w:hint="eastAsia" w:ascii="黑体" w:hAnsi="黑体" w:eastAsia="黑体"/>
          <w:color w:val="auto"/>
          <w:sz w:val="24"/>
          <w:highlight w:val="none"/>
        </w:rPr>
        <w:t>23.开标时间和地点</w:t>
      </w:r>
    </w:p>
    <w:p>
      <w:pPr>
        <w:pStyle w:val="13"/>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采购代理机构将在“投标人须知前附表”规定的时间通过“政府采购云平台”组织开标、开启投标文件，所有供应商均应当准时在线参加。投标供应商如不参加开标会的，视同认可开标结果，事后不得对采购相关人员、开标过程和开标结果提出异议，同时供应商因未在线参加开标而导致投标文件无法按时解密等一切后果由供应商自己承担。本项目开标过程实行全程录音、录像监控。</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向各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2.投标文件解密结束后，开标活动组织人员在线开启投标文件。</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3.开启投标人报价文件，开标活动组织人员宣读开标（报价）一览表有关内容，投标人代表如果认为宣读有误，可以当场提出异议。</w:t>
      </w:r>
    </w:p>
    <w:p>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开标结束后，如发现开标结果与报价文件不一致者，由评标委员会根据报价文件内容进行修正。</w:t>
      </w:r>
    </w:p>
    <w:p>
      <w:pPr>
        <w:pStyle w:val="13"/>
        <w:snapToGrid w:val="0"/>
        <w:spacing w:line="360" w:lineRule="auto"/>
        <w:ind w:firstLine="400" w:firstLineChars="200"/>
        <w:rPr>
          <w:rFonts w:hint="eastAsia" w:hAnsi="宋体"/>
          <w:color w:val="auto"/>
          <w:sz w:val="21"/>
          <w:highlight w:val="none"/>
        </w:rPr>
      </w:pPr>
      <w:r>
        <w:rPr>
          <w:rFonts w:hint="eastAsia" w:hAnsi="宋体"/>
          <w:color w:val="auto"/>
          <w:highlight w:val="none"/>
        </w:rPr>
        <w:t>特别说明：如遇“政府采购云平台”电子化开标或评审程序调整的，按调整后程序执行。</w:t>
      </w:r>
    </w:p>
    <w:p>
      <w:pPr>
        <w:pStyle w:val="13"/>
        <w:snapToGrid w:val="0"/>
        <w:spacing w:line="360" w:lineRule="auto"/>
        <w:ind w:left="689" w:leftChars="228" w:hanging="210" w:hangingChars="100"/>
        <w:rPr>
          <w:rFonts w:hint="eastAsia" w:hAnsi="宋体"/>
          <w:color w:val="auto"/>
          <w:sz w:val="21"/>
          <w:highlight w:val="none"/>
        </w:rPr>
      </w:pPr>
    </w:p>
    <w:p>
      <w:pPr>
        <w:pStyle w:val="5"/>
        <w:keepNext w:val="0"/>
        <w:keepLines w:val="0"/>
        <w:jc w:val="center"/>
        <w:rPr>
          <w:rFonts w:hint="eastAsia"/>
          <w:color w:val="auto"/>
          <w:highlight w:val="none"/>
        </w:rPr>
      </w:pPr>
      <w:r>
        <w:rPr>
          <w:rFonts w:hint="eastAsia"/>
          <w:color w:val="auto"/>
          <w:highlight w:val="none"/>
        </w:rPr>
        <w:t>五、资格审查</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26" w:name="_25.3_投标人有下列情形之一的，资格审查不通过而导致其投标无效："/>
      <w:bookmarkEnd w:id="126"/>
      <w:r>
        <w:rPr>
          <w:rFonts w:hint="eastAsia" w:ascii="宋体" w:hAnsi="宋体"/>
          <w:color w:val="auto"/>
          <w:sz w:val="21"/>
          <w:szCs w:val="21"/>
          <w:highlight w:val="none"/>
        </w:rPr>
        <w:t>25.3 投标人有下列情形之一的，资格审查不通过，作无效投标处理：</w:t>
      </w:r>
    </w:p>
    <w:p>
      <w:pPr>
        <w:pStyle w:val="13"/>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（1）未按招标文件规定的方式获取本招标文件的投标人；</w:t>
      </w:r>
    </w:p>
    <w:p>
      <w:pPr>
        <w:pStyle w:val="13"/>
        <w:snapToGrid w:val="0"/>
        <w:spacing w:line="360" w:lineRule="auto"/>
        <w:ind w:firstLine="422" w:firstLineChars="200"/>
        <w:rPr>
          <w:rFonts w:hAnsi="宋体"/>
          <w:b/>
          <w:color w:val="auto"/>
          <w:sz w:val="21"/>
          <w:highlight w:val="none"/>
        </w:rPr>
      </w:pPr>
      <w:r>
        <w:rPr>
          <w:rFonts w:hint="eastAsia" w:hAnsi="宋体"/>
          <w:b/>
          <w:color w:val="auto"/>
          <w:sz w:val="21"/>
          <w:highlight w:val="none"/>
        </w:rPr>
        <w:t>（2）不具备招标文件中规定的资格要求的；</w:t>
      </w:r>
    </w:p>
    <w:p>
      <w:pPr>
        <w:pStyle w:val="13"/>
        <w:snapToGrid w:val="0"/>
        <w:spacing w:line="360" w:lineRule="auto"/>
        <w:ind w:firstLine="422" w:firstLineChars="200"/>
        <w:rPr>
          <w:rFonts w:hAnsi="宋体"/>
          <w:b/>
          <w:color w:val="auto"/>
          <w:sz w:val="21"/>
          <w:highlight w:val="none"/>
        </w:rPr>
      </w:pPr>
      <w:r>
        <w:rPr>
          <w:rFonts w:hint="eastAsia" w:hAnsi="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3"/>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w:t>
      </w:r>
    </w:p>
    <w:p>
      <w:pPr>
        <w:pStyle w:val="13"/>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）投标文件未提供任一项“投标人须知前附表”资格证明文件规定的“必须提供”的文件资料的；</w:t>
      </w:r>
    </w:p>
    <w:p>
      <w:pPr>
        <w:pStyle w:val="13"/>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25.4资格审查的</w:t>
      </w:r>
      <w:r>
        <w:rPr>
          <w:rFonts w:ascii="宋体" w:hAnsi="宋体"/>
          <w:color w:val="auto"/>
          <w:sz w:val="21"/>
          <w:szCs w:val="21"/>
          <w:highlight w:val="none"/>
        </w:rPr>
        <w:t>合格投标人不足3家的，不得评标。</w:t>
      </w:r>
    </w:p>
    <w:p>
      <w:pPr>
        <w:pStyle w:val="13"/>
        <w:snapToGrid w:val="0"/>
        <w:spacing w:line="360" w:lineRule="auto"/>
        <w:ind w:left="689" w:leftChars="228" w:hanging="210" w:hangingChars="100"/>
        <w:rPr>
          <w:rFonts w:hint="eastAsia" w:hAnsi="宋体"/>
          <w:color w:val="auto"/>
          <w:sz w:val="21"/>
          <w:highlight w:val="none"/>
        </w:rPr>
      </w:pPr>
    </w:p>
    <w:p>
      <w:pPr>
        <w:pStyle w:val="5"/>
        <w:keepNext w:val="0"/>
        <w:keepLines w:val="0"/>
        <w:jc w:val="center"/>
        <w:rPr>
          <w:rFonts w:hint="eastAsia"/>
          <w:color w:val="auto"/>
          <w:highlight w:val="none"/>
        </w:rPr>
      </w:pPr>
      <w:r>
        <w:rPr>
          <w:rFonts w:hint="eastAsia"/>
          <w:color w:val="auto"/>
          <w:highlight w:val="none"/>
        </w:rPr>
        <w:t>六、评   标</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127" w:name="_26.组建评标委员会"/>
      <w:bookmarkEnd w:id="127"/>
      <w:r>
        <w:rPr>
          <w:rFonts w:hint="eastAsia" w:ascii="黑体" w:hAnsi="黑体" w:eastAsia="黑体"/>
          <w:color w:val="auto"/>
          <w:sz w:val="24"/>
          <w:highlight w:val="none"/>
        </w:rPr>
        <w:t>26.组建评标委员会</w:t>
      </w:r>
    </w:p>
    <w:p>
      <w:pPr>
        <w:pStyle w:val="13"/>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pPr>
        <w:pStyle w:val="13"/>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参加过采购项目前期咨询论证的专家，不得参加该采购项目的评审活动。</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pPr>
        <w:pStyle w:val="13"/>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评标委员会以招标文件为依据对投标文件进行评审，</w:t>
      </w:r>
      <w:r>
        <w:rPr>
          <w:rFonts w:hint="eastAsia" w:hAnsi="宋体" w:cs="宋体"/>
          <w:color w:val="auto"/>
          <w:sz w:val="21"/>
          <w:highlight w:val="none"/>
        </w:rPr>
        <w:t>“第四章 评标方法和评标标准”</w:t>
      </w:r>
      <w:r>
        <w:rPr>
          <w:rFonts w:hAnsi="宋体"/>
          <w:color w:val="auto"/>
          <w:sz w:val="21"/>
          <w:highlight w:val="none"/>
        </w:rPr>
        <w:t>没有规定的方法、评审因素和标准，不作为评标依据。</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pPr>
        <w:pStyle w:val="13"/>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3"/>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28.2评委表决。评标委员会成员对需要共同认定的事项存在争议的，应当按照少数服从多数的原则作出结论。</w:t>
      </w:r>
    </w:p>
    <w:p>
      <w:pPr>
        <w:pStyle w:val="13"/>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3"/>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color w:val="auto"/>
          <w:sz w:val="21"/>
          <w:highlight w:val="none"/>
        </w:rPr>
        <w:t>投标人在评标过程中所进行的试图影响评标结果的不公正活动，可能导致其投标无效。</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29.评标方法及评标标准</w:t>
      </w:r>
    </w:p>
    <w:p>
      <w:pPr>
        <w:pStyle w:val="13"/>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pPr>
        <w:pStyle w:val="13"/>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Ansi="宋体"/>
          <w:color w:val="auto"/>
          <w:sz w:val="21"/>
          <w:highlight w:val="none"/>
        </w:rPr>
        <w:t>评标委员会按照</w:t>
      </w:r>
      <w:r>
        <w:rPr>
          <w:rFonts w:hint="eastAsia" w:hAnsi="宋体" w:cs="宋体"/>
          <w:color w:val="auto"/>
          <w:sz w:val="21"/>
          <w:highlight w:val="none"/>
        </w:rPr>
        <w:t>“第四章 评标方法及评标标准”</w:t>
      </w:r>
      <w:r>
        <w:rPr>
          <w:rFonts w:hAnsi="宋体"/>
          <w:color w:val="auto"/>
          <w:sz w:val="21"/>
          <w:highlight w:val="none"/>
        </w:rPr>
        <w:t>规定的</w:t>
      </w:r>
      <w:r>
        <w:rPr>
          <w:rFonts w:hint="eastAsia" w:hAnsi="宋体"/>
          <w:color w:val="auto"/>
          <w:sz w:val="21"/>
          <w:highlight w:val="none"/>
        </w:rPr>
        <w:t>评标</w:t>
      </w:r>
      <w:r>
        <w:rPr>
          <w:rFonts w:hAnsi="宋体"/>
          <w:color w:val="auto"/>
          <w:sz w:val="21"/>
          <w:highlight w:val="none"/>
        </w:rPr>
        <w:t>方法、</w:t>
      </w:r>
      <w:r>
        <w:rPr>
          <w:rFonts w:hint="eastAsia" w:hAnsi="宋体"/>
          <w:color w:val="auto"/>
          <w:sz w:val="21"/>
          <w:highlight w:val="none"/>
        </w:rPr>
        <w:t>评标</w:t>
      </w:r>
      <w:r>
        <w:rPr>
          <w:rFonts w:hAnsi="宋体"/>
          <w:color w:val="auto"/>
          <w:sz w:val="21"/>
          <w:highlight w:val="none"/>
        </w:rPr>
        <w:t>程序和</w:t>
      </w:r>
      <w:r>
        <w:rPr>
          <w:rFonts w:hint="eastAsia" w:hAnsi="宋体"/>
          <w:color w:val="auto"/>
          <w:sz w:val="21"/>
          <w:highlight w:val="none"/>
        </w:rPr>
        <w:t>评标</w:t>
      </w:r>
      <w:r>
        <w:rPr>
          <w:rFonts w:hAnsi="宋体"/>
          <w:color w:val="auto"/>
          <w:sz w:val="21"/>
          <w:highlight w:val="none"/>
        </w:rPr>
        <w:t>标准对投标文件进行评审。</w:t>
      </w:r>
    </w:p>
    <w:p>
      <w:pPr>
        <w:pStyle w:val="13"/>
        <w:snapToGrid w:val="0"/>
        <w:spacing w:line="360" w:lineRule="auto"/>
        <w:rPr>
          <w:rFonts w:hint="eastAsia" w:hAnsi="宋体"/>
          <w:color w:val="auto"/>
          <w:sz w:val="21"/>
          <w:highlight w:val="none"/>
        </w:rPr>
      </w:pPr>
    </w:p>
    <w:p>
      <w:pPr>
        <w:pStyle w:val="5"/>
        <w:keepNext w:val="0"/>
        <w:keepLines w:val="0"/>
        <w:jc w:val="center"/>
        <w:rPr>
          <w:rFonts w:hint="eastAsia"/>
          <w:color w:val="auto"/>
          <w:highlight w:val="none"/>
        </w:rPr>
      </w:pPr>
      <w:bookmarkStart w:id="128" w:name="_Toc254970546"/>
      <w:bookmarkStart w:id="129" w:name="_Toc254970687"/>
      <w:r>
        <w:rPr>
          <w:rFonts w:hint="eastAsia"/>
          <w:color w:val="auto"/>
          <w:highlight w:val="none"/>
        </w:rPr>
        <w:t>七、</w:t>
      </w:r>
      <w:bookmarkEnd w:id="128"/>
      <w:bookmarkEnd w:id="129"/>
      <w:r>
        <w:rPr>
          <w:rFonts w:hint="eastAsia"/>
          <w:color w:val="auto"/>
          <w:highlight w:val="none"/>
        </w:rPr>
        <w:t>中标和合同</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30.3</w:t>
      </w:r>
      <w:r>
        <w:rPr>
          <w:rFonts w:hint="eastAsia" w:ascii="宋体" w:hAnsi="宋体" w:cs="Courier New"/>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30.4</w:t>
      </w:r>
      <w:r>
        <w:rPr>
          <w:rFonts w:hint="eastAsia" w:ascii="宋体" w:hAnsi="宋体" w:cs="Courier New"/>
          <w:color w:val="auto"/>
          <w:szCs w:val="21"/>
          <w:highlight w:val="none"/>
        </w:rPr>
        <w:t>中标人拒绝签订政府采购和或者放弃中标或者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以上信息查询记录及相关证据与采购文件一并保存。</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bookmarkStart w:id="130" w:name="_39.1中标人须于签订合同前按本须知前附表规定的金额转账或电汇到指定账"/>
      <w:bookmarkEnd w:id="130"/>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.2签订合同后，如中标人不按双方签订的合同规定履约，则没收其全部履约保证金，履约保证金不足以赔偿损失的，按实际损失赔偿。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.3在履约保证金退还日期前，若中标人的开户名称、开户银行、帐号有变动的，请以书面形式通知履约保证金收取单位，否则由此产生的后果由中标人自行承担。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bookmarkStart w:id="131" w:name="_40.1投标人接到中标通知书后，按须知前附表规定向采购人出示相关资格证"/>
      <w:bookmarkEnd w:id="131"/>
      <w:r>
        <w:rPr>
          <w:rFonts w:hint="eastAsia" w:ascii="宋体" w:hAnsi="宋体"/>
          <w:b w:val="0"/>
          <w:color w:val="auto"/>
          <w:sz w:val="21"/>
          <w:szCs w:val="21"/>
          <w:highlight w:val="none"/>
        </w:rPr>
        <w:t xml:space="preserve"> 36.1投标人领取中标通知书后，按“投标人须知前附表”规定向采购人出示相关证明材料，经采购人核验合格后方可签订合同。</w:t>
      </w:r>
    </w:p>
    <w:p>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中标人拒绝与采购人签订合同的，采购人可以按照评审报告推荐的中标候选人名单排序，确定下一候选人为中标人，也可以重新开展政府采购活动。</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132" w:name="_41.政府采购合同公告"/>
      <w:bookmarkEnd w:id="132"/>
      <w:r>
        <w:rPr>
          <w:rFonts w:hint="eastAsia" w:ascii="黑体" w:hAnsi="黑体" w:eastAsia="黑体"/>
          <w:color w:val="auto"/>
          <w:sz w:val="24"/>
          <w:highlight w:val="none"/>
        </w:rPr>
        <w:t>37.政府采购合同公告</w:t>
      </w:r>
    </w:p>
    <w:p>
      <w:pPr>
        <w:pStyle w:val="13"/>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7"/>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供应商对政府采购活动事项有疑问的，可以向采购人提出询问，采购人应当及时作出答复，但答复的内容不得涉及商业秘密。</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3"/>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13"/>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13"/>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13"/>
        <w:snapToGrid w:val="0"/>
        <w:spacing w:line="360" w:lineRule="auto"/>
        <w:ind w:firstLine="420" w:firstLineChars="200"/>
        <w:rPr>
          <w:rFonts w:hint="eastAsia" w:hAnsi="宋体"/>
          <w:bCs/>
          <w:color w:val="auto"/>
          <w:sz w:val="21"/>
          <w:highlight w:val="none"/>
        </w:rPr>
      </w:pPr>
      <w:r>
        <w:rPr>
          <w:rFonts w:hint="eastAsia" w:hAnsi="宋体"/>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pPr>
        <w:pStyle w:val="6"/>
        <w:keepNext w:val="0"/>
        <w:keepLines w:val="0"/>
        <w:spacing w:before="0" w:after="0" w:line="360" w:lineRule="auto"/>
        <w:ind w:firstLine="315" w:firstLineChars="150"/>
        <w:rPr>
          <w:rFonts w:ascii="宋体" w:hAnsi="宋体"/>
          <w:b w:val="0"/>
          <w:color w:val="auto"/>
          <w:sz w:val="21"/>
          <w:szCs w:val="21"/>
          <w:highlight w:val="none"/>
        </w:rPr>
      </w:pPr>
      <w:bookmarkStart w:id="133" w:name="_9.2质疑、投诉应当采用书面形式，质疑函、投诉书均应明确阐述招标文件、"/>
      <w:bookmarkEnd w:id="133"/>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pPr>
        <w:pStyle w:val="1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1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1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1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1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1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13"/>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pPr>
        <w:pStyle w:val="6"/>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3"/>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pPr>
        <w:pStyle w:val="13"/>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13"/>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13"/>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spacing w:before="240" w:after="240" w:line="415" w:lineRule="auto"/>
        <w:jc w:val="center"/>
        <w:rPr>
          <w:rFonts w:hint="eastAsia"/>
          <w:color w:val="auto"/>
          <w:highlight w:val="none"/>
        </w:rPr>
      </w:pPr>
      <w:bookmarkStart w:id="134" w:name="_八、其他事项"/>
      <w:bookmarkEnd w:id="134"/>
      <w:r>
        <w:rPr>
          <w:rFonts w:hint="eastAsia"/>
          <w:color w:val="auto"/>
          <w:highlight w:val="none"/>
        </w:rPr>
        <w:t>八、其他事项</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135" w:name="_42.代理服务费"/>
      <w:bookmarkEnd w:id="135"/>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.1代理服务收费标准及缴费账户详见“投标人须知前附表”，投标人为联合体的，可以由联合体中的一方或者多方共同交纳代理服务费。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pPr>
        <w:spacing w:line="360" w:lineRule="auto"/>
        <w:rPr>
          <w:rFonts w:hint="eastAsia" w:ascii="宋体" w:hAnsi="宋体"/>
          <w:color w:val="auto"/>
          <w:szCs w:val="21"/>
          <w:highlight w:val="none"/>
        </w:rPr>
      </w:pP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659" w:type="dxa"/>
            <w:noWrap w:val="0"/>
            <w:vAlign w:val="center"/>
          </w:tcPr>
          <w:p>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noWrap w:val="0"/>
            <w:vAlign w:val="to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noWrap w:val="0"/>
            <w:vAlign w:val="to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pPr>
        <w:pStyle w:val="13"/>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0.8＝ 2.3（万元）</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13"/>
        <w:spacing w:line="360" w:lineRule="auto"/>
        <w:ind w:firstLine="420" w:firstLineChars="200"/>
        <w:rPr>
          <w:rFonts w:hAnsi="宋体"/>
          <w:color w:val="auto"/>
          <w:sz w:val="21"/>
          <w:highlight w:val="none"/>
        </w:rPr>
      </w:pPr>
      <w:r>
        <w:rPr>
          <w:rFonts w:hAnsi="宋体"/>
          <w:color w:val="auto"/>
          <w:sz w:val="21"/>
          <w:highlight w:val="none"/>
        </w:rPr>
        <w:t>40.1</w:t>
      </w:r>
      <w:r>
        <w:rPr>
          <w:rFonts w:hint="eastAsia" w:hAnsi="宋体" w:cs="宋体"/>
          <w:color w:val="auto"/>
          <w:sz w:val="21"/>
          <w:highlight w:val="none"/>
        </w:rPr>
        <w:t>本招标文件解释规则详见</w:t>
      </w:r>
      <w:r>
        <w:rPr>
          <w:rFonts w:hint="eastAsia" w:hAnsi="宋体"/>
          <w:color w:val="auto"/>
          <w:sz w:val="21"/>
          <w:highlight w:val="none"/>
        </w:rPr>
        <w:t>“投标人须知前附表”。</w:t>
      </w:r>
    </w:p>
    <w:p>
      <w:pPr>
        <w:pStyle w:val="13"/>
        <w:spacing w:line="360" w:lineRule="auto"/>
        <w:ind w:firstLine="420" w:firstLineChars="200"/>
        <w:rPr>
          <w:rFonts w:hAnsi="宋体"/>
          <w:color w:val="auto"/>
          <w:sz w:val="21"/>
          <w:highlight w:val="none"/>
        </w:rPr>
      </w:pPr>
      <w:r>
        <w:rPr>
          <w:rFonts w:hAnsi="宋体" w:cs="宋体"/>
          <w:color w:val="auto"/>
          <w:sz w:val="21"/>
          <w:highlight w:val="none"/>
        </w:rPr>
        <w:t>40.2</w:t>
      </w:r>
      <w:r>
        <w:rPr>
          <w:rFonts w:hint="eastAsia" w:hAnsi="宋体" w:cs="宋体"/>
          <w:color w:val="auto"/>
          <w:sz w:val="21"/>
          <w:highlight w:val="none"/>
        </w:rPr>
        <w:t xml:space="preserve"> </w:t>
      </w:r>
      <w:r>
        <w:rPr>
          <w:rFonts w:hint="eastAsia" w:hAnsi="宋体"/>
          <w:color w:val="auto"/>
          <w:sz w:val="21"/>
          <w:highlight w:val="none"/>
        </w:rPr>
        <w:t>其他事项详见“投标人须知前附表”。</w:t>
      </w:r>
    </w:p>
    <w:p>
      <w:pPr>
        <w:pStyle w:val="13"/>
        <w:spacing w:line="360" w:lineRule="auto"/>
        <w:ind w:firstLine="420" w:firstLineChars="200"/>
        <w:rPr>
          <w:rFonts w:hint="eastAsia" w:hAnsi="宋体"/>
          <w:color w:val="auto"/>
          <w:sz w:val="21"/>
          <w:highlight w:val="none"/>
        </w:rPr>
      </w:pPr>
      <w:r>
        <w:rPr>
          <w:rFonts w:hAnsi="宋体"/>
          <w:color w:val="auto"/>
          <w:sz w:val="21"/>
          <w:highlight w:val="none"/>
        </w:rPr>
        <w:t>40.3</w:t>
      </w:r>
      <w:r>
        <w:rPr>
          <w:rFonts w:hint="eastAsia" w:hAnsi="宋体"/>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13"/>
        <w:spacing w:line="360" w:lineRule="auto"/>
        <w:ind w:firstLine="420" w:firstLineChars="200"/>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w:t>
      </w:r>
      <w:r>
        <w:rPr>
          <w:rFonts w:hint="eastAsia"/>
          <w:color w:val="auto"/>
          <w:highlight w:val="none"/>
        </w:rPr>
        <w:t>不对其中涉及的工程承建商和服务的承接商作出要求</w:t>
      </w:r>
      <w:r>
        <w:rPr>
          <w:rFonts w:hint="eastAsia" w:hAnsi="宋体"/>
          <w:color w:val="auto"/>
          <w:sz w:val="21"/>
          <w:highlight w:val="none"/>
        </w:rPr>
        <w:t>；</w:t>
      </w:r>
    </w:p>
    <w:p>
      <w:pPr>
        <w:pStyle w:val="13"/>
        <w:spacing w:line="360" w:lineRule="auto"/>
        <w:ind w:firstLine="420" w:firstLineChars="200"/>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w:t>
      </w:r>
      <w:r>
        <w:rPr>
          <w:rFonts w:hint="eastAsia"/>
          <w:color w:val="auto"/>
          <w:highlight w:val="none"/>
        </w:rPr>
        <w:t>不对其中涉及的货物的制造商和服务的承接商作出要求</w:t>
      </w:r>
      <w:r>
        <w:rPr>
          <w:rFonts w:hint="eastAsia" w:hAnsi="宋体"/>
          <w:color w:val="auto"/>
          <w:sz w:val="21"/>
          <w:highlight w:val="none"/>
        </w:rPr>
        <w:t>；</w:t>
      </w:r>
    </w:p>
    <w:p>
      <w:pPr>
        <w:pStyle w:val="13"/>
        <w:spacing w:line="360" w:lineRule="auto"/>
        <w:ind w:firstLine="420" w:firstLineChars="200"/>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w:t>
      </w:r>
      <w:r>
        <w:rPr>
          <w:rFonts w:hint="eastAsia"/>
          <w:color w:val="auto"/>
          <w:highlight w:val="none"/>
        </w:rPr>
        <w:t>不对其中涉及的货物的制造商和工程承建商作出要求</w:t>
      </w:r>
      <w:r>
        <w:rPr>
          <w:rFonts w:hint="eastAsia" w:hAnsi="宋体"/>
          <w:color w:val="auto"/>
          <w:sz w:val="21"/>
          <w:highlight w:val="none"/>
        </w:rPr>
        <w:t>。</w:t>
      </w:r>
    </w:p>
    <w:p>
      <w:pPr>
        <w:pStyle w:val="13"/>
        <w:spacing w:line="360" w:lineRule="auto"/>
        <w:ind w:firstLine="420" w:firstLineChars="200"/>
        <w:rPr>
          <w:rFonts w:hint="eastAsia"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3"/>
        <w:spacing w:line="360" w:lineRule="auto"/>
        <w:ind w:firstLine="420" w:firstLineChars="200"/>
        <w:rPr>
          <w:rFonts w:hint="eastAsia" w:hAnsi="宋体"/>
          <w:color w:val="auto"/>
          <w:sz w:val="21"/>
          <w:highlight w:val="none"/>
        </w:rPr>
      </w:pPr>
      <w:r>
        <w:rPr>
          <w:rFonts w:hint="eastAsia" w:hAnsi="宋体"/>
          <w:color w:val="auto"/>
          <w:sz w:val="21"/>
          <w:highlight w:val="none"/>
        </w:rPr>
        <w:t>依据本文件规定享受扶持政策获得政府采购合同的，小微企业不得将合同分包给大中型企业，中型企业不得将合同分包给大型企业。</w:t>
      </w:r>
      <w:r>
        <w:rPr>
          <w:rFonts w:hAnsi="宋体"/>
          <w:color w:val="auto"/>
          <w:highlight w:val="none"/>
        </w:rPr>
        <w:br w:type="page"/>
      </w:r>
      <w:r>
        <w:rPr>
          <w:rFonts w:hint="eastAsia" w:ascii="黑体" w:hAnsi="黑体" w:eastAsia="黑体" w:cs="黑体"/>
          <w:color w:val="auto"/>
          <w:sz w:val="21"/>
          <w:highlight w:val="none"/>
        </w:rPr>
        <w:t>附件1：</w:t>
      </w:r>
    </w:p>
    <w:p>
      <w:pPr>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w:t>
      </w:r>
      <w:r>
        <w:rPr>
          <w:rFonts w:hint="eastAsia" w:ascii="仿宋" w:hAnsi="仿宋" w:eastAsia="仿宋" w:cs="宋体"/>
          <w:color w:val="auto"/>
          <w:kern w:val="0"/>
          <w:sz w:val="32"/>
          <w:szCs w:val="32"/>
          <w:highlight w:val="none"/>
        </w:rPr>
        <w:t>（格式）</w:t>
      </w:r>
    </w:p>
    <w:p>
      <w:pPr>
        <w:shd w:val="clear" w:color="auto" w:fill="FFFFFF"/>
        <w:spacing w:line="480" w:lineRule="atLeast"/>
        <w:jc w:val="center"/>
        <w:rPr>
          <w:rFonts w:hint="eastAsia" w:ascii="仿宋" w:hAnsi="仿宋" w:eastAsia="仿宋" w:cs="宋体"/>
          <w:color w:val="auto"/>
          <w:kern w:val="0"/>
          <w:sz w:val="32"/>
          <w:szCs w:val="32"/>
          <w:highlight w:val="none"/>
        </w:rPr>
      </w:pPr>
    </w:p>
    <w:p>
      <w:pPr>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0"/>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ascii="Verdana" w:hAnsi="Verdana"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中标或者成交人负责人签字或者盖章：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pPr>
        <w:jc w:val="left"/>
        <w:rPr>
          <w:rFonts w:hint="eastAsia" w:hAnsi="宋体"/>
          <w:color w:val="auto"/>
          <w:highlight w:val="none"/>
        </w:rPr>
      </w:pPr>
      <w:r>
        <w:rPr>
          <w:rFonts w:hAnsi="宋体"/>
          <w:color w:val="auto"/>
          <w:highlight w:val="none"/>
        </w:rPr>
        <w:br w:type="page"/>
      </w:r>
      <w:r>
        <w:rPr>
          <w:rFonts w:hint="eastAsia" w:ascii="黑体" w:hAnsi="黑体" w:eastAsia="黑体" w:cs="黑体"/>
          <w:color w:val="auto"/>
          <w:highlight w:val="none"/>
        </w:rPr>
        <w:t>附件2：</w:t>
      </w:r>
    </w:p>
    <w:p>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color w:val="auto"/>
                <w:sz w:val="24"/>
                <w:highlight w:val="none"/>
              </w:rPr>
            </w:pPr>
            <w:r>
              <w:rPr>
                <w:rFonts w:hint="eastAsia"/>
                <w:color w:val="auto"/>
                <w:sz w:val="24"/>
                <w:highlight w:val="none"/>
              </w:rPr>
              <w:t>供</w:t>
            </w:r>
          </w:p>
          <w:p>
            <w:pPr>
              <w:jc w:val="center"/>
              <w:rPr>
                <w:rFonts w:hint="eastAsia"/>
                <w:color w:val="auto"/>
                <w:sz w:val="24"/>
                <w:highlight w:val="none"/>
              </w:rPr>
            </w:pPr>
            <w:r>
              <w:rPr>
                <w:rFonts w:hint="eastAsia"/>
                <w:color w:val="auto"/>
                <w:sz w:val="24"/>
                <w:highlight w:val="none"/>
              </w:rPr>
              <w:t>应</w:t>
            </w:r>
          </w:p>
          <w:p>
            <w:pPr>
              <w:jc w:val="center"/>
              <w:rPr>
                <w:rFonts w:hint="eastAsia"/>
                <w:color w:val="auto"/>
                <w:sz w:val="24"/>
                <w:highlight w:val="none"/>
              </w:rPr>
            </w:pPr>
            <w:r>
              <w:rPr>
                <w:rFonts w:hint="eastAsia"/>
                <w:color w:val="auto"/>
                <w:sz w:val="24"/>
                <w:highlight w:val="none"/>
              </w:rPr>
              <w:t>商</w:t>
            </w:r>
          </w:p>
          <w:p>
            <w:pPr>
              <w:jc w:val="center"/>
              <w:rPr>
                <w:rFonts w:hint="eastAsia"/>
                <w:color w:val="auto"/>
                <w:sz w:val="24"/>
                <w:highlight w:val="none"/>
              </w:rPr>
            </w:pPr>
            <w:r>
              <w:rPr>
                <w:rFonts w:hint="eastAsia"/>
                <w:color w:val="auto"/>
                <w:sz w:val="24"/>
                <w:highlight w:val="none"/>
              </w:rPr>
              <w:t>申</w:t>
            </w:r>
          </w:p>
          <w:p>
            <w:pPr>
              <w:jc w:val="center"/>
              <w:rPr>
                <w:rFonts w:hint="eastAsia"/>
                <w:color w:val="auto"/>
                <w:sz w:val="24"/>
                <w:highlight w:val="none"/>
              </w:rPr>
            </w:pPr>
            <w:r>
              <w:rPr>
                <w:rFonts w:hint="eastAsia"/>
                <w:color w:val="auto"/>
                <w:sz w:val="24"/>
                <w:highlight w:val="none"/>
              </w:rPr>
              <w:t>请</w:t>
            </w:r>
          </w:p>
        </w:tc>
        <w:tc>
          <w:tcPr>
            <w:tcW w:w="8456" w:type="dxa"/>
            <w:noWrap w:val="0"/>
            <w:vAlign w:val="center"/>
          </w:tcPr>
          <w:p>
            <w:pPr>
              <w:rPr>
                <w:rFonts w:hint="eastAsia"/>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color w:val="auto"/>
                <w:sz w:val="24"/>
                <w:highlight w:val="none"/>
              </w:rPr>
            </w:pPr>
          </w:p>
        </w:tc>
        <w:tc>
          <w:tcPr>
            <w:tcW w:w="8456" w:type="dxa"/>
            <w:noWrap w:val="0"/>
            <w:vAlign w:val="center"/>
          </w:tcPr>
          <w:p>
            <w:pPr>
              <w:rPr>
                <w:rFonts w:hint="eastAsia"/>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color w:val="auto"/>
                <w:sz w:val="24"/>
                <w:highlight w:val="none"/>
              </w:rPr>
            </w:pPr>
          </w:p>
        </w:tc>
        <w:tc>
          <w:tcPr>
            <w:tcW w:w="8456" w:type="dxa"/>
            <w:noWrap w:val="0"/>
            <w:vAlign w:val="top"/>
          </w:tcPr>
          <w:p>
            <w:pPr>
              <w:rPr>
                <w:rFonts w:hint="eastAsia"/>
                <w:color w:val="auto"/>
                <w:sz w:val="24"/>
                <w:highlight w:val="none"/>
              </w:rPr>
            </w:pPr>
            <w:r>
              <w:rPr>
                <w:rFonts w:hint="eastAsia"/>
                <w:color w:val="auto"/>
                <w:sz w:val="24"/>
                <w:highlight w:val="none"/>
              </w:rPr>
              <w:t xml:space="preserve">  </w:t>
            </w:r>
          </w:p>
          <w:p>
            <w:pPr>
              <w:spacing w:line="400" w:lineRule="exact"/>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spacing w:line="400" w:lineRule="exact"/>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pPr>
              <w:spacing w:line="400" w:lineRule="exact"/>
              <w:ind w:firstLine="705"/>
              <w:rPr>
                <w:rFonts w:hint="eastAsia"/>
                <w:color w:val="auto"/>
                <w:sz w:val="24"/>
                <w:highlight w:val="none"/>
              </w:rPr>
            </w:pPr>
            <w:r>
              <w:rPr>
                <w:rFonts w:hint="eastAsia"/>
                <w:color w:val="auto"/>
                <w:sz w:val="24"/>
                <w:highlight w:val="none"/>
              </w:rPr>
              <w:t>单位名称：</w:t>
            </w:r>
          </w:p>
          <w:p>
            <w:pPr>
              <w:spacing w:line="400" w:lineRule="exact"/>
              <w:ind w:firstLine="705"/>
              <w:rPr>
                <w:rFonts w:hint="eastAsia"/>
                <w:color w:val="auto"/>
                <w:sz w:val="24"/>
                <w:highlight w:val="none"/>
              </w:rPr>
            </w:pPr>
            <w:r>
              <w:rPr>
                <w:rFonts w:hint="eastAsia"/>
                <w:color w:val="auto"/>
                <w:sz w:val="24"/>
                <w:highlight w:val="none"/>
              </w:rPr>
              <w:t>开户银行：</w:t>
            </w:r>
          </w:p>
          <w:p>
            <w:pPr>
              <w:spacing w:line="400" w:lineRule="exact"/>
              <w:ind w:firstLine="705"/>
              <w:rPr>
                <w:rFonts w:hint="eastAsia"/>
                <w:color w:val="auto"/>
                <w:sz w:val="24"/>
                <w:highlight w:val="none"/>
              </w:rPr>
            </w:pPr>
            <w:r>
              <w:rPr>
                <w:rFonts w:hint="eastAsia"/>
                <w:color w:val="auto"/>
                <w:sz w:val="24"/>
                <w:highlight w:val="none"/>
              </w:rPr>
              <w:t>帐   号：</w:t>
            </w:r>
          </w:p>
          <w:p>
            <w:pPr>
              <w:spacing w:line="400" w:lineRule="exact"/>
              <w:rPr>
                <w:rFonts w:hint="eastAsia"/>
                <w:color w:val="auto"/>
                <w:sz w:val="24"/>
                <w:highlight w:val="none"/>
              </w:rPr>
            </w:pPr>
            <w:r>
              <w:rPr>
                <w:rFonts w:hint="eastAsia"/>
                <w:color w:val="auto"/>
                <w:sz w:val="24"/>
                <w:highlight w:val="none"/>
              </w:rPr>
              <w:t>联系人及电话：</w:t>
            </w:r>
          </w:p>
          <w:p>
            <w:pPr>
              <w:spacing w:line="400" w:lineRule="exact"/>
              <w:rPr>
                <w:rFonts w:hint="eastAsia"/>
                <w:color w:val="auto"/>
                <w:sz w:val="24"/>
                <w:highlight w:val="none"/>
              </w:rPr>
            </w:pPr>
          </w:p>
          <w:p>
            <w:pPr>
              <w:spacing w:line="520" w:lineRule="exact"/>
              <w:jc w:val="center"/>
              <w:rPr>
                <w:rFonts w:hint="eastAsia"/>
                <w:color w:val="auto"/>
                <w:sz w:val="24"/>
                <w:highlight w:val="none"/>
              </w:rPr>
            </w:pPr>
            <w:r>
              <w:rPr>
                <w:rFonts w:hint="eastAsia"/>
                <w:color w:val="auto"/>
                <w:sz w:val="24"/>
                <w:highlight w:val="none"/>
              </w:rPr>
              <w:t xml:space="preserve">         投标人签章：</w:t>
            </w:r>
          </w:p>
          <w:p>
            <w:pPr>
              <w:spacing w:line="520" w:lineRule="exact"/>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color w:val="auto"/>
                <w:sz w:val="24"/>
                <w:highlight w:val="none"/>
              </w:rPr>
            </w:pPr>
            <w:r>
              <w:rPr>
                <w:rFonts w:hint="eastAsia"/>
                <w:color w:val="auto"/>
                <w:sz w:val="24"/>
                <w:highlight w:val="none"/>
              </w:rPr>
              <w:t>采</w:t>
            </w:r>
          </w:p>
          <w:p>
            <w:pPr>
              <w:jc w:val="center"/>
              <w:rPr>
                <w:rFonts w:hint="eastAsia"/>
                <w:color w:val="auto"/>
                <w:sz w:val="24"/>
                <w:highlight w:val="none"/>
              </w:rPr>
            </w:pPr>
            <w:r>
              <w:rPr>
                <w:rFonts w:hint="eastAsia"/>
                <w:color w:val="auto"/>
                <w:sz w:val="24"/>
                <w:highlight w:val="none"/>
              </w:rPr>
              <w:t>购</w:t>
            </w:r>
          </w:p>
          <w:p>
            <w:pPr>
              <w:jc w:val="center"/>
              <w:rPr>
                <w:rFonts w:hint="eastAsia"/>
                <w:color w:val="auto"/>
                <w:sz w:val="24"/>
                <w:highlight w:val="none"/>
              </w:rPr>
            </w:pPr>
            <w:r>
              <w:rPr>
                <w:rFonts w:hint="eastAsia"/>
                <w:color w:val="auto"/>
                <w:sz w:val="24"/>
                <w:highlight w:val="none"/>
              </w:rPr>
              <w:t>人</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456" w:type="dxa"/>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退付意见：（是否同意退付履约保证金及退付金额）</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spacing w:line="520" w:lineRule="exact"/>
              <w:rPr>
                <w:rFonts w:hint="eastAsia"/>
                <w:color w:val="auto"/>
                <w:sz w:val="24"/>
                <w:highlight w:val="none"/>
              </w:rPr>
            </w:pPr>
            <w:r>
              <w:rPr>
                <w:rFonts w:hint="eastAsia"/>
                <w:color w:val="auto"/>
                <w:sz w:val="24"/>
                <w:highlight w:val="none"/>
              </w:rPr>
              <w:t>联系人及电话：                         采购人签章</w:t>
            </w:r>
          </w:p>
          <w:p>
            <w:pPr>
              <w:spacing w:line="520" w:lineRule="exact"/>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color w:val="auto"/>
                <w:sz w:val="24"/>
                <w:highlight w:val="none"/>
              </w:rPr>
            </w:pPr>
            <w:r>
              <w:rPr>
                <w:rFonts w:hint="eastAsia"/>
                <w:color w:val="auto"/>
                <w:sz w:val="24"/>
                <w:highlight w:val="none"/>
              </w:rPr>
              <w:t>备注</w:t>
            </w:r>
          </w:p>
        </w:tc>
        <w:tc>
          <w:tcPr>
            <w:tcW w:w="8456" w:type="dxa"/>
            <w:noWrap w:val="0"/>
            <w:vAlign w:val="top"/>
          </w:tcPr>
          <w:p>
            <w:pPr>
              <w:rPr>
                <w:rFonts w:hint="eastAsia"/>
                <w:color w:val="auto"/>
                <w:sz w:val="24"/>
                <w:highlight w:val="none"/>
              </w:rPr>
            </w:pPr>
          </w:p>
        </w:tc>
      </w:tr>
    </w:tbl>
    <w:p>
      <w:pPr>
        <w:pStyle w:val="11"/>
        <w:ind w:left="420" w:leftChars="114" w:hanging="181" w:hangingChars="100"/>
        <w:rPr>
          <w:rFonts w:hint="eastAsia" w:ascii="宋体"/>
          <w:b/>
          <w:bCs/>
          <w:color w:val="auto"/>
          <w:sz w:val="18"/>
          <w:highlight w:val="none"/>
        </w:rPr>
      </w:pPr>
      <w:r>
        <w:rPr>
          <w:rFonts w:hint="eastAsia" w:ascii="宋体"/>
          <w:b/>
          <w:bCs/>
          <w:color w:val="auto"/>
          <w:sz w:val="18"/>
          <w:highlight w:val="none"/>
        </w:rPr>
        <w:t>注：投标人凭经采购人审批的退付意见书到保证金收取单位办理履约保证金退付事宜。</w:t>
      </w: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r>
        <w:rPr>
          <w:rFonts w:hAnsi="宋体"/>
          <w:color w:val="auto"/>
          <w:highlight w:val="none"/>
        </w:rPr>
        <w:br w:type="page"/>
      </w: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13"/>
        <w:snapToGrid w:val="0"/>
        <w:spacing w:before="120" w:after="120"/>
        <w:rPr>
          <w:rFonts w:hint="eastAsia" w:hAnsi="宋体"/>
          <w:color w:val="auto"/>
          <w:highlight w:val="none"/>
        </w:rPr>
      </w:pPr>
    </w:p>
    <w:p>
      <w:pPr>
        <w:pStyle w:val="3"/>
        <w:jc w:val="center"/>
        <w:rPr>
          <w:rFonts w:hint="eastAsia"/>
          <w:color w:val="auto"/>
          <w:highlight w:val="none"/>
        </w:rPr>
      </w:pPr>
      <w:bookmarkStart w:id="136" w:name="_Toc254970548"/>
      <w:bookmarkStart w:id="137" w:name="_Toc330456896"/>
      <w:bookmarkStart w:id="138" w:name="_Toc254970689"/>
      <w:bookmarkStart w:id="139" w:name="_Toc74323514"/>
      <w:r>
        <w:rPr>
          <w:rFonts w:hint="eastAsia"/>
          <w:color w:val="auto"/>
          <w:highlight w:val="none"/>
        </w:rPr>
        <w:t>第四章  评标方法及评标标准</w:t>
      </w:r>
      <w:bookmarkEnd w:id="136"/>
      <w:bookmarkEnd w:id="137"/>
      <w:bookmarkEnd w:id="138"/>
      <w:bookmarkEnd w:id="139"/>
    </w:p>
    <w:p>
      <w:pPr>
        <w:rPr>
          <w:rFonts w:hint="eastAsia"/>
          <w:color w:val="auto"/>
          <w:highlight w:val="none"/>
        </w:rPr>
      </w:pPr>
      <w:bookmarkStart w:id="140" w:name="_Toc254970549"/>
      <w:bookmarkStart w:id="141" w:name="_Toc254970690"/>
    </w:p>
    <w:bookmarkEnd w:id="140"/>
    <w:bookmarkEnd w:id="141"/>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13"/>
        <w:spacing w:line="360" w:lineRule="exact"/>
        <w:rPr>
          <w:rFonts w:hint="eastAsia" w:hAnsi="宋体"/>
          <w:b/>
          <w:color w:val="auto"/>
          <w:sz w:val="24"/>
          <w:highlight w:val="none"/>
        </w:rPr>
      </w:pPr>
    </w:p>
    <w:p>
      <w:pPr>
        <w:pStyle w:val="13"/>
        <w:spacing w:line="360" w:lineRule="exact"/>
        <w:rPr>
          <w:rFonts w:hint="eastAsia" w:hAnsi="宋体"/>
          <w:b/>
          <w:color w:val="auto"/>
          <w:sz w:val="24"/>
          <w:highlight w:val="none"/>
        </w:rPr>
      </w:pPr>
    </w:p>
    <w:p>
      <w:pPr>
        <w:pStyle w:val="13"/>
        <w:spacing w:line="360" w:lineRule="exact"/>
        <w:rPr>
          <w:rFonts w:hint="eastAsia" w:hAnsi="宋体"/>
          <w:b/>
          <w:color w:val="auto"/>
          <w:sz w:val="24"/>
          <w:highlight w:val="none"/>
        </w:rPr>
      </w:pPr>
    </w:p>
    <w:p>
      <w:pPr>
        <w:pStyle w:val="13"/>
        <w:spacing w:line="360" w:lineRule="exact"/>
        <w:rPr>
          <w:rFonts w:hint="eastAsia" w:hAnsi="宋体"/>
          <w:b/>
          <w:color w:val="auto"/>
          <w:sz w:val="24"/>
          <w:highlight w:val="none"/>
        </w:rPr>
      </w:pPr>
    </w:p>
    <w:p>
      <w:pPr>
        <w:pStyle w:val="13"/>
        <w:spacing w:line="360" w:lineRule="exact"/>
        <w:rPr>
          <w:rFonts w:hint="eastAsia" w:hAnsi="宋体"/>
          <w:b/>
          <w:color w:val="auto"/>
          <w:sz w:val="24"/>
          <w:highlight w:val="none"/>
        </w:rPr>
      </w:pPr>
    </w:p>
    <w:p>
      <w:pPr>
        <w:pStyle w:val="13"/>
        <w:spacing w:line="360" w:lineRule="exact"/>
        <w:rPr>
          <w:rFonts w:hint="eastAsia" w:hAnsi="宋体"/>
          <w:b/>
          <w:color w:val="auto"/>
          <w:sz w:val="24"/>
          <w:highlight w:val="none"/>
        </w:rPr>
      </w:pPr>
    </w:p>
    <w:p>
      <w:pPr>
        <w:pStyle w:val="13"/>
        <w:spacing w:line="360" w:lineRule="exact"/>
        <w:rPr>
          <w:rFonts w:hint="eastAsia" w:hAnsi="宋体"/>
          <w:bCs/>
          <w:color w:val="auto"/>
          <w:highlight w:val="none"/>
        </w:rPr>
      </w:pPr>
      <w:r>
        <w:rPr>
          <w:rFonts w:hAnsi="宋体"/>
          <w:bCs/>
          <w:color w:val="auto"/>
          <w:highlight w:val="none"/>
        </w:rPr>
        <w:t xml:space="preserve"> </w:t>
      </w:r>
    </w:p>
    <w:p>
      <w:pPr>
        <w:pStyle w:val="5"/>
        <w:keepNext w:val="0"/>
        <w:keepLines w:val="0"/>
        <w:jc w:val="center"/>
        <w:rPr>
          <w:color w:val="auto"/>
          <w:highlight w:val="none"/>
        </w:rPr>
      </w:pPr>
      <w:r>
        <w:rPr>
          <w:color w:val="auto"/>
          <w:highlight w:val="none"/>
        </w:rPr>
        <w:br w:type="page"/>
      </w:r>
      <w:r>
        <w:rPr>
          <w:rFonts w:hint="eastAsia"/>
          <w:color w:val="auto"/>
          <w:highlight w:val="none"/>
        </w:rPr>
        <w:t>一、评标方法</w:t>
      </w:r>
    </w:p>
    <w:p>
      <w:pPr>
        <w:pStyle w:val="13"/>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13"/>
        <w:spacing w:line="360" w:lineRule="auto"/>
        <w:ind w:firstLine="420"/>
        <w:rPr>
          <w:rFonts w:hAnsi="宋体"/>
          <w:color w:val="auto"/>
          <w:sz w:val="21"/>
          <w:highlight w:val="none"/>
        </w:rPr>
      </w:pPr>
      <w:r>
        <w:rPr>
          <w:rFonts w:hint="eastAsia" w:hAnsi="宋体"/>
          <w:color w:val="auto"/>
          <w:sz w:val="21"/>
          <w:highlight w:val="none"/>
        </w:rPr>
        <w:t>最低评标报价法，是指投标文件满足招标文件全部实质性要求，且投标报价最低的投标人为中标候选人的评标方法。</w:t>
      </w:r>
    </w:p>
    <w:p>
      <w:pPr>
        <w:pStyle w:val="5"/>
        <w:keepNext w:val="0"/>
        <w:keepLines w:val="0"/>
        <w:jc w:val="center"/>
        <w:rPr>
          <w:rFonts w:hint="eastAsia"/>
          <w:color w:val="auto"/>
          <w:highlight w:val="none"/>
        </w:rPr>
      </w:pPr>
      <w:r>
        <w:rPr>
          <w:rFonts w:hint="eastAsia"/>
          <w:color w:val="auto"/>
          <w:highlight w:val="none"/>
        </w:rPr>
        <w:t>二、评标程序</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pPr>
        <w:pStyle w:val="13"/>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7"/>
        <w:numPr>
          <w:ilvl w:val="0"/>
          <w:numId w:val="5"/>
        </w:numPr>
        <w:spacing w:line="360" w:lineRule="auto"/>
        <w:ind w:firstLine="398" w:firstLineChars="200"/>
        <w:rPr>
          <w:rFonts w:hint="eastAsia" w:ascii="宋体" w:hAnsi="宋体"/>
          <w:b/>
          <w:color w:val="auto"/>
          <w:spacing w:val="-6"/>
          <w:szCs w:val="21"/>
          <w:highlight w:val="none"/>
        </w:rPr>
      </w:pPr>
      <w:r>
        <w:rPr>
          <w:rFonts w:hint="eastAsia" w:ascii="宋体" w:hAnsi="宋体"/>
          <w:b/>
          <w:color w:val="auto"/>
          <w:spacing w:val="-6"/>
          <w:szCs w:val="21"/>
          <w:highlight w:val="none"/>
        </w:rPr>
        <w:t>投标文件未提供“投标人须知前附表”第13.1条规定中“必须提供”的文件资料的;</w:t>
      </w:r>
    </w:p>
    <w:p>
      <w:pPr>
        <w:pStyle w:val="7"/>
        <w:numPr>
          <w:ilvl w:val="0"/>
          <w:numId w:val="5"/>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7"/>
        <w:numPr>
          <w:ilvl w:val="0"/>
          <w:numId w:val="5"/>
        </w:numPr>
        <w:spacing w:line="360" w:lineRule="auto"/>
        <w:ind w:left="-2" w:firstLine="422"/>
        <w:rPr>
          <w:rFonts w:hint="eastAsia" w:ascii="宋体" w:hAnsi="宋体"/>
          <w:b/>
          <w:color w:val="auto"/>
          <w:spacing w:val="-6"/>
          <w:szCs w:val="21"/>
          <w:highlight w:val="none"/>
        </w:rPr>
      </w:pPr>
      <w:r>
        <w:rPr>
          <w:rFonts w:hint="eastAsia" w:ascii="宋体" w:hAnsi="宋体"/>
          <w:b/>
          <w:color w:val="auto"/>
          <w:spacing w:val="-6"/>
          <w:szCs w:val="21"/>
          <w:highlight w:val="none"/>
        </w:rPr>
        <w:t>各分标报价超出招标文件相应分标规定最高限价，或者超出相应分标采购预算金额的；</w:t>
      </w:r>
    </w:p>
    <w:p>
      <w:pPr>
        <w:pStyle w:val="7"/>
        <w:numPr>
          <w:ilvl w:val="0"/>
          <w:numId w:val="5"/>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7"/>
        <w:numPr>
          <w:ilvl w:val="0"/>
          <w:numId w:val="5"/>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pPr>
        <w:pStyle w:val="7"/>
        <w:numPr>
          <w:ilvl w:val="0"/>
          <w:numId w:val="5"/>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条第（2）项情形的。</w:t>
      </w:r>
    </w:p>
    <w:p>
      <w:pPr>
        <w:pStyle w:val="7"/>
        <w:numPr>
          <w:ilvl w:val="0"/>
          <w:numId w:val="5"/>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投标文件响应的标的数量及单位与招标文件要求实质性不一致的。</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委托代理人未能出具有效身份证明或者出具的身份证明与授权委托书中的信息不符的； </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商务条款评审允许负偏离的条款数超过“投标人须知前附表”规定项数的。</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2"/>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（1）明显不满足招标文件要求的服务内容、技术要求、安全、质量标准；</w:t>
      </w:r>
    </w:p>
    <w:p>
      <w:pPr>
        <w:pStyle w:val="12"/>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（2）服务需求评审允许负偏离的条款数超过“投标人须知前附表”规定项数的；</w:t>
      </w:r>
    </w:p>
    <w:p>
      <w:pPr>
        <w:pStyle w:val="12"/>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pPr>
        <w:pStyle w:val="12"/>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（4）虚假投标，或者出现其他情形而导致被评标委员会认定无效的；</w:t>
      </w:r>
    </w:p>
    <w:p>
      <w:pPr>
        <w:pStyle w:val="12"/>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w:t>
      </w:r>
      <w:bookmarkStart w:id="142"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42"/>
    </w:p>
    <w:p>
      <w:pPr>
        <w:pStyle w:val="12"/>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（6）未响应招标文件实质性要求的。</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3"/>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13"/>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13"/>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13"/>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13"/>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6"/>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hAnsi="宋体"/>
          <w:color w:val="auto"/>
          <w:sz w:val="21"/>
          <w:highlight w:val="none"/>
        </w:rPr>
        <w:t>其投标无效</w:t>
      </w:r>
      <w:r>
        <w:rPr>
          <w:rFonts w:hint="eastAsia" w:ascii="宋体" w:hAnsi="宋体"/>
          <w:b w:val="0"/>
          <w:color w:val="auto"/>
          <w:sz w:val="21"/>
          <w:szCs w:val="21"/>
          <w:highlight w:val="none"/>
        </w:rPr>
        <w:t>。</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最低评标报价法</w:t>
      </w:r>
      <w:r>
        <w:rPr>
          <w:rFonts w:hint="eastAsia" w:ascii="宋体" w:hAnsi="宋体"/>
          <w:color w:val="auto"/>
          <w:szCs w:val="21"/>
          <w:highlight w:val="none"/>
        </w:rPr>
        <w:t>的</w:t>
      </w:r>
    </w:p>
    <w:p>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pPr>
        <w:snapToGrid w:val="0"/>
        <w:spacing w:line="360" w:lineRule="auto"/>
        <w:ind w:firstLine="424" w:firstLineChars="202"/>
        <w:jc w:val="center"/>
        <w:rPr>
          <w:rFonts w:hint="eastAsia"/>
          <w:color w:val="auto"/>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color w:val="auto"/>
          <w:highlight w:val="none"/>
        </w:rPr>
        <w:br w:type="page"/>
      </w:r>
      <w:bookmarkStart w:id="143" w:name="_Hlk71707917"/>
      <w:r>
        <w:rPr>
          <w:rFonts w:hint="eastAsia"/>
          <w:b/>
          <w:bCs/>
          <w:color w:val="auto"/>
          <w:sz w:val="32"/>
          <w:szCs w:val="32"/>
          <w:highlight w:val="none"/>
        </w:rPr>
        <w:t>三、评标标准</w:t>
      </w:r>
    </w:p>
    <w:p>
      <w:pPr>
        <w:pStyle w:val="5"/>
        <w:keepNext w:val="0"/>
        <w:keepLines w:val="0"/>
        <w:jc w:val="center"/>
        <w:rPr>
          <w:rFonts w:hint="eastAsia"/>
          <w:color w:val="auto"/>
          <w:highlight w:val="none"/>
        </w:rPr>
      </w:pPr>
      <w:r>
        <w:rPr>
          <w:rFonts w:hint="eastAsia"/>
          <w:color w:val="auto"/>
          <w:highlight w:val="none"/>
        </w:rPr>
        <w:t>综合评分法</w:t>
      </w:r>
    </w:p>
    <w:p>
      <w:pPr>
        <w:pStyle w:val="13"/>
        <w:spacing w:line="360" w:lineRule="auto"/>
        <w:rPr>
          <w:rFonts w:hint="eastAsia" w:hAnsi="宋体"/>
          <w:bCs/>
          <w:color w:val="auto"/>
          <w:sz w:val="21"/>
          <w:highlight w:val="none"/>
        </w:rPr>
      </w:pPr>
      <w:r>
        <w:rPr>
          <w:rFonts w:hint="eastAsia" w:hAnsi="宋体"/>
          <w:bCs/>
          <w:color w:val="auto"/>
          <w:sz w:val="21"/>
          <w:highlight w:val="none"/>
        </w:rPr>
        <w:t>(以下各项评审因素仅作为参考，制作招标文件时，评审因素应当与相应的商务条件和采购需求对应)</w:t>
      </w:r>
      <w:bookmarkEnd w:id="143"/>
    </w:p>
    <w:tbl>
      <w:tblPr>
        <w:tblStyle w:val="20"/>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noWrap w:val="0"/>
            <w:vAlign w:val="center"/>
          </w:tcPr>
          <w:p>
            <w:pPr>
              <w:adjustRightInd w:val="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701" w:type="dxa"/>
            <w:noWrap w:val="0"/>
            <w:vAlign w:val="center"/>
          </w:tcPr>
          <w:p>
            <w:pPr>
              <w:adjustRightInd w:val="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5660" w:type="dxa"/>
            <w:noWrap w:val="0"/>
            <w:vAlign w:val="center"/>
          </w:tcPr>
          <w:p>
            <w:pPr>
              <w:adjustRightInd w:val="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7" w:hRule="atLeast"/>
          <w:jc w:val="center"/>
        </w:trPr>
        <w:tc>
          <w:tcPr>
            <w:tcW w:w="562" w:type="dxa"/>
            <w:noWrap w:val="0"/>
            <w:vAlign w:val="center"/>
          </w:tcPr>
          <w:p>
            <w:pPr>
              <w:adjustRightIn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一</w:t>
            </w:r>
          </w:p>
        </w:tc>
        <w:tc>
          <w:tcPr>
            <w:tcW w:w="1585" w:type="dxa"/>
            <w:noWrap w:val="0"/>
            <w:vAlign w:val="center"/>
          </w:tcPr>
          <w:p>
            <w:pPr>
              <w:adjustRightIn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价格分</w:t>
            </w:r>
          </w:p>
          <w:p>
            <w:pPr>
              <w:adjustRightIn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（满分10分）</w:t>
            </w:r>
          </w:p>
        </w:tc>
        <w:tc>
          <w:tcPr>
            <w:tcW w:w="1701" w:type="dxa"/>
            <w:noWrap w:val="0"/>
            <w:vAlign w:val="center"/>
          </w:tcPr>
          <w:p>
            <w:pPr>
              <w:adjustRightIn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投标报价</w:t>
            </w:r>
          </w:p>
        </w:tc>
        <w:tc>
          <w:tcPr>
            <w:tcW w:w="5660" w:type="dxa"/>
            <w:noWrap w:val="0"/>
            <w:vAlign w:val="center"/>
          </w:tcPr>
          <w:p>
            <w:pPr>
              <w:snapToGrid w:val="0"/>
              <w:rPr>
                <w:rFonts w:hint="eastAsia"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pPr>
              <w:snapToGrid w:val="0"/>
              <w:rPr>
                <w:rFonts w:hint="eastAsia" w:ascii="宋体" w:hAnsi="宋体" w:cs="宋体"/>
                <w:bCs/>
                <w:color w:val="auto"/>
                <w:szCs w:val="21"/>
                <w:highlight w:val="none"/>
              </w:rPr>
            </w:pPr>
            <w:r>
              <w:rPr>
                <w:rFonts w:hint="eastAsia" w:ascii="宋体" w:hAnsi="宋体" w:cs="宋体"/>
                <w:bCs/>
                <w:color w:val="auto"/>
                <w:szCs w:val="21"/>
                <w:highlight w:val="none"/>
              </w:rPr>
              <w:t>（2）政策性扣除计算方法。</w:t>
            </w:r>
          </w:p>
          <w:p>
            <w:pPr>
              <w:snapToGrid w:val="0"/>
              <w:rPr>
                <w:rFonts w:hint="eastAsia" w:ascii="宋体" w:hAnsi="宋体" w:cs="宋体"/>
                <w:color w:val="auto"/>
                <w:szCs w:val="21"/>
                <w:highlight w:val="none"/>
              </w:rPr>
            </w:pPr>
            <w:r>
              <w:rPr>
                <w:rFonts w:hint="eastAsia" w:ascii="宋体" w:hAnsi="宋体" w:cs="宋体"/>
                <w:bCs/>
                <w:color w:val="auto"/>
                <w:szCs w:val="21"/>
                <w:highlight w:val="none"/>
              </w:rPr>
              <w:t>根据《政府采购促进中小企业发展管理办法》（财库〔2020〕46号）的规定，投标人在其投标文件中提供《中小企业声明函》，且投标人为小微企业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2%</w:t>
            </w:r>
            <w:r>
              <w:rPr>
                <w:rFonts w:hint="eastAsia" w:ascii="宋体" w:hAnsi="宋体" w:cs="宋体"/>
                <w:bCs/>
                <w:color w:val="auto"/>
                <w:szCs w:val="21"/>
                <w:highlight w:val="none"/>
              </w:rPr>
              <w:t>（范围为2%-3%）的扣除，用扣除后的价格参加评审，扣除后的价格为评标报价，即评标报价=投标报价×（1-</w:t>
            </w:r>
            <w:r>
              <w:rPr>
                <w:rFonts w:hint="eastAsia" w:ascii="宋体" w:hAnsi="宋体" w:cs="宋体"/>
                <w:bCs/>
                <w:color w:val="auto"/>
                <w:szCs w:val="21"/>
                <w:highlight w:val="none"/>
                <w:u w:val="single"/>
              </w:rPr>
              <w:t>2%</w:t>
            </w:r>
            <w:r>
              <w:rPr>
                <w:rFonts w:hint="eastAsia" w:ascii="宋体" w:hAnsi="宋体" w:cs="宋体"/>
                <w:bCs/>
                <w:color w:val="auto"/>
                <w:szCs w:val="21"/>
                <w:highlight w:val="none"/>
              </w:rPr>
              <w:t>）。除上述情况外，评标报价=投标报价。</w:t>
            </w:r>
          </w:p>
          <w:p>
            <w:pPr>
              <w:snapToGrid w:val="0"/>
              <w:rPr>
                <w:rFonts w:hint="eastAsia"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pPr>
              <w:snapToGrid w:val="0"/>
              <w:rPr>
                <w:rFonts w:hint="eastAsia"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pPr>
              <w:snapToGrid w:val="0"/>
              <w:rPr>
                <w:rFonts w:hint="eastAsia" w:ascii="宋体" w:hAnsi="宋体" w:cs="宋体"/>
                <w:bCs/>
                <w:color w:val="auto"/>
                <w:szCs w:val="21"/>
                <w:highlight w:val="none"/>
              </w:rPr>
            </w:pPr>
            <w:r>
              <w:rPr>
                <w:rFonts w:hint="eastAsia" w:ascii="宋体" w:hAnsi="宋体" w:cs="宋体"/>
                <w:bCs/>
                <w:color w:val="auto"/>
                <w:szCs w:val="21"/>
                <w:highlight w:val="none"/>
              </w:rPr>
              <w:t>（5）满足招标文件要求且评标报价最低的评标报价为评标基准价，其价格分为满分。</w:t>
            </w:r>
          </w:p>
          <w:p>
            <w:pPr>
              <w:rPr>
                <w:rFonts w:hint="eastAsia" w:ascii="宋体" w:hAnsi="宋体" w:cs="宋体"/>
                <w:bCs/>
                <w:color w:val="auto"/>
                <w:szCs w:val="21"/>
                <w:highlight w:val="none"/>
              </w:rPr>
            </w:pPr>
            <w:r>
              <w:rPr>
                <w:rFonts w:hint="eastAsia" w:ascii="宋体" w:hAnsi="宋体" w:cs="宋体"/>
                <w:bCs/>
                <w:color w:val="auto"/>
                <w:szCs w:val="21"/>
                <w:highlight w:val="none"/>
              </w:rPr>
              <w:t>（6）价格分计算公式：</w:t>
            </w:r>
          </w:p>
          <w:p>
            <w:pPr>
              <w:rPr>
                <w:rFonts w:hint="eastAsia" w:ascii="宋体" w:hAnsi="宋体" w:cs="宋体"/>
                <w:bCs/>
                <w:color w:val="auto"/>
                <w:szCs w:val="21"/>
                <w:highlight w:val="none"/>
              </w:rPr>
            </w:pPr>
            <w:r>
              <w:rPr>
                <w:rFonts w:hint="eastAsia" w:ascii="宋体" w:hAnsi="宋体" w:cs="宋体"/>
                <w:bCs/>
                <w:color w:val="auto"/>
                <w:szCs w:val="21"/>
                <w:highlight w:val="none"/>
              </w:rPr>
              <w:t>价格分=(评标基准价／评标报价)×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noWrap w:val="0"/>
            <w:vAlign w:val="center"/>
          </w:tcPr>
          <w:p>
            <w:pPr>
              <w:adjustRightInd w:val="0"/>
              <w:snapToGri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二</w:t>
            </w:r>
          </w:p>
        </w:tc>
        <w:tc>
          <w:tcPr>
            <w:tcW w:w="1585" w:type="dxa"/>
            <w:vMerge w:val="restart"/>
            <w:noWrap w:val="0"/>
            <w:vAlign w:val="center"/>
          </w:tcPr>
          <w:p>
            <w:pPr>
              <w:adjustRightInd w:val="0"/>
              <w:snapToGrid w:val="0"/>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技术分</w:t>
            </w:r>
          </w:p>
          <w:p>
            <w:pPr>
              <w:adjustRightInd w:val="0"/>
              <w:snapToGrid w:val="0"/>
              <w:jc w:val="center"/>
              <w:textAlignment w:val="baseline"/>
              <w:rPr>
                <w:rFonts w:hint="eastAsia" w:ascii="宋体" w:hAnsi="宋体" w:cs="宋体"/>
                <w:b/>
                <w:color w:val="auto"/>
                <w:spacing w:val="-18"/>
                <w:szCs w:val="21"/>
                <w:highlight w:val="none"/>
              </w:rPr>
            </w:pPr>
            <w:r>
              <w:rPr>
                <w:rFonts w:hint="eastAsia" w:ascii="宋体" w:hAnsi="宋体" w:cs="宋体"/>
                <w:b/>
                <w:color w:val="auto"/>
                <w:kern w:val="0"/>
                <w:szCs w:val="21"/>
                <w:highlight w:val="none"/>
              </w:rPr>
              <w:t>（</w:t>
            </w:r>
            <w:r>
              <w:rPr>
                <w:rFonts w:hint="eastAsia" w:ascii="宋体" w:hAnsi="宋体" w:cs="宋体"/>
                <w:b/>
                <w:color w:val="auto"/>
                <w:szCs w:val="21"/>
                <w:highlight w:val="none"/>
              </w:rPr>
              <w:t>满分50分）</w:t>
            </w:r>
          </w:p>
        </w:tc>
        <w:tc>
          <w:tcPr>
            <w:tcW w:w="1701" w:type="dxa"/>
            <w:noWrap w:val="0"/>
            <w:vAlign w:val="center"/>
          </w:tcPr>
          <w:p>
            <w:pPr>
              <w:pStyle w:val="13"/>
              <w:jc w:val="center"/>
              <w:rPr>
                <w:rFonts w:hint="eastAsia" w:hAnsi="宋体" w:cs="宋体"/>
                <w:color w:val="auto"/>
                <w:sz w:val="21"/>
                <w:highlight w:val="none"/>
              </w:rPr>
            </w:pPr>
            <w:r>
              <w:rPr>
                <w:rFonts w:hint="eastAsia" w:hAnsi="宋体" w:cs="宋体"/>
                <w:color w:val="auto"/>
                <w:sz w:val="21"/>
                <w:highlight w:val="none"/>
              </w:rPr>
              <w:t>1、技术方案</w:t>
            </w:r>
          </w:p>
          <w:p>
            <w:pPr>
              <w:pStyle w:val="13"/>
              <w:jc w:val="center"/>
              <w:rPr>
                <w:rFonts w:hint="eastAsia" w:hAnsi="宋体" w:cs="宋体"/>
                <w:color w:val="auto"/>
                <w:sz w:val="21"/>
                <w:highlight w:val="none"/>
              </w:rPr>
            </w:pPr>
            <w:r>
              <w:rPr>
                <w:rFonts w:hint="eastAsia" w:hAnsi="宋体" w:cs="宋体"/>
                <w:color w:val="auto"/>
                <w:sz w:val="21"/>
                <w:highlight w:val="none"/>
              </w:rPr>
              <w:t>（18分）</w:t>
            </w:r>
          </w:p>
        </w:tc>
        <w:tc>
          <w:tcPr>
            <w:tcW w:w="5660" w:type="dxa"/>
            <w:noWrap w:val="0"/>
            <w:vAlign w:val="center"/>
          </w:tcPr>
          <w:p>
            <w:pPr>
              <w:pStyle w:val="13"/>
              <w:rPr>
                <w:rFonts w:hint="eastAsia" w:hAnsi="宋体" w:cs="宋体"/>
                <w:color w:val="auto"/>
                <w:sz w:val="21"/>
                <w:highlight w:val="none"/>
              </w:rPr>
            </w:pPr>
            <w:r>
              <w:rPr>
                <w:rFonts w:hint="eastAsia" w:hAnsi="宋体" w:cs="宋体"/>
                <w:color w:val="auto"/>
                <w:sz w:val="21"/>
                <w:highlight w:val="none"/>
              </w:rPr>
              <w:t>一档（6分）：技术方案的内容、方式方法安排相对简单，没有针对性；</w:t>
            </w:r>
          </w:p>
          <w:p>
            <w:pPr>
              <w:pStyle w:val="13"/>
              <w:rPr>
                <w:rFonts w:hint="eastAsia" w:hAnsi="宋体" w:cs="宋体"/>
                <w:color w:val="auto"/>
                <w:sz w:val="21"/>
                <w:highlight w:val="none"/>
              </w:rPr>
            </w:pPr>
            <w:r>
              <w:rPr>
                <w:rFonts w:hint="eastAsia" w:hAnsi="宋体" w:cs="宋体"/>
                <w:color w:val="auto"/>
                <w:sz w:val="21"/>
                <w:highlight w:val="none"/>
              </w:rPr>
              <w:t>二档（12分）：技术方案的内容、技术路线、方式方法和进度安排详细，按采购需求进行了详细的分析描述；</w:t>
            </w:r>
          </w:p>
          <w:p>
            <w:pPr>
              <w:pStyle w:val="13"/>
              <w:rPr>
                <w:rFonts w:hint="eastAsia" w:hAnsi="宋体" w:cs="宋体"/>
                <w:color w:val="auto"/>
                <w:sz w:val="21"/>
                <w:highlight w:val="none"/>
              </w:rPr>
            </w:pPr>
            <w:r>
              <w:rPr>
                <w:rFonts w:hint="eastAsia" w:hAnsi="宋体" w:cs="宋体"/>
                <w:color w:val="auto"/>
                <w:sz w:val="21"/>
                <w:highlight w:val="none"/>
              </w:rPr>
              <w:t>三档（18分）：技术方案的基本内容、技术路线、方式方法和进度安排科学合理，有针对性，有详细的分析描述，同时做出了合理化建议和优化方案、就关键技术和疑难问题提出具体解决措施。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pPr>
              <w:adjustRightInd w:val="0"/>
              <w:snapToGrid w:val="0"/>
              <w:jc w:val="center"/>
              <w:textAlignment w:val="baseline"/>
              <w:rPr>
                <w:rFonts w:hint="eastAsia" w:ascii="宋体" w:hAnsi="宋体" w:cs="宋体"/>
                <w:color w:val="auto"/>
                <w:szCs w:val="21"/>
                <w:highlight w:val="none"/>
              </w:rPr>
            </w:pPr>
          </w:p>
        </w:tc>
        <w:tc>
          <w:tcPr>
            <w:tcW w:w="1585" w:type="dxa"/>
            <w:vMerge w:val="continue"/>
            <w:noWrap w:val="0"/>
            <w:vAlign w:val="center"/>
          </w:tcPr>
          <w:p>
            <w:pPr>
              <w:adjustRightInd w:val="0"/>
              <w:snapToGrid w:val="0"/>
              <w:jc w:val="center"/>
              <w:textAlignment w:val="baseline"/>
              <w:rPr>
                <w:rFonts w:hint="eastAsia" w:ascii="宋体" w:hAnsi="宋体" w:cs="宋体"/>
                <w:color w:val="auto"/>
                <w:szCs w:val="21"/>
                <w:highlight w:val="none"/>
              </w:rPr>
            </w:pPr>
          </w:p>
        </w:tc>
        <w:tc>
          <w:tcPr>
            <w:tcW w:w="1701" w:type="dxa"/>
            <w:noWrap w:val="0"/>
            <w:tcMar>
              <w:left w:w="57" w:type="dxa"/>
              <w:right w:w="57" w:type="dxa"/>
            </w:tcMar>
            <w:vAlign w:val="center"/>
          </w:tcPr>
          <w:p>
            <w:pPr>
              <w:pStyle w:val="13"/>
              <w:jc w:val="center"/>
              <w:rPr>
                <w:rFonts w:hint="eastAsia" w:hAnsi="宋体" w:cs="宋体"/>
                <w:color w:val="auto"/>
                <w:sz w:val="21"/>
                <w:highlight w:val="none"/>
              </w:rPr>
            </w:pPr>
            <w:r>
              <w:rPr>
                <w:rFonts w:hint="eastAsia" w:hAnsi="宋体" w:cs="宋体"/>
                <w:color w:val="auto"/>
                <w:sz w:val="21"/>
                <w:highlight w:val="none"/>
              </w:rPr>
              <w:t>2、质量保证措施及质量承诺</w:t>
            </w:r>
          </w:p>
          <w:p>
            <w:pPr>
              <w:pStyle w:val="13"/>
              <w:jc w:val="center"/>
              <w:rPr>
                <w:rFonts w:hint="eastAsia" w:hAnsi="宋体" w:cs="宋体"/>
                <w:color w:val="auto"/>
                <w:sz w:val="21"/>
                <w:highlight w:val="none"/>
              </w:rPr>
            </w:pPr>
            <w:r>
              <w:rPr>
                <w:rFonts w:hint="eastAsia" w:hAnsi="宋体" w:cs="宋体"/>
                <w:color w:val="auto"/>
                <w:sz w:val="21"/>
                <w:highlight w:val="none"/>
              </w:rPr>
              <w:t>（9分）</w:t>
            </w:r>
          </w:p>
        </w:tc>
        <w:tc>
          <w:tcPr>
            <w:tcW w:w="566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一档（3分）：提供相对简单的质量保证措施，没有针对性；</w:t>
            </w:r>
          </w:p>
          <w:p>
            <w:pPr>
              <w:rPr>
                <w:rFonts w:hint="eastAsia" w:ascii="宋体" w:hAnsi="宋体" w:cs="宋体"/>
                <w:color w:val="auto"/>
                <w:szCs w:val="21"/>
                <w:highlight w:val="none"/>
              </w:rPr>
            </w:pPr>
            <w:r>
              <w:rPr>
                <w:rFonts w:hint="eastAsia" w:ascii="宋体" w:hAnsi="宋体" w:cs="宋体"/>
                <w:color w:val="auto"/>
                <w:szCs w:val="21"/>
                <w:highlight w:val="none"/>
              </w:rPr>
              <w:t>二档（6分）：提供有较合理质量保证措施，质量保证及质量承诺符合项目需求；</w:t>
            </w:r>
          </w:p>
          <w:p>
            <w:pPr>
              <w:rPr>
                <w:rFonts w:hint="eastAsia" w:ascii="宋体" w:hAnsi="宋体" w:cs="宋体"/>
                <w:color w:val="auto"/>
                <w:highlight w:val="none"/>
              </w:rPr>
            </w:pPr>
            <w:r>
              <w:rPr>
                <w:rFonts w:hint="eastAsia" w:ascii="宋体" w:hAnsi="宋体" w:cs="宋体"/>
                <w:color w:val="auto"/>
                <w:szCs w:val="21"/>
                <w:highlight w:val="none"/>
              </w:rPr>
              <w:t>三档（9分）：提供有合理质量保证措施，质量保证及质量承诺符合项目需求，对整个项目质量管理有具体的保障制度和措施，针对性强，能很好地保证项目质量。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62" w:type="dxa"/>
            <w:vMerge w:val="continue"/>
            <w:noWrap w:val="0"/>
            <w:vAlign w:val="center"/>
          </w:tcPr>
          <w:p>
            <w:pPr>
              <w:adjustRightInd w:val="0"/>
              <w:snapToGrid w:val="0"/>
              <w:jc w:val="center"/>
              <w:textAlignment w:val="baseline"/>
              <w:rPr>
                <w:rFonts w:hint="eastAsia" w:ascii="宋体" w:hAnsi="宋体" w:cs="宋体"/>
                <w:color w:val="auto"/>
                <w:szCs w:val="21"/>
                <w:highlight w:val="none"/>
              </w:rPr>
            </w:pPr>
          </w:p>
        </w:tc>
        <w:tc>
          <w:tcPr>
            <w:tcW w:w="1585" w:type="dxa"/>
            <w:vMerge w:val="continue"/>
            <w:noWrap w:val="0"/>
            <w:vAlign w:val="center"/>
          </w:tcPr>
          <w:p>
            <w:pPr>
              <w:adjustRightInd w:val="0"/>
              <w:snapToGrid w:val="0"/>
              <w:jc w:val="center"/>
              <w:textAlignment w:val="baseline"/>
              <w:rPr>
                <w:rFonts w:hint="eastAsia" w:ascii="宋体" w:hAnsi="宋体" w:cs="宋体"/>
                <w:color w:val="auto"/>
                <w:szCs w:val="21"/>
                <w:highlight w:val="none"/>
              </w:rPr>
            </w:pPr>
          </w:p>
        </w:tc>
        <w:tc>
          <w:tcPr>
            <w:tcW w:w="1701" w:type="dxa"/>
            <w:noWrap w:val="0"/>
            <w:tcMar>
              <w:left w:w="57" w:type="dxa"/>
              <w:right w:w="57" w:type="dxa"/>
            </w:tcMar>
            <w:vAlign w:val="center"/>
          </w:tcPr>
          <w:p>
            <w:pPr>
              <w:pStyle w:val="13"/>
              <w:jc w:val="center"/>
              <w:rPr>
                <w:rFonts w:hint="eastAsia" w:hAnsi="宋体" w:cs="宋体"/>
                <w:color w:val="auto"/>
                <w:sz w:val="21"/>
                <w:highlight w:val="none"/>
              </w:rPr>
            </w:pPr>
            <w:r>
              <w:rPr>
                <w:rFonts w:hint="eastAsia" w:hAnsi="宋体" w:cs="宋体"/>
                <w:color w:val="auto"/>
                <w:sz w:val="21"/>
                <w:highlight w:val="none"/>
              </w:rPr>
              <w:t>3、人员配备</w:t>
            </w:r>
          </w:p>
          <w:p>
            <w:pPr>
              <w:pStyle w:val="13"/>
              <w:jc w:val="center"/>
              <w:rPr>
                <w:rFonts w:hint="eastAsia" w:hAnsi="宋体" w:cs="宋体"/>
                <w:color w:val="auto"/>
                <w:sz w:val="21"/>
                <w:highlight w:val="none"/>
              </w:rPr>
            </w:pPr>
            <w:r>
              <w:rPr>
                <w:rFonts w:hint="eastAsia" w:hAnsi="宋体" w:cs="宋体"/>
                <w:color w:val="auto"/>
                <w:sz w:val="21"/>
                <w:highlight w:val="none"/>
              </w:rPr>
              <w:t>（23分）</w:t>
            </w:r>
          </w:p>
        </w:tc>
        <w:tc>
          <w:tcPr>
            <w:tcW w:w="5660" w:type="dxa"/>
            <w:noWrap w:val="0"/>
            <w:vAlign w:val="center"/>
          </w:tcPr>
          <w:p>
            <w:pPr>
              <w:pStyle w:val="13"/>
              <w:rPr>
                <w:rFonts w:hint="eastAsia" w:hAnsi="宋体" w:cs="宋体"/>
                <w:color w:val="auto"/>
                <w:sz w:val="21"/>
                <w:highlight w:val="none"/>
              </w:rPr>
            </w:pPr>
            <w:r>
              <w:rPr>
                <w:rFonts w:hint="eastAsia" w:hAnsi="宋体" w:cs="宋体"/>
                <w:color w:val="auto"/>
                <w:sz w:val="21"/>
                <w:highlight w:val="none"/>
              </w:rPr>
              <w:t>①拟投入项目负责人具有土地管理或城市（乡）规划专业正高级职称的，得3分。</w:t>
            </w:r>
          </w:p>
          <w:p>
            <w:pPr>
              <w:pStyle w:val="13"/>
              <w:rPr>
                <w:rFonts w:hint="eastAsia" w:hAnsi="宋体" w:cs="宋体"/>
                <w:color w:val="auto"/>
                <w:sz w:val="21"/>
                <w:highlight w:val="none"/>
              </w:rPr>
            </w:pPr>
            <w:r>
              <w:rPr>
                <w:rFonts w:hint="eastAsia" w:hAnsi="宋体" w:cs="宋体"/>
                <w:color w:val="auto"/>
                <w:sz w:val="21"/>
                <w:highlight w:val="none"/>
              </w:rPr>
              <w:t>联合体投标时，项目负责人必须为牵头单位的在职人员。</w:t>
            </w:r>
          </w:p>
          <w:p>
            <w:pPr>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highlight w:val="none"/>
              </w:rPr>
              <w:t>其他拟投入人员具有土地管理或城市（乡）规划副高级职称的每个得2分，满分10分。</w:t>
            </w:r>
          </w:p>
          <w:p>
            <w:pPr>
              <w:rPr>
                <w:rFonts w:hint="eastAsia"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highlight w:val="none"/>
              </w:rPr>
              <w:t>其他拟投入人员具有土地管理或城市（乡）规划中级职称的每个得1分，满分10分</w:t>
            </w:r>
            <w:r>
              <w:rPr>
                <w:rFonts w:hint="eastAsia" w:ascii="宋体" w:hAnsi="宋体" w:cs="宋体"/>
                <w:color w:val="auto"/>
                <w:szCs w:val="21"/>
                <w:highlight w:val="none"/>
              </w:rPr>
              <w:t>。</w:t>
            </w:r>
          </w:p>
          <w:p>
            <w:pPr>
              <w:pStyle w:val="13"/>
              <w:rPr>
                <w:rFonts w:hint="eastAsia" w:hAnsi="宋体" w:cs="宋体"/>
                <w:color w:val="auto"/>
                <w:sz w:val="21"/>
                <w:highlight w:val="none"/>
              </w:rPr>
            </w:pPr>
            <w:r>
              <w:rPr>
                <w:rFonts w:hint="eastAsia" w:hAnsi="宋体" w:cs="宋体"/>
                <w:color w:val="auto"/>
                <w:sz w:val="21"/>
                <w:highlight w:val="none"/>
              </w:rPr>
              <w:t>须提供拟投入人员职称证复印件；以及2021年1月至8月，投标人连续三个月为拟投入人员缴纳社保的证明材料复印件。不按照上述要求提供资料者不得分。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62" w:type="dxa"/>
            <w:vMerge w:val="restar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1585" w:type="dxa"/>
            <w:vMerge w:val="restart"/>
            <w:noWrap w:val="0"/>
            <w:vAlign w:val="center"/>
          </w:tcPr>
          <w:p>
            <w:pPr>
              <w:snapToGrid w:val="0"/>
              <w:jc w:val="center"/>
              <w:rPr>
                <w:rFonts w:hint="eastAsia" w:ascii="宋体" w:hAnsi="宋体" w:cs="宋体"/>
                <w:b/>
                <w:bCs/>
                <w:color w:val="auto"/>
                <w:szCs w:val="21"/>
                <w:highlight w:val="none"/>
              </w:rPr>
            </w:pPr>
            <w:r>
              <w:rPr>
                <w:rFonts w:hint="eastAsia" w:ascii="宋体" w:hAnsi="宋体" w:cs="宋体"/>
                <w:b/>
                <w:color w:val="auto"/>
                <w:szCs w:val="21"/>
                <w:highlight w:val="none"/>
              </w:rPr>
              <w:t>商务分</w:t>
            </w:r>
          </w:p>
          <w:p>
            <w:pPr>
              <w:snapToGrid w:val="0"/>
              <w:jc w:val="center"/>
              <w:rPr>
                <w:rFonts w:hint="eastAsia" w:ascii="宋体" w:hAnsi="宋体" w:cs="宋体"/>
                <w:color w:val="auto"/>
                <w:szCs w:val="21"/>
                <w:highlight w:val="none"/>
              </w:rPr>
            </w:pPr>
            <w:r>
              <w:rPr>
                <w:rFonts w:hint="eastAsia" w:ascii="宋体" w:hAnsi="宋体" w:cs="宋体"/>
                <w:b/>
                <w:color w:val="auto"/>
                <w:szCs w:val="21"/>
                <w:highlight w:val="none"/>
              </w:rPr>
              <w:t>（满分40分）</w:t>
            </w:r>
          </w:p>
        </w:tc>
        <w:tc>
          <w:tcPr>
            <w:tcW w:w="1701" w:type="dxa"/>
            <w:noWrap w:val="0"/>
            <w:vAlign w:val="center"/>
          </w:tcPr>
          <w:p>
            <w:pPr>
              <w:pStyle w:val="13"/>
              <w:jc w:val="center"/>
              <w:rPr>
                <w:rFonts w:hint="eastAsia" w:hAnsi="宋体" w:cs="宋体"/>
                <w:color w:val="auto"/>
                <w:sz w:val="21"/>
                <w:highlight w:val="none"/>
              </w:rPr>
            </w:pPr>
            <w:r>
              <w:rPr>
                <w:rFonts w:hint="eastAsia" w:hAnsi="宋体" w:cs="宋体"/>
                <w:color w:val="auto"/>
                <w:sz w:val="21"/>
                <w:highlight w:val="none"/>
              </w:rPr>
              <w:t>1、荣誉信誉</w:t>
            </w:r>
          </w:p>
          <w:p>
            <w:pPr>
              <w:pStyle w:val="13"/>
              <w:snapToGrid w:val="0"/>
              <w:jc w:val="center"/>
              <w:rPr>
                <w:rFonts w:hint="eastAsia" w:hAnsi="宋体" w:cs="宋体"/>
                <w:color w:val="auto"/>
                <w:sz w:val="21"/>
                <w:highlight w:val="none"/>
              </w:rPr>
            </w:pPr>
            <w:r>
              <w:rPr>
                <w:rFonts w:hint="eastAsia" w:hAnsi="宋体" w:cs="宋体"/>
                <w:color w:val="auto"/>
                <w:sz w:val="21"/>
                <w:highlight w:val="none"/>
              </w:rPr>
              <w:t>（18分）</w:t>
            </w:r>
          </w:p>
        </w:tc>
        <w:tc>
          <w:tcPr>
            <w:tcW w:w="566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投标人或其单位人员在2020年7月1日以来，获得过国家级（由国务院颁发）奖项，每个得2分；获得过省部级（由省级人民政府或国家部委颁发）奖项，每个得1分；获得过市厅级（由设区市级人民政府或省级人民政府的正厅级组成部门&lt;厅、委、局、办等&gt;）奖项的，每个得0.5分。满分12分。由各级行业协会颁发的奖项不予计分。</w:t>
            </w:r>
          </w:p>
          <w:p>
            <w:pPr>
              <w:rPr>
                <w:rFonts w:hint="eastAsia" w:ascii="宋体" w:hAnsi="宋体" w:cs="宋体"/>
                <w:color w:val="auto"/>
                <w:szCs w:val="21"/>
                <w:highlight w:val="none"/>
              </w:rPr>
            </w:pPr>
            <w:r>
              <w:rPr>
                <w:rFonts w:hint="eastAsia" w:ascii="宋体" w:hAnsi="宋体" w:cs="宋体"/>
                <w:color w:val="auto"/>
                <w:szCs w:val="21"/>
                <w:highlight w:val="none"/>
              </w:rPr>
              <w:t>须提供获奖证明材料复印件；供应商单位人员获奖的还须提供投标人在2021年1月以来任意三个月为获奖人员缴纳社会保险的证明复印件。不按上述要求提供资料的不得分。</w:t>
            </w:r>
          </w:p>
          <w:p>
            <w:pPr>
              <w:rPr>
                <w:rFonts w:hint="eastAsia" w:ascii="宋体" w:hAnsi="宋体" w:cs="宋体"/>
                <w:color w:val="auto"/>
                <w:szCs w:val="21"/>
                <w:highlight w:val="none"/>
              </w:rPr>
            </w:pPr>
            <w:r>
              <w:rPr>
                <w:rFonts w:hint="eastAsia" w:ascii="宋体" w:hAnsi="宋体" w:cs="宋体"/>
                <w:color w:val="auto"/>
                <w:szCs w:val="21"/>
                <w:highlight w:val="none"/>
              </w:rPr>
              <w:t>（2）投标人具有有效的质量管理体系认证证书，且认证范围包含“</w:t>
            </w:r>
            <w:r>
              <w:rPr>
                <w:rFonts w:hint="eastAsia" w:ascii="宋体" w:hAnsi="宋体" w:cs="宋体"/>
                <w:color w:val="auto"/>
                <w:szCs w:val="21"/>
                <w:highlight w:val="none"/>
              </w:rPr>
              <w:t>国土</w:t>
            </w:r>
            <w:r>
              <w:rPr>
                <w:rFonts w:hint="eastAsia" w:ascii="宋体" w:hAnsi="宋体" w:cs="宋体"/>
                <w:color w:val="auto"/>
                <w:szCs w:val="21"/>
                <w:highlight w:val="none"/>
                <w:lang w:val="en-US" w:eastAsia="zh-CN"/>
              </w:rPr>
              <w:t>空间</w:t>
            </w:r>
            <w:r>
              <w:rPr>
                <w:rFonts w:hint="eastAsia" w:ascii="宋体" w:hAnsi="宋体" w:cs="宋体"/>
                <w:color w:val="auto"/>
                <w:szCs w:val="21"/>
                <w:highlight w:val="none"/>
              </w:rPr>
              <w:t>规划</w:t>
            </w:r>
            <w:r>
              <w:rPr>
                <w:rFonts w:hint="eastAsia" w:ascii="宋体" w:hAnsi="宋体" w:cs="宋体"/>
                <w:color w:val="auto"/>
                <w:szCs w:val="21"/>
                <w:highlight w:val="none"/>
                <w:lang w:val="en-US" w:eastAsia="zh-CN"/>
              </w:rPr>
              <w:t>编制</w:t>
            </w:r>
            <w:r>
              <w:rPr>
                <w:rFonts w:hint="eastAsia" w:ascii="宋体" w:hAnsi="宋体" w:cs="宋体"/>
                <w:color w:val="auto"/>
                <w:szCs w:val="21"/>
                <w:highlight w:val="none"/>
              </w:rPr>
              <w:t>”，得3分。</w:t>
            </w:r>
            <w:r>
              <w:rPr>
                <w:rFonts w:hint="eastAsia" w:hAnsi="宋体" w:cs="宋体"/>
                <w:bCs/>
                <w:color w:val="auto"/>
                <w:highlight w:val="none"/>
              </w:rPr>
              <w:t>须提供证书复印件，否则不得分。</w:t>
            </w:r>
          </w:p>
          <w:p>
            <w:pPr>
              <w:rPr>
                <w:rFonts w:hint="eastAsia" w:ascii="宋体" w:hAnsi="宋体" w:cs="宋体"/>
                <w:color w:val="auto"/>
                <w:szCs w:val="21"/>
                <w:highlight w:val="none"/>
              </w:rPr>
            </w:pPr>
            <w:r>
              <w:rPr>
                <w:rFonts w:hint="eastAsia" w:ascii="宋体" w:hAnsi="宋体" w:cs="宋体"/>
                <w:color w:val="auto"/>
                <w:szCs w:val="21"/>
                <w:highlight w:val="none"/>
              </w:rPr>
              <w:t>（3）投标人为省级国土空间规划技术联盟成员单位的，得3分。</w:t>
            </w:r>
            <w:r>
              <w:rPr>
                <w:rFonts w:hint="eastAsia" w:hAnsi="宋体" w:cs="宋体"/>
                <w:bCs/>
                <w:color w:val="auto"/>
                <w:highlight w:val="none"/>
              </w:rPr>
              <w:t>须提供证书复印件，否则不得分。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0"/>
            <w:vAlign w:val="center"/>
          </w:tcPr>
          <w:p>
            <w:pPr>
              <w:snapToGrid w:val="0"/>
              <w:jc w:val="center"/>
              <w:rPr>
                <w:rFonts w:hint="eastAsia" w:ascii="宋体" w:hAnsi="宋体" w:cs="宋体"/>
                <w:color w:val="auto"/>
                <w:szCs w:val="21"/>
                <w:highlight w:val="none"/>
              </w:rPr>
            </w:pPr>
          </w:p>
        </w:tc>
        <w:tc>
          <w:tcPr>
            <w:tcW w:w="1585" w:type="dxa"/>
            <w:vMerge w:val="continue"/>
            <w:noWrap w:val="0"/>
            <w:vAlign w:val="center"/>
          </w:tcPr>
          <w:p>
            <w:pPr>
              <w:snapToGrid w:val="0"/>
              <w:jc w:val="center"/>
              <w:rPr>
                <w:rFonts w:hint="eastAsia" w:ascii="宋体" w:hAnsi="宋体" w:cs="宋体"/>
                <w:color w:val="auto"/>
                <w:szCs w:val="21"/>
                <w:highlight w:val="none"/>
              </w:rPr>
            </w:pPr>
          </w:p>
        </w:tc>
        <w:tc>
          <w:tcPr>
            <w:tcW w:w="1701" w:type="dxa"/>
            <w:noWrap w:val="0"/>
            <w:vAlign w:val="center"/>
          </w:tcPr>
          <w:p>
            <w:pPr>
              <w:pStyle w:val="13"/>
              <w:jc w:val="center"/>
              <w:rPr>
                <w:rFonts w:hint="eastAsia" w:hAnsi="宋体" w:cs="宋体"/>
                <w:color w:val="auto"/>
                <w:sz w:val="21"/>
                <w:highlight w:val="none"/>
              </w:rPr>
            </w:pPr>
            <w:r>
              <w:rPr>
                <w:rFonts w:hint="eastAsia" w:hAnsi="宋体" w:cs="宋体"/>
                <w:color w:val="auto"/>
                <w:sz w:val="21"/>
                <w:highlight w:val="none"/>
              </w:rPr>
              <w:t>2、同类业绩</w:t>
            </w:r>
          </w:p>
          <w:p>
            <w:pPr>
              <w:pStyle w:val="13"/>
              <w:jc w:val="center"/>
              <w:rPr>
                <w:rFonts w:hint="eastAsia" w:hAnsi="宋体" w:cs="宋体"/>
                <w:color w:val="auto"/>
                <w:sz w:val="21"/>
                <w:highlight w:val="none"/>
              </w:rPr>
            </w:pPr>
            <w:r>
              <w:rPr>
                <w:rFonts w:hint="eastAsia" w:hAnsi="宋体" w:cs="宋体"/>
                <w:color w:val="auto"/>
                <w:sz w:val="21"/>
                <w:highlight w:val="none"/>
              </w:rPr>
              <w:t>（22分）</w:t>
            </w:r>
          </w:p>
        </w:tc>
        <w:tc>
          <w:tcPr>
            <w:tcW w:w="566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自2018年7月1日以来，投标人承担过完整的国土空间规划编制项目的，省级每个得3分，设区市级每个得2分，县级每个得1分。满分22分。</w:t>
            </w:r>
          </w:p>
          <w:p>
            <w:pPr>
              <w:rPr>
                <w:rFonts w:hint="eastAsia" w:ascii="宋体" w:hAnsi="宋体" w:cs="宋体"/>
                <w:color w:val="auto"/>
                <w:szCs w:val="21"/>
                <w:highlight w:val="none"/>
              </w:rPr>
            </w:pPr>
            <w:r>
              <w:rPr>
                <w:rFonts w:hint="eastAsia" w:ascii="宋体" w:hAnsi="宋体" w:cs="宋体"/>
                <w:color w:val="auto"/>
                <w:szCs w:val="21"/>
                <w:highlight w:val="none"/>
              </w:rPr>
              <w:t>仅承担空间规划编制项目其中专题的不得分。须提供合同复印件或中标（成交）通知书复印件</w:t>
            </w:r>
            <w:r>
              <w:rPr>
                <w:rFonts w:hint="eastAsia" w:hAnsi="宋体" w:cs="宋体"/>
                <w:bCs/>
                <w:color w:val="auto"/>
                <w:highlight w:val="none"/>
              </w:rPr>
              <w:t>，否则不得分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8" w:type="dxa"/>
            <w:gridSpan w:val="4"/>
            <w:noWrap w:val="0"/>
            <w:vAlign w:val="center"/>
          </w:tcPr>
          <w:p>
            <w:pPr>
              <w:pStyle w:val="13"/>
              <w:snapToGrid w:val="0"/>
              <w:rPr>
                <w:rFonts w:hint="eastAsia" w:hAnsi="宋体" w:cs="宋体"/>
                <w:b/>
                <w:bCs/>
                <w:color w:val="auto"/>
                <w:sz w:val="21"/>
                <w:highlight w:val="none"/>
              </w:rPr>
            </w:pPr>
            <w:r>
              <w:rPr>
                <w:rFonts w:hint="eastAsia" w:hAnsi="宋体" w:cs="宋体"/>
                <w:b/>
                <w:bCs/>
                <w:color w:val="auto"/>
                <w:sz w:val="21"/>
                <w:highlight w:val="none"/>
              </w:rPr>
              <w:t>总得分=1+2+3</w:t>
            </w:r>
          </w:p>
        </w:tc>
      </w:tr>
    </w:tbl>
    <w:p>
      <w:pPr>
        <w:pStyle w:val="13"/>
        <w:spacing w:line="360" w:lineRule="auto"/>
        <w:ind w:firstLine="420"/>
        <w:rPr>
          <w:rFonts w:hint="eastAsia" w:hAnsi="宋体"/>
          <w:color w:val="auto"/>
          <w:sz w:val="21"/>
          <w:highlight w:val="none"/>
        </w:rPr>
      </w:pPr>
      <w:r>
        <w:rPr>
          <w:rFonts w:hint="eastAsia" w:hAnsi="宋体"/>
          <w:bCs/>
          <w:color w:val="auto"/>
          <w:sz w:val="21"/>
          <w:highlight w:val="none"/>
        </w:rPr>
        <w:t>注：计分方法按四舍五入取至百分位</w:t>
      </w:r>
    </w:p>
    <w:p>
      <w:pPr>
        <w:pStyle w:val="5"/>
        <w:keepNext w:val="0"/>
        <w:keepLines w:val="0"/>
        <w:jc w:val="center"/>
        <w:rPr>
          <w:color w:val="auto"/>
          <w:sz w:val="30"/>
          <w:szCs w:val="30"/>
          <w:highlight w:val="none"/>
        </w:rPr>
      </w:pPr>
      <w:r>
        <w:rPr>
          <w:rFonts w:hint="eastAsia"/>
          <w:color w:val="auto"/>
          <w:sz w:val="30"/>
          <w:szCs w:val="30"/>
          <w:highlight w:val="none"/>
        </w:rPr>
        <w:br w:type="page"/>
      </w:r>
      <w:r>
        <w:rPr>
          <w:rFonts w:hint="eastAsia"/>
          <w:color w:val="auto"/>
          <w:sz w:val="30"/>
          <w:szCs w:val="30"/>
          <w:highlight w:val="none"/>
        </w:rPr>
        <w:t>四、中标候选人推荐原则</w:t>
      </w:r>
    </w:p>
    <w:p>
      <w:pPr>
        <w:pStyle w:val="13"/>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评标委员会将根据总得分由高到低排列次序并推荐中标候选中标人。得分相同的，以投标报价由低到高顺序排列。得分相同且投标报价相同的，以技术方案分由高到低排列次序。</w:t>
      </w:r>
    </w:p>
    <w:p>
      <w:pPr>
        <w:pStyle w:val="13"/>
        <w:spacing w:line="360" w:lineRule="auto"/>
        <w:contextualSpacing/>
        <w:rPr>
          <w:rFonts w:hint="eastAsia" w:hAnsi="宋体"/>
          <w:color w:val="auto"/>
          <w:sz w:val="21"/>
          <w:highlight w:val="none"/>
        </w:rPr>
      </w:pPr>
    </w:p>
    <w:p>
      <w:pPr>
        <w:pStyle w:val="5"/>
        <w:keepNext w:val="0"/>
        <w:keepLines w:val="0"/>
        <w:rPr>
          <w:rFonts w:hint="eastAsia" w:hAnsi="宋体"/>
          <w:color w:val="auto"/>
          <w:sz w:val="21"/>
          <w:highlight w:val="none"/>
        </w:rPr>
      </w:pPr>
      <w:r>
        <w:rPr>
          <w:rFonts w:hAnsi="宋体"/>
          <w:b w:val="0"/>
          <w:color w:val="auto"/>
          <w:sz w:val="24"/>
          <w:highlight w:val="none"/>
        </w:rPr>
        <w:br w:type="page"/>
      </w: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3"/>
        <w:jc w:val="center"/>
        <w:rPr>
          <w:rFonts w:hint="eastAsia"/>
          <w:color w:val="auto"/>
          <w:highlight w:val="none"/>
        </w:rPr>
      </w:pPr>
      <w:bookmarkStart w:id="144" w:name="_Toc74323515"/>
      <w:r>
        <w:rPr>
          <w:rFonts w:hint="eastAsia"/>
          <w:color w:val="auto"/>
          <w:highlight w:val="none"/>
        </w:rPr>
        <w:t>第五章  合同文本</w:t>
      </w:r>
      <w:bookmarkEnd w:id="144"/>
      <w:r>
        <w:rPr>
          <w:rFonts w:hint="eastAsia"/>
          <w:color w:val="auto"/>
          <w:highlight w:val="none"/>
        </w:rPr>
        <w:t>（格式）</w:t>
      </w: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jc w:val="center"/>
        <w:rPr>
          <w:rFonts w:hint="eastAsia" w:ascii="黑体" w:hAnsi="黑体"/>
          <w:color w:val="auto"/>
          <w:sz w:val="32"/>
          <w:szCs w:val="32"/>
          <w:highlight w:val="none"/>
        </w:rPr>
      </w:pPr>
      <w:r>
        <w:rPr>
          <w:rFonts w:ascii="宋体" w:hAnsi="宋体"/>
          <w:bCs/>
          <w:color w:val="auto"/>
          <w:highlight w:val="none"/>
        </w:rPr>
        <w:br w:type="page"/>
      </w:r>
      <w:r>
        <w:rPr>
          <w:rFonts w:hint="eastAsia"/>
          <w:b/>
          <w:bCs/>
          <w:color w:val="auto"/>
          <w:kern w:val="44"/>
          <w:sz w:val="44"/>
          <w:szCs w:val="44"/>
          <w:highlight w:val="none"/>
        </w:rPr>
        <w:t>合同文本（格式）</w:t>
      </w:r>
    </w:p>
    <w:p>
      <w:pPr>
        <w:spacing w:line="520" w:lineRule="exact"/>
        <w:rPr>
          <w:rFonts w:hint="eastAsia" w:ascii="宋体" w:hAnsi="宋体" w:cs="Courier New"/>
          <w:b/>
          <w:color w:val="auto"/>
          <w:sz w:val="32"/>
          <w:szCs w:val="32"/>
          <w:highlight w:val="none"/>
        </w:rPr>
      </w:pPr>
    </w:p>
    <w:p>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highlight w:val="none"/>
              </w:rPr>
              <w:t>合同金额：人民币         元整（¥      ）。其中不含税金额：人民币         元整（¥      ），税金：人民币         元整（¥      ）。</w:t>
            </w: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2、合同金额包含但不限于用于项目过程中的调研与方案研制的费用、专家课酬、项目评估费用、会务费、培训服务的其他所有费用、必要的保险费用和各项税金等。</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1、实施时间：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起至</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pPr>
        <w:pStyle w:val="2"/>
        <w:ind w:firstLine="420"/>
        <w:rPr>
          <w:rFonts w:ascii="宋体" w:hAnsi="宋体" w:cs="宋体"/>
          <w:bCs/>
          <w:color w:val="auto"/>
          <w:szCs w:val="21"/>
          <w:highlight w:val="none"/>
        </w:rPr>
      </w:pPr>
      <w:r>
        <w:rPr>
          <w:rFonts w:hint="eastAsia" w:ascii="宋体" w:hAnsi="宋体" w:cs="宋体"/>
          <w:bCs/>
          <w:color w:val="auto"/>
          <w:szCs w:val="21"/>
          <w:highlight w:val="none"/>
        </w:rPr>
        <w:t>第一期：签订合同后凭中标人提供的等额正规发票在15工作日内支付国土空间总体规划成果中标金额的</w:t>
      </w:r>
      <w:r>
        <w:rPr>
          <w:rFonts w:ascii="宋体" w:hAnsi="宋体" w:cs="宋体"/>
          <w:bCs/>
          <w:color w:val="auto"/>
          <w:szCs w:val="21"/>
          <w:highlight w:val="none"/>
        </w:rPr>
        <w:t>30</w:t>
      </w:r>
      <w:r>
        <w:rPr>
          <w:rFonts w:hint="eastAsia" w:ascii="宋体" w:hAnsi="宋体" w:cs="宋体"/>
          <w:bCs/>
          <w:color w:val="auto"/>
          <w:szCs w:val="21"/>
          <w:highlight w:val="none"/>
        </w:rPr>
        <w:t>%。</w:t>
      </w:r>
    </w:p>
    <w:p>
      <w:pPr>
        <w:spacing w:line="360" w:lineRule="auto"/>
        <w:ind w:right="420"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第二期：县级国土空间总体规划成果通过市级自然资源管理部门组织的专家评审后凭中标人提供的等额正规发票在15工作日内支付国土空间总体规划成果中标金额的</w:t>
      </w:r>
      <w:r>
        <w:rPr>
          <w:rFonts w:ascii="宋体" w:hAnsi="宋体" w:cs="宋体"/>
          <w:bCs/>
          <w:color w:val="auto"/>
          <w:szCs w:val="21"/>
          <w:highlight w:val="none"/>
        </w:rPr>
        <w:t>20</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p>
      <w:pPr>
        <w:pStyle w:val="2"/>
        <w:ind w:firstLine="420"/>
        <w:rPr>
          <w:rFonts w:hint="eastAsia" w:eastAsia="宋体"/>
          <w:color w:val="auto"/>
          <w:highlight w:val="none"/>
          <w:lang w:eastAsia="zh-CN"/>
        </w:rPr>
      </w:pPr>
      <w:r>
        <w:rPr>
          <w:rFonts w:hint="eastAsia"/>
          <w:color w:val="auto"/>
          <w:highlight w:val="none"/>
        </w:rPr>
        <w:t>第三期：县级</w:t>
      </w:r>
      <w:r>
        <w:rPr>
          <w:rFonts w:hint="eastAsia" w:ascii="宋体" w:hAnsi="宋体" w:cs="宋体"/>
          <w:bCs/>
          <w:color w:val="auto"/>
          <w:szCs w:val="21"/>
          <w:highlight w:val="none"/>
        </w:rPr>
        <w:t>国土空间总体规划成果批复后凭中标人提供的等额正规发票在15工作日内支付国土空间总体规划成果中标金额的</w:t>
      </w:r>
      <w:r>
        <w:rPr>
          <w:rFonts w:ascii="宋体" w:hAnsi="宋体" w:cs="宋体"/>
          <w:bCs/>
          <w:color w:val="auto"/>
          <w:szCs w:val="21"/>
          <w:highlight w:val="none"/>
        </w:rPr>
        <w:t>20</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p>
      <w:pPr>
        <w:spacing w:line="360" w:lineRule="auto"/>
        <w:ind w:right="420"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第四期：乡镇级国土空间总体规划成果通过主管部门组织的专家评审并提交所有成果后凭中标人提供的等额正规发票在15工作日内支付国土空间总体规划成果中标金额的20%</w:t>
      </w:r>
      <w:r>
        <w:rPr>
          <w:rFonts w:hint="eastAsia" w:ascii="宋体" w:hAnsi="宋体" w:cs="宋体"/>
          <w:bCs/>
          <w:color w:val="auto"/>
          <w:szCs w:val="21"/>
          <w:highlight w:val="none"/>
          <w:lang w:eastAsia="zh-CN"/>
        </w:rPr>
        <w:t>。</w:t>
      </w:r>
    </w:p>
    <w:p>
      <w:pPr>
        <w:pStyle w:val="2"/>
        <w:ind w:firstLine="420"/>
        <w:rPr>
          <w:rFonts w:hint="eastAsia" w:eastAsia="宋体"/>
          <w:color w:val="auto"/>
          <w:highlight w:val="none"/>
          <w:lang w:eastAsia="zh-CN"/>
        </w:rPr>
      </w:pPr>
      <w:r>
        <w:rPr>
          <w:rFonts w:hint="eastAsia"/>
          <w:color w:val="auto"/>
          <w:highlight w:val="none"/>
        </w:rPr>
        <w:t>第五期：乡镇级</w:t>
      </w:r>
      <w:r>
        <w:rPr>
          <w:rFonts w:hint="eastAsia" w:ascii="宋体" w:hAnsi="宋体" w:cs="宋体"/>
          <w:bCs/>
          <w:color w:val="auto"/>
          <w:szCs w:val="21"/>
          <w:highlight w:val="none"/>
        </w:rPr>
        <w:t>国土空间总体规划成果批复后凭中标人提供的等额正规发票在15工作日内支付国土空间总体规划成果中标金额的</w:t>
      </w:r>
      <w:r>
        <w:rPr>
          <w:rFonts w:ascii="宋体" w:hAnsi="宋体" w:cs="宋体"/>
          <w:bCs/>
          <w:color w:val="auto"/>
          <w:szCs w:val="21"/>
          <w:highlight w:val="none"/>
        </w:rPr>
        <w:t>10</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p>
    <w:p>
      <w:pPr>
        <w:pStyle w:val="2"/>
        <w:ind w:firstLine="420"/>
        <w:rPr>
          <w:rFonts w:hint="eastAsia"/>
          <w:color w:val="auto"/>
          <w:highlight w:val="none"/>
        </w:rPr>
      </w:pP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履约保证金递交方式：支票、汇票、本票或者银行、保险机构出具的保函等非现金方式（参照投标保证金）。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1、除不可抗力原因外，乙方没有按照合同规定的时间提供服务的，甲方可要求乙方支付违约金。每推迟一天按合同金额的2‰支付违约金，该违约金累计不超过合同金额的5%。</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2、开标一览表；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w:t>
      </w:r>
      <w:r>
        <w:rPr>
          <w:rFonts w:hint="eastAsia" w:ascii="宋体" w:hAnsi="宋体" w:cs="宋体"/>
          <w:color w:val="auto"/>
          <w:szCs w:val="21"/>
          <w:highlight w:val="none"/>
        </w:rPr>
        <w:t>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r>
        <w:rPr>
          <w:rFonts w:hint="eastAsia" w:ascii="宋体" w:hAnsi="宋体" w:cs="宋体"/>
          <w:color w:val="auto"/>
          <w:szCs w:val="21"/>
          <w:highlight w:val="none"/>
        </w:rPr>
        <w:t>，具有同等法律效力。其中，甲乙双方</w:t>
      </w:r>
      <w:r>
        <w:rPr>
          <w:rFonts w:hint="eastAsia" w:ascii="宋体" w:hAnsi="宋体" w:cs="宋体"/>
          <w:color w:val="auto"/>
          <w:szCs w:val="21"/>
          <w:highlight w:val="none"/>
        </w:rPr>
        <w:t>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r>
        <w:rPr>
          <w:rFonts w:hint="eastAsia" w:ascii="宋体" w:hAnsi="宋体" w:cs="宋体"/>
          <w:color w:val="auto"/>
          <w:szCs w:val="21"/>
          <w:highlight w:val="none"/>
        </w:rPr>
        <w:t>，财政部门（政府采购监管部门）、采购代理机构各一份。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个工作日内，甲方应当将合同报同级财政部门备案。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个工作日内，甲方应当将采购合同在广西壮族自治区财政厅指定的媒体上公告。</w:t>
      </w:r>
    </w:p>
    <w:tbl>
      <w:tblPr>
        <w:tblStyle w:val="20"/>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ind w:firstLine="945" w:firstLineChars="450"/>
              <w:jc w:val="right"/>
              <w:rPr>
                <w:rFonts w:hint="eastAsia" w:ascii="宋体" w:hAnsi="宋体" w:cs="宋体"/>
                <w:color w:val="auto"/>
                <w:szCs w:val="21"/>
                <w:highlight w:val="none"/>
              </w:rPr>
            </w:pPr>
          </w:p>
          <w:p>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jc w:val="right"/>
              <w:rPr>
                <w:rFonts w:hint="eastAsia" w:ascii="宋体" w:hAnsi="宋体" w:cs="宋体"/>
                <w:color w:val="auto"/>
                <w:szCs w:val="21"/>
                <w:highlight w:val="none"/>
              </w:rPr>
            </w:pPr>
          </w:p>
          <w:p>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pPr>
        <w:snapToGrid w:val="0"/>
        <w:jc w:val="center"/>
        <w:rPr>
          <w:rFonts w:hint="eastAsia" w:ascii="宋体" w:hAnsi="宋体"/>
          <w:b/>
          <w:bCs/>
          <w:color w:val="auto"/>
          <w:sz w:val="32"/>
          <w:szCs w:val="32"/>
          <w:highlight w:val="none"/>
        </w:rPr>
      </w:pPr>
    </w:p>
    <w:p>
      <w:pPr>
        <w:snapToGrid w:val="0"/>
        <w:jc w:val="center"/>
        <w:rPr>
          <w:rFonts w:hint="eastAsia" w:ascii="宋体" w:hAnsi="宋体"/>
          <w:b/>
          <w:bCs/>
          <w:color w:val="auto"/>
          <w:sz w:val="32"/>
          <w:szCs w:val="32"/>
          <w:highlight w:val="none"/>
        </w:rPr>
      </w:pPr>
    </w:p>
    <w:p>
      <w:pPr>
        <w:snapToGrid w:val="0"/>
        <w:jc w:val="center"/>
        <w:rPr>
          <w:rFonts w:hint="eastAsia" w:ascii="宋体" w:hAnsi="宋体"/>
          <w:b/>
          <w:bCs/>
          <w:color w:val="auto"/>
          <w:sz w:val="32"/>
          <w:szCs w:val="32"/>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采购代理机构：（章）</w:t>
      </w:r>
    </w:p>
    <w:p>
      <w:pPr>
        <w:snapToGrid w:val="0"/>
        <w:rPr>
          <w:rFonts w:ascii="宋体" w:hAnsi="宋体"/>
          <w:b/>
          <w:bCs/>
          <w:color w:val="auto"/>
          <w:sz w:val="32"/>
          <w:szCs w:val="32"/>
          <w:highlight w:val="none"/>
        </w:rPr>
      </w:pPr>
      <w:r>
        <w:rPr>
          <w:rFonts w:hint="eastAsia" w:ascii="宋体" w:hAnsi="宋体" w:cs="宋体"/>
          <w:color w:val="auto"/>
          <w:szCs w:val="21"/>
          <w:highlight w:val="none"/>
        </w:rPr>
        <w:t>项目负责人：</w:t>
      </w:r>
    </w:p>
    <w:p>
      <w:pPr>
        <w:snapToGrid w:val="0"/>
        <w:rPr>
          <w:rFonts w:hint="eastAsia" w:ascii="宋体" w:hAnsi="宋体"/>
          <w:b/>
          <w:bCs/>
          <w:color w:val="auto"/>
          <w:sz w:val="32"/>
          <w:szCs w:val="32"/>
          <w:highlight w:val="none"/>
        </w:rPr>
      </w:pPr>
    </w:p>
    <w:p>
      <w:pPr>
        <w:snapToGrid w:val="0"/>
        <w:spacing w:line="360" w:lineRule="auto"/>
        <w:ind w:left="420" w:hanging="420" w:hangingChars="200"/>
        <w:rPr>
          <w:rFonts w:hint="eastAsia" w:ascii="宋体" w:hAnsi="宋体"/>
          <w:color w:val="auto"/>
          <w:szCs w:val="21"/>
          <w:highlight w:val="none"/>
        </w:rPr>
      </w:pPr>
    </w:p>
    <w:p>
      <w:pPr>
        <w:snapToGrid w:val="0"/>
        <w:spacing w:line="360" w:lineRule="auto"/>
        <w:rPr>
          <w:rFonts w:hint="eastAsia" w:ascii="宋体" w:hAnsi="宋体"/>
          <w:color w:val="auto"/>
          <w:szCs w:val="21"/>
          <w:highlight w:val="none"/>
        </w:rPr>
      </w:pPr>
    </w:p>
    <w:p>
      <w:pPr>
        <w:snapToGrid w:val="0"/>
        <w:spacing w:line="360" w:lineRule="auto"/>
        <w:jc w:val="left"/>
        <w:rPr>
          <w:rFonts w:hint="eastAsia" w:ascii="宋体" w:hAnsi="宋体"/>
          <w:color w:val="auto"/>
          <w:szCs w:val="21"/>
          <w:highlight w:val="none"/>
        </w:rPr>
      </w:pPr>
    </w:p>
    <w:p>
      <w:pPr>
        <w:snapToGrid w:val="0"/>
        <w:jc w:val="center"/>
        <w:rPr>
          <w:rFonts w:ascii="宋体" w:hAnsi="宋体"/>
          <w:bCs/>
          <w:color w:val="auto"/>
          <w:sz w:val="32"/>
          <w:szCs w:val="32"/>
          <w:highlight w:val="none"/>
        </w:rPr>
      </w:pPr>
      <w:r>
        <w:rPr>
          <w:rFonts w:ascii="宋体" w:hAnsi="宋体"/>
          <w:b/>
          <w:color w:val="auto"/>
          <w:sz w:val="32"/>
          <w:szCs w:val="32"/>
          <w:highlight w:val="none"/>
        </w:rPr>
        <w:br w:type="page"/>
      </w:r>
    </w:p>
    <w:p>
      <w:pPr>
        <w:snapToGrid w:val="0"/>
        <w:spacing w:line="480" w:lineRule="auto"/>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3"/>
        <w:jc w:val="center"/>
        <w:rPr>
          <w:rFonts w:hint="eastAsia"/>
          <w:color w:val="auto"/>
          <w:highlight w:val="none"/>
        </w:rPr>
      </w:pPr>
      <w:bookmarkStart w:id="145" w:name="_Toc74323516"/>
      <w:r>
        <w:rPr>
          <w:rFonts w:hint="eastAsia"/>
          <w:color w:val="auto"/>
          <w:highlight w:val="none"/>
        </w:rPr>
        <w:t>第六章　投标文件格式</w:t>
      </w:r>
      <w:bookmarkEnd w:id="145"/>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rPr>
          <w:rFonts w:hint="eastAsia"/>
          <w:b/>
          <w:color w:val="auto"/>
          <w:sz w:val="28"/>
          <w:szCs w:val="28"/>
          <w:highlight w:val="none"/>
        </w:rPr>
      </w:pPr>
      <w:r>
        <w:rPr>
          <w:color w:val="auto"/>
          <w:sz w:val="32"/>
          <w:szCs w:val="20"/>
          <w:highlight w:val="none"/>
        </w:rPr>
        <w:br w:type="page"/>
      </w:r>
      <w:bookmarkStart w:id="146" w:name="_Toc19686835"/>
      <w:bookmarkStart w:id="147" w:name="_Toc254970556"/>
      <w:bookmarkStart w:id="148" w:name="_Toc254970697"/>
      <w:r>
        <w:rPr>
          <w:rFonts w:hint="eastAsia"/>
          <w:b/>
          <w:color w:val="auto"/>
          <w:sz w:val="28"/>
          <w:szCs w:val="28"/>
          <w:highlight w:val="none"/>
        </w:rPr>
        <w:t>一、投标文件外层包装封面格式</w:t>
      </w:r>
      <w:bookmarkEnd w:id="146"/>
      <w:bookmarkEnd w:id="147"/>
      <w:bookmarkEnd w:id="148"/>
      <w:r>
        <w:rPr>
          <w:rFonts w:hint="eastAsia"/>
          <w:b/>
          <w:color w:val="auto"/>
          <w:sz w:val="28"/>
          <w:szCs w:val="28"/>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Cs/>
          <w:color w:val="auto"/>
          <w:sz w:val="24"/>
          <w:szCs w:val="20"/>
          <w:highlight w:val="none"/>
        </w:rPr>
      </w:pPr>
    </w:p>
    <w:p>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投 标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360" w:firstLineChars="150"/>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360" w:firstLineChars="150"/>
        <w:rPr>
          <w:rFonts w:hint="eastAsia" w:ascii="宋体" w:hAnsi="宋体"/>
          <w:bCs/>
          <w:color w:val="auto"/>
          <w:sz w:val="24"/>
          <w:szCs w:val="20"/>
          <w:highlight w:val="none"/>
        </w:rPr>
      </w:pPr>
    </w:p>
    <w:p>
      <w:pPr>
        <w:snapToGrid w:val="0"/>
        <w:spacing w:before="120" w:beforeLines="50" w:after="50"/>
        <w:ind w:firstLine="360" w:firstLineChars="150"/>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360" w:firstLineChars="150"/>
        <w:rPr>
          <w:rFonts w:hint="eastAsia" w:ascii="宋体" w:hAnsi="宋体"/>
          <w:bCs/>
          <w:color w:val="auto"/>
          <w:sz w:val="24"/>
          <w:szCs w:val="20"/>
          <w:highlight w:val="none"/>
        </w:rPr>
      </w:pPr>
      <w:r>
        <w:rPr>
          <w:rFonts w:hint="eastAsia" w:ascii="宋体" w:hAnsi="宋体"/>
          <w:bCs/>
          <w:color w:val="auto"/>
          <w:sz w:val="24"/>
          <w:szCs w:val="20"/>
          <w:highlight w:val="none"/>
        </w:rPr>
        <w:t>投标人名称：</w:t>
      </w:r>
    </w:p>
    <w:p>
      <w:pPr>
        <w:snapToGrid w:val="0"/>
        <w:spacing w:before="120" w:beforeLines="50" w:after="50"/>
        <w:ind w:firstLine="360" w:firstLineChars="150"/>
        <w:rPr>
          <w:rFonts w:hint="eastAsia" w:ascii="宋体" w:hAnsi="宋体"/>
          <w:bCs/>
          <w:color w:val="auto"/>
          <w:sz w:val="24"/>
          <w:szCs w:val="20"/>
          <w:highlight w:val="none"/>
        </w:rPr>
      </w:pPr>
    </w:p>
    <w:p>
      <w:pPr>
        <w:snapToGrid w:val="0"/>
        <w:spacing w:before="120" w:beforeLines="50" w:after="50"/>
        <w:ind w:firstLine="360" w:firstLineChars="150"/>
        <w:rPr>
          <w:rFonts w:hint="eastAsia" w:ascii="宋体" w:hAnsi="宋体"/>
          <w:bCs/>
          <w:color w:val="auto"/>
          <w:sz w:val="24"/>
          <w:szCs w:val="20"/>
          <w:highlight w:val="none"/>
        </w:rPr>
      </w:pPr>
      <w:r>
        <w:rPr>
          <w:rFonts w:hint="eastAsia" w:ascii="宋体" w:hAnsi="宋体"/>
          <w:bCs/>
          <w:color w:val="auto"/>
          <w:sz w:val="24"/>
          <w:szCs w:val="20"/>
          <w:highlight w:val="none"/>
        </w:rPr>
        <w:t>投标人地址：</w:t>
      </w:r>
    </w:p>
    <w:p>
      <w:pPr>
        <w:snapToGrid w:val="0"/>
        <w:spacing w:before="120" w:beforeLines="50" w:after="50"/>
        <w:ind w:firstLine="360" w:firstLineChars="150"/>
        <w:rPr>
          <w:rFonts w:hint="eastAsia" w:ascii="宋体" w:hAnsi="宋体"/>
          <w:bCs/>
          <w:color w:val="auto"/>
          <w:sz w:val="24"/>
          <w:szCs w:val="20"/>
          <w:highlight w:val="none"/>
        </w:rPr>
      </w:pPr>
    </w:p>
    <w:p>
      <w:pPr>
        <w:snapToGrid w:val="0"/>
        <w:spacing w:before="120" w:beforeLines="50" w:after="50"/>
        <w:ind w:firstLine="360" w:firstLineChars="150"/>
        <w:jc w:val="center"/>
        <w:rPr>
          <w:rFonts w:hint="eastAsia" w:ascii="宋体" w:hAnsi="宋体"/>
          <w:bCs/>
          <w:color w:val="auto"/>
          <w:sz w:val="24"/>
          <w:highlight w:val="none"/>
        </w:rPr>
      </w:pPr>
      <w:r>
        <w:rPr>
          <w:rFonts w:hint="eastAsia" w:ascii="宋体" w:hAnsi="宋体"/>
          <w:bCs/>
          <w:color w:val="auto"/>
          <w:sz w:val="24"/>
          <w:szCs w:val="20"/>
          <w:highlight w:val="none"/>
        </w:rPr>
        <w:t>投标截止时间前不得启封</w:t>
      </w:r>
    </w:p>
    <w:p>
      <w:pPr>
        <w:snapToGrid w:val="0"/>
        <w:spacing w:before="120" w:beforeLines="50" w:after="50"/>
        <w:ind w:firstLine="4080" w:firstLineChars="1700"/>
        <w:rPr>
          <w:rFonts w:hint="eastAsia" w:ascii="宋体" w:hAnsi="宋体"/>
          <w:bCs/>
          <w:color w:val="auto"/>
          <w:sz w:val="24"/>
          <w:szCs w:val="20"/>
          <w:highlight w:val="none"/>
        </w:rPr>
      </w:pPr>
    </w:p>
    <w:p>
      <w:pPr>
        <w:snapToGrid w:val="0"/>
        <w:spacing w:before="120" w:beforeLines="50" w:after="50"/>
        <w:ind w:firstLine="645"/>
        <w:jc w:val="left"/>
        <w:rPr>
          <w:rFonts w:hint="eastAsia" w:ascii="宋体" w:hAnsi="宋体"/>
          <w:bCs/>
          <w:color w:val="auto"/>
          <w:sz w:val="24"/>
          <w:szCs w:val="20"/>
          <w:highlight w:val="none"/>
        </w:rPr>
      </w:pPr>
      <w:r>
        <w:rPr>
          <w:rFonts w:hint="eastAsia" w:ascii="宋体" w:hAnsi="宋体"/>
          <w:bCs/>
          <w:color w:val="auto"/>
          <w:sz w:val="24"/>
          <w:highlight w:val="none"/>
        </w:rPr>
        <w:t xml:space="preserve">                        年    月    日</w:t>
      </w:r>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snapToGrid w:val="0"/>
        <w:spacing w:before="120" w:beforeLines="50" w:after="50"/>
        <w:outlineLvl w:val="1"/>
        <w:rPr>
          <w:rFonts w:hint="eastAsia" w:ascii="宋体" w:hAnsi="宋体"/>
          <w:color w:val="auto"/>
          <w:highlight w:val="none"/>
        </w:rPr>
      </w:pPr>
    </w:p>
    <w:p>
      <w:pPr>
        <w:rPr>
          <w:rFonts w:hint="eastAsia"/>
          <w:b/>
          <w:color w:val="auto"/>
          <w:sz w:val="28"/>
          <w:szCs w:val="28"/>
          <w:highlight w:val="none"/>
        </w:rPr>
      </w:pPr>
      <w:bookmarkStart w:id="149" w:name="_Toc19686836"/>
      <w:bookmarkStart w:id="150" w:name="_Toc254970557"/>
      <w:bookmarkStart w:id="151" w:name="_Toc254970698"/>
      <w:r>
        <w:rPr>
          <w:rFonts w:hint="eastAsia"/>
          <w:b/>
          <w:color w:val="auto"/>
          <w:sz w:val="28"/>
          <w:szCs w:val="28"/>
          <w:highlight w:val="none"/>
        </w:rPr>
        <w:t>二、报价文件格式</w:t>
      </w:r>
      <w:bookmarkEnd w:id="149"/>
    </w:p>
    <w:p>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w:t>
      </w:r>
    </w:p>
    <w:p>
      <w:pPr>
        <w:snapToGrid w:val="0"/>
        <w:spacing w:before="120" w:beforeLines="50" w:after="50" w:line="400" w:lineRule="exact"/>
        <w:jc w:val="center"/>
        <w:rPr>
          <w:rFonts w:hint="eastAsia" w:ascii="宋体" w:hAnsi="宋体"/>
          <w:bCs/>
          <w:color w:val="auto"/>
          <w:sz w:val="24"/>
          <w:szCs w:val="20"/>
          <w:highlight w:val="none"/>
        </w:rPr>
      </w:pPr>
    </w:p>
    <w:p>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pStyle w:val="7"/>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 标 函</w:t>
      </w:r>
    </w:p>
    <w:p>
      <w:pPr>
        <w:snapToGrid w:val="0"/>
        <w:spacing w:before="120" w:beforeLines="50" w:after="50" w:line="320" w:lineRule="exact"/>
        <w:jc w:val="center"/>
        <w:rPr>
          <w:rFonts w:ascii="宋体" w:hAnsi="宋体"/>
          <w:b/>
          <w:color w:val="auto"/>
          <w:sz w:val="24"/>
          <w:szCs w:val="20"/>
          <w:highlight w:val="none"/>
        </w:rPr>
      </w:pPr>
    </w:p>
    <w:p>
      <w:pPr>
        <w:snapToGrid w:val="0"/>
        <w:spacing w:before="120" w:beforeLines="50" w:after="50" w:line="320" w:lineRule="exact"/>
        <w:jc w:val="center"/>
        <w:rPr>
          <w:rFonts w:ascii="宋体" w:hAnsi="宋体"/>
          <w:b/>
          <w:color w:val="auto"/>
          <w:sz w:val="24"/>
          <w:szCs w:val="20"/>
          <w:highlight w:val="none"/>
        </w:rPr>
      </w:pPr>
    </w:p>
    <w:p>
      <w:pPr>
        <w:snapToGrid w:val="0"/>
        <w:spacing w:before="120" w:beforeLines="50" w:after="50" w:line="320" w:lineRule="exact"/>
        <w:jc w:val="center"/>
        <w:rPr>
          <w:rFonts w:hint="eastAsia" w:ascii="宋体" w:hAnsi="宋体"/>
          <w:b/>
          <w:color w:val="auto"/>
          <w:sz w:val="24"/>
          <w:szCs w:val="20"/>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据此函，我方宣布同意如下：</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法定代表人或者委托代理人（签字）:___________ </w:t>
      </w:r>
    </w:p>
    <w:p>
      <w:pPr>
        <w:pStyle w:val="13"/>
        <w:snapToGrid w:val="0"/>
        <w:spacing w:before="295" w:after="295" w:line="360" w:lineRule="auto"/>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pPr>
        <w:pStyle w:val="13"/>
        <w:snapToGrid w:val="0"/>
        <w:spacing w:before="295" w:after="295" w:line="360" w:lineRule="auto"/>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hint="eastAsia" w:ascii="宋体" w:hAnsi="宋体"/>
          <w:b/>
          <w:color w:val="auto"/>
          <w:sz w:val="30"/>
          <w:szCs w:val="20"/>
          <w:highlight w:val="none"/>
        </w:rPr>
      </w:pPr>
    </w:p>
    <w:p>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p>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tbl>
      <w:tblPr>
        <w:tblStyle w:val="2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hint="eastAsia" w:ascii="宋体" w:hAnsi="宋体"/>
                <w:b/>
                <w:color w:val="auto"/>
                <w:sz w:val="24"/>
                <w:highlight w:val="none"/>
              </w:rPr>
              <w:t>标的的名称</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单价</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hint="eastAsia" w:ascii="宋体" w:hAnsi="宋体"/>
                <w:b/>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hint="eastAsia" w:ascii="宋体" w:hAnsi="宋体"/>
                <w:b/>
                <w:color w:val="auto"/>
                <w:sz w:val="24"/>
                <w:highlight w:val="none"/>
              </w:rPr>
              <w:t>……</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napToGrid w:val="0"/>
        <w:spacing w:before="50" w:after="50"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1.投标人的开标一览表必须加盖投标人公章（如联合体投标的，盖牵头方公章即可。）并由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4.如有多分标，按分标分别提供开标一览表，</w:t>
      </w:r>
      <w:r>
        <w:rPr>
          <w:rFonts w:hint="eastAsia" w:ascii="宋体" w:hAnsi="宋体"/>
          <w:b/>
          <w:color w:val="auto"/>
          <w:sz w:val="24"/>
          <w:highlight w:val="none"/>
        </w:rPr>
        <w:t>否则投标无效。</w:t>
      </w:r>
    </w:p>
    <w:p>
      <w:pPr>
        <w:snapToGrid w:val="0"/>
        <w:spacing w:before="50" w:after="50" w:line="360" w:lineRule="auto"/>
        <w:ind w:left="-2" w:leftChars="-1" w:right="-817" w:rightChars="-389"/>
        <w:rPr>
          <w:rFonts w:hint="eastAsia" w:ascii="宋体" w:hAnsi="宋体"/>
          <w:color w:val="auto"/>
          <w:sz w:val="24"/>
          <w:highlight w:val="none"/>
        </w:rPr>
      </w:pPr>
    </w:p>
    <w:p>
      <w:pPr>
        <w:snapToGrid w:val="0"/>
        <w:spacing w:before="50" w:after="50"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                    </w:t>
      </w:r>
    </w:p>
    <w:p>
      <w:pPr>
        <w:snapToGrid w:val="0"/>
        <w:spacing w:before="50" w:after="50" w:line="360" w:lineRule="auto"/>
        <w:ind w:left="-3" w:leftChars="-72" w:right="-817" w:rightChars="-389" w:hanging="148" w:hangingChars="62"/>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50" w:after="50"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投标人（盖公章）：                                 日期：    年   月   日</w:t>
      </w:r>
    </w:p>
    <w:p>
      <w:pPr>
        <w:rPr>
          <w:rFonts w:ascii="宋体" w:hAnsi="宋体"/>
          <w:b/>
          <w:bCs/>
          <w:color w:val="auto"/>
          <w:sz w:val="24"/>
          <w:highlight w:val="none"/>
        </w:rPr>
      </w:pPr>
    </w:p>
    <w:p>
      <w:pPr>
        <w:jc w:val="center"/>
        <w:rPr>
          <w:rFonts w:hint="eastAsia" w:ascii="宋体" w:hAnsi="宋体"/>
          <w:b/>
          <w:bCs/>
          <w:color w:val="auto"/>
          <w:sz w:val="24"/>
          <w:highlight w:val="none"/>
          <w:u w:val="single"/>
        </w:rPr>
      </w:pPr>
      <w:r>
        <w:rPr>
          <w:rFonts w:ascii="宋体" w:hAnsi="宋体"/>
          <w:b/>
          <w:bCs/>
          <w:color w:val="auto"/>
          <w:sz w:val="24"/>
          <w:highlight w:val="none"/>
        </w:rPr>
        <w:br w:type="page"/>
      </w:r>
    </w:p>
    <w:p>
      <w:pPr>
        <w:rPr>
          <w:rFonts w:hint="eastAsia"/>
          <w:b/>
          <w:color w:val="auto"/>
          <w:sz w:val="28"/>
          <w:szCs w:val="28"/>
          <w:highlight w:val="none"/>
        </w:rPr>
      </w:pPr>
      <w:bookmarkStart w:id="152" w:name="_Toc19686837"/>
      <w:r>
        <w:rPr>
          <w:rFonts w:hint="eastAsia"/>
          <w:b/>
          <w:color w:val="auto"/>
          <w:sz w:val="28"/>
          <w:szCs w:val="28"/>
          <w:highlight w:val="none"/>
        </w:rPr>
        <w:t>三、资格证明文件格式</w:t>
      </w:r>
      <w:bookmarkEnd w:id="150"/>
      <w:bookmarkEnd w:id="151"/>
      <w:bookmarkEnd w:id="152"/>
    </w:p>
    <w:p>
      <w:pPr>
        <w:numPr>
          <w:ilvl w:val="2"/>
          <w:numId w:val="7"/>
        </w:numPr>
        <w:snapToGrid w:val="0"/>
        <w:spacing w:before="120" w:beforeLines="5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 xml:space="preserve"> </w:t>
      </w:r>
    </w:p>
    <w:p>
      <w:pPr>
        <w:pStyle w:val="7"/>
        <w:snapToGrid w:val="0"/>
        <w:spacing w:before="50" w:after="50"/>
        <w:ind w:firstLine="540" w:firstLineChars="225"/>
        <w:rPr>
          <w:rFonts w:hint="eastAsia" w:ascii="宋体" w:hAnsi="宋体"/>
          <w:bCs/>
          <w:color w:val="auto"/>
          <w:sz w:val="24"/>
          <w:szCs w:val="24"/>
          <w:highlight w:val="none"/>
        </w:rPr>
      </w:pPr>
    </w:p>
    <w:p>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hint="eastAsia" w:ascii="宋体" w:hAnsi="宋体"/>
          <w:bCs/>
          <w:color w:val="auto"/>
          <w:sz w:val="24"/>
          <w:szCs w:val="24"/>
          <w:highlight w:val="none"/>
        </w:rPr>
      </w:pPr>
    </w:p>
    <w:p>
      <w:pPr>
        <w:pStyle w:val="7"/>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hint="eastAsia" w:ascii="宋体" w:hAnsi="宋体"/>
          <w:color w:val="auto"/>
          <w:sz w:val="24"/>
          <w:szCs w:val="20"/>
          <w:highlight w:val="none"/>
        </w:rPr>
      </w:pPr>
    </w:p>
    <w:p>
      <w:pPr>
        <w:numPr>
          <w:ilvl w:val="2"/>
          <w:numId w:val="7"/>
        </w:numPr>
        <w:snapToGrid w:val="0"/>
        <w:spacing w:before="120" w:beforeLines="50" w:after="50" w:line="360" w:lineRule="auto"/>
        <w:ind w:left="0" w:firstLine="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numPr>
          <w:ilvl w:val="2"/>
          <w:numId w:val="7"/>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投标人直接控股、管理关系信息表（如有）</w:t>
      </w:r>
    </w:p>
    <w:p>
      <w:pPr>
        <w:snapToGrid w:val="0"/>
        <w:spacing w:before="50" w:after="120" w:afterLines="50"/>
        <w:jc w:val="center"/>
        <w:rPr>
          <w:rFonts w:hint="eastAsia" w:ascii="宋体" w:hAnsi="宋体"/>
          <w:b/>
          <w:color w:val="auto"/>
          <w:sz w:val="28"/>
          <w:szCs w:val="28"/>
          <w:highlight w:val="none"/>
        </w:rPr>
      </w:pPr>
    </w:p>
    <w:p>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0"/>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line="360" w:lineRule="auto"/>
        <w:ind w:right="480" w:firstLine="3967" w:firstLineChars="1653"/>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hint="eastAsia"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hint="eastAsia" w:ascii="宋体" w:hAnsi="宋体"/>
          <w:b/>
          <w:color w:val="auto"/>
          <w:sz w:val="28"/>
          <w:szCs w:val="28"/>
          <w:highlight w:val="none"/>
        </w:rPr>
      </w:pPr>
      <w:r>
        <w:rPr>
          <w:rFonts w:hint="eastAsia" w:ascii="宋体" w:hAnsi="宋体"/>
          <w:color w:val="auto"/>
          <w:sz w:val="24"/>
          <w:highlight w:val="none"/>
        </w:rPr>
        <w:t>年    月    日</w:t>
      </w:r>
      <w:r>
        <w:rPr>
          <w:rFonts w:ascii="宋体" w:hAnsi="宋体"/>
          <w:b/>
          <w:color w:val="auto"/>
          <w:sz w:val="28"/>
          <w:szCs w:val="28"/>
          <w:highlight w:val="none"/>
        </w:rPr>
        <w:br w:type="page"/>
      </w:r>
    </w:p>
    <w:p>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投标人直接管理关系信息表（如有）</w:t>
      </w:r>
    </w:p>
    <w:tbl>
      <w:tblPr>
        <w:tblStyle w:val="20"/>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line="360" w:lineRule="auto"/>
        <w:ind w:right="480" w:firstLine="3967" w:firstLineChars="1653"/>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240" w:firstLineChars="100"/>
        <w:jc w:val="right"/>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50" w:after="120" w:afterLines="50"/>
        <w:jc w:val="left"/>
        <w:rPr>
          <w:rFonts w:hint="eastAsia" w:ascii="宋体" w:hAnsi="宋体"/>
          <w:color w:val="auto"/>
          <w:szCs w:val="21"/>
          <w:highlight w:val="none"/>
        </w:rPr>
      </w:pPr>
    </w:p>
    <w:p>
      <w:pPr>
        <w:snapToGrid w:val="0"/>
        <w:spacing w:before="120" w:beforeLines="50" w:after="50"/>
        <w:jc w:val="left"/>
        <w:rPr>
          <w:rFonts w:hint="eastAsia" w:ascii="宋体" w:hAnsi="宋体"/>
          <w:b/>
          <w:color w:val="auto"/>
          <w:sz w:val="24"/>
          <w:szCs w:val="20"/>
          <w:highlight w:val="none"/>
        </w:rPr>
      </w:pPr>
    </w:p>
    <w:p>
      <w:pPr>
        <w:numPr>
          <w:ilvl w:val="2"/>
          <w:numId w:val="7"/>
        </w:numPr>
        <w:snapToGrid w:val="0"/>
        <w:spacing w:before="120" w:beforeLines="50" w:after="50"/>
        <w:ind w:left="0" w:firstLine="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w:t>
      </w:r>
    </w:p>
    <w:p>
      <w:pPr>
        <w:snapToGrid w:val="0"/>
        <w:spacing w:before="50" w:after="120" w:afterLines="50"/>
        <w:jc w:val="left"/>
        <w:rPr>
          <w:rFonts w:hint="eastAsia" w:ascii="宋体" w:hAnsi="宋体"/>
          <w:color w:val="auto"/>
          <w:highlight w:val="none"/>
        </w:rPr>
      </w:pPr>
    </w:p>
    <w:p>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pPr>
        <w:spacing w:line="360" w:lineRule="auto"/>
        <w:contextualSpacing/>
        <w:rPr>
          <w:rFonts w:hint="eastAsia" w:ascii="宋体" w:hAnsi="宋体"/>
          <w:b/>
          <w:color w:val="auto"/>
          <w:sz w:val="28"/>
          <w:szCs w:val="28"/>
          <w:highlight w:val="none"/>
        </w:rPr>
      </w:pPr>
    </w:p>
    <w:p>
      <w:pPr>
        <w:spacing w:line="400" w:lineRule="exact"/>
        <w:contextualSpacing/>
        <w:jc w:val="left"/>
        <w:rPr>
          <w:rFonts w:hint="eastAsia"/>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法定代表人（签字或盖章）：</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400" w:lineRule="exact"/>
        <w:contextualSpacing/>
        <w:jc w:val="left"/>
        <w:rPr>
          <w:rFonts w:hint="eastAsia" w:ascii="宋体" w:hAnsi="宋体"/>
          <w:color w:val="auto"/>
          <w:sz w:val="24"/>
          <w:highlight w:val="none"/>
        </w:rPr>
      </w:pPr>
    </w:p>
    <w:p>
      <w:pPr>
        <w:rPr>
          <w:rFonts w:hint="eastAsia"/>
          <w:b/>
          <w:color w:val="auto"/>
          <w:sz w:val="28"/>
          <w:szCs w:val="28"/>
          <w:highlight w:val="none"/>
        </w:rPr>
      </w:pPr>
      <w:bookmarkStart w:id="153" w:name="_Toc19686838"/>
      <w:r>
        <w:rPr>
          <w:b/>
          <w:color w:val="auto"/>
          <w:sz w:val="28"/>
          <w:szCs w:val="28"/>
          <w:highlight w:val="none"/>
        </w:rPr>
        <w:br w:type="page"/>
      </w:r>
      <w:r>
        <w:rPr>
          <w:rFonts w:hint="eastAsia"/>
          <w:b/>
          <w:color w:val="auto"/>
          <w:sz w:val="28"/>
          <w:szCs w:val="28"/>
          <w:highlight w:val="none"/>
        </w:rPr>
        <w:t>四、商务文件格式</w:t>
      </w:r>
      <w:bookmarkEnd w:id="153"/>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hint="eastAsia" w:ascii="宋体" w:hAnsi="宋体"/>
          <w:bCs/>
          <w:color w:val="auto"/>
          <w:sz w:val="24"/>
          <w:szCs w:val="24"/>
          <w:highlight w:val="none"/>
        </w:rPr>
      </w:pPr>
    </w:p>
    <w:p>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pPr>
        <w:pStyle w:val="7"/>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2.商务文件目录</w:t>
      </w:r>
    </w:p>
    <w:p>
      <w:pPr>
        <w:snapToGrid w:val="0"/>
        <w:spacing w:before="50" w:after="120" w:afterLines="50" w:line="360" w:lineRule="auto"/>
        <w:jc w:val="left"/>
        <w:rPr>
          <w:rFonts w:ascii="微软雅黑" w:hAnsi="微软雅黑" w:eastAsia="微软雅黑"/>
          <w:b/>
          <w:bCs/>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hint="eastAsia" w:ascii="宋体" w:hAnsi="宋体"/>
          <w:b/>
          <w:color w:val="auto"/>
          <w:sz w:val="24"/>
          <w:highlight w:val="none"/>
        </w:rPr>
      </w:pPr>
    </w:p>
    <w:p>
      <w:pPr>
        <w:snapToGrid w:val="0"/>
        <w:spacing w:before="120" w:beforeLines="50" w:after="50"/>
        <w:ind w:left="420"/>
        <w:jc w:val="center"/>
        <w:rPr>
          <w:rFonts w:hint="eastAsia" w:ascii="宋体" w:hAnsi="宋体"/>
          <w:b/>
          <w:color w:val="auto"/>
          <w:spacing w:val="-17"/>
          <w:sz w:val="32"/>
          <w:szCs w:val="32"/>
          <w:highlight w:val="none"/>
        </w:rPr>
      </w:pPr>
      <w:r>
        <w:rPr>
          <w:rFonts w:hint="eastAsia" w:ascii="方正小标宋简体" w:hAnsi="方正小标宋简体" w:eastAsia="方正小标宋简体" w:cs="方正小标宋简体"/>
          <w:bCs/>
          <w:color w:val="auto"/>
          <w:spacing w:val="-17"/>
          <w:sz w:val="44"/>
          <w:szCs w:val="44"/>
          <w:highlight w:val="none"/>
        </w:rPr>
        <w:t>投标人参加本项目无围标串标行为的承诺函</w:t>
      </w:r>
    </w:p>
    <w:p>
      <w:pPr>
        <w:snapToGrid w:val="0"/>
        <w:spacing w:before="120" w:beforeLines="50" w:after="50"/>
        <w:rPr>
          <w:rFonts w:ascii="宋体" w:hAnsi="宋体"/>
          <w:b/>
          <w:color w:val="auto"/>
          <w:sz w:val="24"/>
          <w:highlight w:val="none"/>
        </w:rPr>
      </w:pPr>
    </w:p>
    <w:p>
      <w:pPr>
        <w:spacing w:line="40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 xml:space="preserve">1.不同投标人的投标文件由同一单位或者个人编制； </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1.投标人直接或者间接从采购人或者采购代理机构处获得其他投标人的相关信息并修改其投标文件或者投标文件；</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2.投标人按照采购人或者采购代理机构的授意撤换、修改投标文件或者投标文件；</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3.投标人之间协商报价、技术方案等投标文件或者投标文件的实质性内容；</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0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13"/>
        <w:spacing w:line="400" w:lineRule="exact"/>
        <w:ind w:firstLine="6840" w:firstLineChars="2850"/>
        <w:contextualSpacing/>
        <w:rPr>
          <w:rFonts w:hint="eastAsia" w:hAnsi="宋体"/>
          <w:color w:val="auto"/>
          <w:sz w:val="24"/>
          <w:szCs w:val="24"/>
          <w:highlight w:val="none"/>
        </w:rPr>
      </w:pPr>
    </w:p>
    <w:p>
      <w:pPr>
        <w:pStyle w:val="13"/>
        <w:spacing w:line="40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pPr>
        <w:pStyle w:val="13"/>
        <w:spacing w:line="40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ind w:firstLine="472" w:firstLineChars="196"/>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投标人名称（公章）</w:t>
      </w:r>
    </w:p>
    <w:p>
      <w:pPr>
        <w:spacing w:line="500" w:lineRule="exact"/>
        <w:ind w:left="540"/>
        <w:jc w:val="right"/>
        <w:rPr>
          <w:rFonts w:hint="eastAsia" w:ascii="宋体" w:hAnsi="宋体"/>
          <w:color w:val="auto"/>
          <w:sz w:val="24"/>
          <w:highlight w:val="none"/>
        </w:rPr>
      </w:pPr>
    </w:p>
    <w:p>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hint="eastAsia" w:ascii="宋体" w:hAnsi="宋体"/>
          <w:b/>
          <w:color w:val="auto"/>
          <w:sz w:val="44"/>
          <w:szCs w:val="44"/>
          <w:highlight w:val="none"/>
        </w:rPr>
      </w:pPr>
    </w:p>
    <w:p>
      <w:pPr>
        <w:spacing w:line="440" w:lineRule="exact"/>
        <w:jc w:val="center"/>
        <w:outlineLvl w:val="1"/>
        <w:rPr>
          <w:rFonts w:hint="eastAsia" w:ascii="宋体" w:hAnsi="宋体" w:cs="宋体"/>
          <w:color w:val="auto"/>
          <w:highlight w:val="none"/>
        </w:rPr>
      </w:pPr>
      <w:bookmarkStart w:id="154" w:name="_Toc5597"/>
      <w:r>
        <w:rPr>
          <w:rFonts w:hint="eastAsia" w:ascii="宋体" w:hAnsi="宋体" w:cs="宋体"/>
          <w:b/>
          <w:bCs/>
          <w:color w:val="auto"/>
          <w:sz w:val="24"/>
          <w:highlight w:val="none"/>
        </w:rPr>
        <w:t>法定代表人授权委托书（格式）</w:t>
      </w:r>
      <w:bookmarkEnd w:id="154"/>
    </w:p>
    <w:p>
      <w:pPr>
        <w:snapToGrid w:val="0"/>
        <w:spacing w:before="50" w:after="120" w:afterLines="50" w:line="360" w:lineRule="auto"/>
        <w:jc w:val="center"/>
        <w:rPr>
          <w:rFonts w:hint="eastAsia" w:ascii="宋体" w:hAnsi="宋体" w:cs="宋体"/>
          <w:color w:val="auto"/>
          <w:szCs w:val="21"/>
          <w:highlight w:val="none"/>
        </w:rPr>
      </w:pPr>
    </w:p>
    <w:p>
      <w:pPr>
        <w:snapToGrid w:val="0"/>
        <w:spacing w:before="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本授权书声明：我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）法定代表人，现授权</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 xml:space="preserve">为我公司代理人，以本公司名义参加 </w:t>
      </w:r>
      <w:r>
        <w:rPr>
          <w:rFonts w:hint="eastAsia" w:ascii="宋体" w:hAnsi="宋体" w:cs="宋体"/>
          <w:color w:val="auto"/>
          <w:szCs w:val="21"/>
          <w:highlight w:val="none"/>
          <w:u w:val="single"/>
        </w:rPr>
        <w:t xml:space="preserve">      （招标人）</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的投标活动，并代表我方全权办理针对上述项目的所有采购程序和环节的具体事务和签署相关文件。</w:t>
      </w:r>
    </w:p>
    <w:p>
      <w:pPr>
        <w:snapToGrid w:val="0"/>
        <w:spacing w:before="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pPr>
        <w:snapToGrid w:val="0"/>
        <w:spacing w:before="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snapToGrid w:val="0"/>
        <w:spacing w:before="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委托代理人无转委托权，特此委托。</w:t>
      </w:r>
    </w:p>
    <w:p>
      <w:pPr>
        <w:snapToGrid w:val="0"/>
        <w:spacing w:before="50" w:line="360" w:lineRule="auto"/>
        <w:ind w:firstLine="420" w:firstLineChars="200"/>
        <w:jc w:val="left"/>
        <w:rPr>
          <w:rFonts w:hint="eastAsia" w:ascii="宋体" w:hAnsi="宋体" w:cs="宋体"/>
          <w:color w:val="auto"/>
          <w:szCs w:val="21"/>
          <w:highlight w:val="none"/>
        </w:rPr>
      </w:pPr>
    </w:p>
    <w:p>
      <w:pPr>
        <w:snapToGrid w:val="0"/>
        <w:spacing w:before="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附：委托代理人有效身份证正反面复印件</w:t>
      </w:r>
    </w:p>
    <w:p>
      <w:pPr>
        <w:snapToGrid w:val="0"/>
        <w:spacing w:before="50" w:line="360" w:lineRule="auto"/>
        <w:ind w:firstLine="420" w:firstLineChars="200"/>
        <w:jc w:val="left"/>
        <w:rPr>
          <w:rFonts w:hint="eastAsia" w:ascii="宋体" w:hAnsi="宋体" w:cs="宋体"/>
          <w:color w:val="auto"/>
          <w:szCs w:val="21"/>
          <w:highlight w:val="none"/>
        </w:rPr>
      </w:pPr>
    </w:p>
    <w:p>
      <w:pPr>
        <w:snapToGrid w:val="0"/>
        <w:spacing w:before="50" w:after="120" w:afterLines="50" w:line="360" w:lineRule="auto"/>
        <w:jc w:val="left"/>
        <w:rPr>
          <w:rFonts w:hint="eastAsia" w:ascii="宋体" w:hAnsi="宋体" w:cs="宋体"/>
          <w:color w:val="auto"/>
          <w:szCs w:val="21"/>
          <w:highlight w:val="none"/>
        </w:rPr>
      </w:pPr>
    </w:p>
    <w:p>
      <w:pPr>
        <w:snapToGrid w:val="0"/>
        <w:spacing w:before="50" w:after="120" w:afterLines="50" w:line="360" w:lineRule="auto"/>
        <w:ind w:firstLine="4200" w:firstLineChars="2000"/>
        <w:jc w:val="left"/>
        <w:rPr>
          <w:rFonts w:hint="eastAsia" w:ascii="宋体" w:hAnsi="宋体" w:cs="宋体"/>
          <w:color w:val="auto"/>
          <w:szCs w:val="21"/>
          <w:highlight w:val="none"/>
        </w:rPr>
      </w:pPr>
      <w:r>
        <w:rPr>
          <w:rFonts w:hint="eastAsia" w:ascii="宋体" w:hAnsi="宋体" w:cs="宋体"/>
          <w:color w:val="auto"/>
          <w:szCs w:val="21"/>
          <w:highlight w:val="none"/>
        </w:rPr>
        <w:t>代理人（签字）：</w:t>
      </w:r>
    </w:p>
    <w:p>
      <w:pPr>
        <w:snapToGrid w:val="0"/>
        <w:spacing w:before="50" w:after="120" w:afterLines="50" w:line="360" w:lineRule="auto"/>
        <w:ind w:firstLine="4200" w:firstLineChars="2000"/>
        <w:jc w:val="left"/>
        <w:rPr>
          <w:rFonts w:hint="eastAsia" w:ascii="宋体" w:hAnsi="宋体" w:cs="宋体"/>
          <w:color w:val="auto"/>
          <w:szCs w:val="21"/>
          <w:highlight w:val="none"/>
        </w:rPr>
      </w:pPr>
      <w:r>
        <w:rPr>
          <w:rFonts w:hint="eastAsia" w:ascii="宋体" w:hAnsi="宋体" w:cs="宋体"/>
          <w:color w:val="auto"/>
          <w:szCs w:val="21"/>
          <w:highlight w:val="none"/>
        </w:rPr>
        <w:t>投标人（盖公章）：</w:t>
      </w:r>
    </w:p>
    <w:p>
      <w:pPr>
        <w:snapToGrid w:val="0"/>
        <w:spacing w:before="50" w:after="120" w:afterLines="50" w:line="360" w:lineRule="auto"/>
        <w:ind w:firstLine="4200" w:firstLineChars="2000"/>
        <w:jc w:val="left"/>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pPr>
        <w:snapToGrid w:val="0"/>
        <w:spacing w:before="50" w:after="120" w:afterLines="50" w:line="360" w:lineRule="auto"/>
        <w:ind w:firstLine="4200" w:firstLineChars="20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contextualSpacing/>
        <w:rPr>
          <w:rFonts w:hint="eastAsia" w:ascii="宋体" w:hAnsi="宋体"/>
          <w:color w:val="auto"/>
          <w:sz w:val="24"/>
          <w:highlight w:val="none"/>
        </w:rPr>
      </w:pPr>
    </w:p>
    <w:p>
      <w:pPr>
        <w:spacing w:line="360" w:lineRule="auto"/>
        <w:contextualSpacing/>
        <w:rPr>
          <w:rFonts w:hint="eastAsia" w:ascii="宋体" w:hAnsi="宋体" w:cs="仿宋_GB2312"/>
          <w:color w:val="auto"/>
          <w:spacing w:val="-17"/>
          <w:sz w:val="24"/>
          <w:highlight w:val="none"/>
        </w:rPr>
      </w:pPr>
      <w:r>
        <w:rPr>
          <w:rFonts w:hint="eastAsia" w:ascii="宋体" w:hAnsi="宋体" w:cs="仿宋_GB2312"/>
          <w:color w:val="auto"/>
          <w:spacing w:val="-17"/>
          <w:sz w:val="24"/>
          <w:highlight w:val="none"/>
        </w:rPr>
        <w:t>注：1.</w:t>
      </w:r>
      <w:bookmarkStart w:id="155" w:name="_Hlk65851555"/>
      <w:r>
        <w:rPr>
          <w:rFonts w:hint="eastAsia" w:ascii="宋体" w:hAnsi="宋体" w:cs="仿宋_GB2312"/>
          <w:color w:val="auto"/>
          <w:spacing w:val="-17"/>
          <w:sz w:val="24"/>
          <w:highlight w:val="none"/>
        </w:rPr>
        <w:t xml:space="preserve"> </w:t>
      </w:r>
      <w:bookmarkStart w:id="156" w:name="_Hlk65852380"/>
      <w:r>
        <w:rPr>
          <w:rFonts w:hint="eastAsia" w:ascii="宋体" w:hAnsi="宋体" w:cs="仿宋_GB2312"/>
          <w:color w:val="auto"/>
          <w:spacing w:val="-17"/>
          <w:sz w:val="24"/>
          <w:highlight w:val="none"/>
        </w:rPr>
        <w:t>法定代表人必须在授权委托书上亲笔签字或盖章，</w:t>
      </w:r>
      <w:bookmarkEnd w:id="155"/>
      <w:r>
        <w:rPr>
          <w:rFonts w:hint="eastAsia" w:ascii="宋体" w:hAnsi="宋体" w:cs="仿宋_GB2312"/>
          <w:color w:val="auto"/>
          <w:spacing w:val="-17"/>
          <w:sz w:val="24"/>
          <w:highlight w:val="none"/>
        </w:rPr>
        <w:t>委托代理人必须在授权委托书上亲笔签字，</w:t>
      </w:r>
      <w:r>
        <w:rPr>
          <w:rFonts w:hint="eastAsia" w:ascii="宋体" w:hAnsi="宋体" w:cs="仿宋_GB2312"/>
          <w:b/>
          <w:bCs/>
          <w:color w:val="auto"/>
          <w:spacing w:val="-17"/>
          <w:sz w:val="24"/>
          <w:highlight w:val="none"/>
        </w:rPr>
        <w:t>否则按无效投标处理</w:t>
      </w:r>
      <w:r>
        <w:rPr>
          <w:rFonts w:hint="eastAsia" w:ascii="宋体" w:hAnsi="宋体" w:cs="仿宋_GB2312"/>
          <w:color w:val="auto"/>
          <w:spacing w:val="-17"/>
          <w:sz w:val="24"/>
          <w:highlight w:val="none"/>
        </w:rPr>
        <w:t>；</w:t>
      </w:r>
      <w:bookmarkEnd w:id="156"/>
    </w:p>
    <w:p>
      <w:pPr>
        <w:spacing w:line="360" w:lineRule="auto"/>
        <w:ind w:firstLine="412" w:firstLineChars="200"/>
        <w:contextualSpacing/>
        <w:jc w:val="left"/>
        <w:rPr>
          <w:rFonts w:ascii="宋体" w:hAnsi="宋体" w:cs="仿宋_GB2312"/>
          <w:color w:val="auto"/>
          <w:spacing w:val="-17"/>
          <w:sz w:val="24"/>
          <w:highlight w:val="none"/>
        </w:rPr>
      </w:pPr>
      <w:r>
        <w:rPr>
          <w:rFonts w:hint="eastAsia" w:ascii="宋体" w:hAnsi="宋体" w:cs="仿宋_GB2312"/>
          <w:color w:val="auto"/>
          <w:spacing w:val="-17"/>
          <w:sz w:val="24"/>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12" w:firstLineChars="200"/>
        <w:contextualSpacing/>
        <w:jc w:val="left"/>
        <w:rPr>
          <w:rFonts w:hint="eastAsia" w:ascii="宋体" w:hAnsi="宋体" w:cs="仿宋_GB2312"/>
          <w:color w:val="auto"/>
          <w:spacing w:val="-17"/>
          <w:sz w:val="24"/>
          <w:highlight w:val="none"/>
        </w:rPr>
      </w:pPr>
      <w:bookmarkStart w:id="157" w:name="_Hlk65852305"/>
      <w:r>
        <w:rPr>
          <w:rFonts w:ascii="宋体" w:hAnsi="宋体" w:cs="仿宋_GB2312"/>
          <w:color w:val="auto"/>
          <w:spacing w:val="-17"/>
          <w:sz w:val="24"/>
          <w:highlight w:val="none"/>
        </w:rPr>
        <w:t>3.</w:t>
      </w:r>
      <w:r>
        <w:rPr>
          <w:rFonts w:hint="eastAsia" w:ascii="宋体" w:hAnsi="宋体" w:cs="仿宋_GB2312"/>
          <w:color w:val="auto"/>
          <w:spacing w:val="-17"/>
          <w:sz w:val="24"/>
          <w:highlight w:val="none"/>
        </w:rPr>
        <w:t>法人、其他组织投标时“我方”是指“我单位”，自然人投标时“我方”是指“本人”。</w:t>
      </w:r>
    </w:p>
    <w:p>
      <w:pPr>
        <w:pStyle w:val="7"/>
        <w:overflowPunct w:val="0"/>
        <w:spacing w:line="520" w:lineRule="exact"/>
        <w:jc w:val="center"/>
        <w:rPr>
          <w:rFonts w:hint="eastAsia" w:ascii="仿宋_GB2312" w:hAnsi="仿宋_GB2312" w:eastAsia="仿宋_GB2312" w:cs="仿宋_GB2312"/>
          <w:b/>
          <w:color w:val="auto"/>
          <w:sz w:val="32"/>
          <w:szCs w:val="32"/>
          <w:highlight w:val="none"/>
        </w:rPr>
      </w:pPr>
      <w:r>
        <w:rPr>
          <w:rFonts w:hint="eastAsia" w:ascii="宋体" w:hAnsi="宋体" w:cs="仿宋_GB2312"/>
          <w:color w:val="auto"/>
          <w:spacing w:val="-17"/>
          <w:sz w:val="24"/>
          <w:highlight w:val="none"/>
        </w:rPr>
        <w:br w:type="page"/>
      </w:r>
      <w:r>
        <w:rPr>
          <w:rFonts w:hint="eastAsia" w:ascii="方正小标宋简体" w:hAnsi="方正小标宋简体" w:eastAsia="方正小标宋简体" w:cs="方正小标宋简体"/>
          <w:bCs/>
          <w:color w:val="auto"/>
          <w:sz w:val="32"/>
          <w:szCs w:val="32"/>
          <w:highlight w:val="none"/>
        </w:rPr>
        <w:t>联合体法定代表人授权委托书（格式）</w:t>
      </w:r>
    </w:p>
    <w:p>
      <w:pPr>
        <w:pStyle w:val="7"/>
        <w:overflowPunct w:val="0"/>
        <w:spacing w:line="520" w:lineRule="exact"/>
        <w:rPr>
          <w:rFonts w:hint="eastAsia" w:ascii="仿宋_GB2312" w:hAnsi="仿宋_GB2312" w:eastAsia="仿宋_GB2312" w:cs="仿宋_GB2312"/>
          <w:color w:val="auto"/>
          <w:sz w:val="32"/>
          <w:szCs w:val="32"/>
          <w:highlight w:val="none"/>
        </w:rPr>
      </w:pPr>
    </w:p>
    <w:p>
      <w:pPr>
        <w:spacing w:line="52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本授权委托书声明：根据</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（牵头人名称）与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（联合体其他成员名称）签订的《联合体投标协议书》的内容，</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（牵头人名称）的法定代表人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（单位负责人）（姓名）现授权</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（姓名） 为联合委托代理人，并代表我方全权办理针对上述项目的所有采购程序和环节的具体事务和签署相关文件。</w:t>
      </w:r>
    </w:p>
    <w:p>
      <w:pPr>
        <w:spacing w:line="52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我方对委托代理人的签字事项负全部责任。</w:t>
      </w:r>
    </w:p>
    <w:p>
      <w:pPr>
        <w:spacing w:line="52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本授权书自签署之日起生效，在撤销授权的书面通知以前，本授权书一直有效。委托代理人在授权书有效期内签署的所有文件不因授权的撤销而失效。</w:t>
      </w:r>
    </w:p>
    <w:p>
      <w:pPr>
        <w:spacing w:line="52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委托代理人无转委托权，特此委托。</w:t>
      </w:r>
    </w:p>
    <w:p>
      <w:pPr>
        <w:snapToGrid w:val="0"/>
        <w:spacing w:before="50" w:after="120" w:afterLines="50" w:line="360" w:lineRule="auto"/>
        <w:jc w:val="left"/>
        <w:rPr>
          <w:rFonts w:hint="eastAsia" w:ascii="宋体" w:hAnsi="宋体" w:cs="宋体"/>
          <w:color w:val="auto"/>
          <w:szCs w:val="21"/>
          <w:highlight w:val="none"/>
        </w:rPr>
      </w:pPr>
    </w:p>
    <w:p>
      <w:pPr>
        <w:snapToGrid w:val="0"/>
        <w:spacing w:before="50" w:after="120" w:afterLines="50" w:line="360" w:lineRule="auto"/>
        <w:jc w:val="left"/>
        <w:rPr>
          <w:rFonts w:hint="eastAsia" w:ascii="宋体" w:hAnsi="宋体" w:cs="宋体"/>
          <w:color w:val="auto"/>
          <w:szCs w:val="21"/>
          <w:highlight w:val="none"/>
        </w:rPr>
      </w:pPr>
    </w:p>
    <w:p>
      <w:pPr>
        <w:snapToGrid w:val="0"/>
        <w:spacing w:before="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附：委托代理人有效身份证正反面复印件</w:t>
      </w:r>
    </w:p>
    <w:p>
      <w:pPr>
        <w:snapToGrid w:val="0"/>
        <w:spacing w:before="50" w:after="120" w:afterLines="50" w:line="360" w:lineRule="auto"/>
        <w:jc w:val="left"/>
        <w:rPr>
          <w:rFonts w:hint="eastAsia" w:ascii="宋体" w:hAnsi="宋体" w:cs="宋体"/>
          <w:color w:val="auto"/>
          <w:szCs w:val="21"/>
          <w:highlight w:val="none"/>
        </w:rPr>
      </w:pPr>
    </w:p>
    <w:p>
      <w:pPr>
        <w:rPr>
          <w:rFonts w:hint="eastAsia"/>
          <w:color w:val="auto"/>
          <w:highlight w:val="none"/>
        </w:rPr>
      </w:pPr>
    </w:p>
    <w:p>
      <w:pPr>
        <w:spacing w:line="520" w:lineRule="exact"/>
        <w:rPr>
          <w:rFonts w:hint="eastAsia" w:ascii="宋体" w:hAnsi="宋体" w:cs="仿宋_GB2312"/>
          <w:color w:val="auto"/>
          <w:szCs w:val="21"/>
          <w:highlight w:val="none"/>
        </w:rPr>
      </w:pPr>
      <w:r>
        <w:rPr>
          <w:rFonts w:hint="eastAsia" w:ascii="宋体" w:hAnsi="宋体" w:cs="仿宋_GB2312"/>
          <w:color w:val="auto"/>
          <w:szCs w:val="21"/>
          <w:highlight w:val="none"/>
        </w:rPr>
        <w:t>牵头人法定代表人（单位负责人）（签字或盖章）：</w:t>
      </w:r>
    </w:p>
    <w:p>
      <w:pPr>
        <w:spacing w:line="520" w:lineRule="exact"/>
        <w:rPr>
          <w:rFonts w:hint="eastAsia" w:ascii="宋体" w:hAnsi="宋体" w:cs="仿宋_GB2312"/>
          <w:color w:val="auto"/>
          <w:szCs w:val="21"/>
          <w:highlight w:val="none"/>
        </w:rPr>
      </w:pPr>
      <w:r>
        <w:rPr>
          <w:rFonts w:hint="eastAsia" w:ascii="宋体" w:hAnsi="宋体" w:cs="仿宋_GB2312"/>
          <w:color w:val="auto"/>
          <w:szCs w:val="21"/>
          <w:highlight w:val="none"/>
        </w:rPr>
        <w:t>牵头人（盖公章）：</w:t>
      </w:r>
    </w:p>
    <w:p>
      <w:pPr>
        <w:spacing w:line="520" w:lineRule="exact"/>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spacing w:line="520" w:lineRule="exact"/>
        <w:rPr>
          <w:rFonts w:hint="eastAsia" w:ascii="宋体" w:hAnsi="宋体" w:cs="仿宋_GB2312"/>
          <w:color w:val="auto"/>
          <w:szCs w:val="21"/>
          <w:highlight w:val="none"/>
        </w:rPr>
      </w:pPr>
    </w:p>
    <w:p>
      <w:pPr>
        <w:spacing w:line="520" w:lineRule="exact"/>
        <w:rPr>
          <w:rFonts w:hint="eastAsia" w:ascii="宋体" w:hAnsi="宋体" w:cs="仿宋_GB2312"/>
          <w:color w:val="auto"/>
          <w:szCs w:val="21"/>
          <w:highlight w:val="none"/>
        </w:rPr>
      </w:pPr>
      <w:r>
        <w:rPr>
          <w:rFonts w:hint="eastAsia" w:ascii="宋体" w:hAnsi="宋体" w:cs="仿宋_GB2312"/>
          <w:color w:val="auto"/>
          <w:szCs w:val="21"/>
          <w:highlight w:val="none"/>
        </w:rPr>
        <w:t>被授权人（签字）：</w:t>
      </w:r>
    </w:p>
    <w:p>
      <w:pPr>
        <w:spacing w:line="520" w:lineRule="exact"/>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rPr>
          <w:rFonts w:hint="eastAsia" w:ascii="宋体" w:hAnsi="宋体"/>
          <w:color w:val="auto"/>
          <w:highlight w:val="none"/>
        </w:rPr>
      </w:pPr>
    </w:p>
    <w:p>
      <w:pPr>
        <w:spacing w:line="360" w:lineRule="auto"/>
        <w:contextualSpacing/>
        <w:jc w:val="left"/>
        <w:rPr>
          <w:rFonts w:hint="eastAsia" w:ascii="宋体" w:hAnsi="宋体" w:cs="仿宋_GB2312"/>
          <w:color w:val="auto"/>
          <w:spacing w:val="-17"/>
          <w:sz w:val="24"/>
          <w:highlight w:val="none"/>
        </w:rPr>
      </w:pPr>
    </w:p>
    <w:bookmarkEnd w:id="157"/>
    <w:p>
      <w:pPr>
        <w:snapToGrid w:val="0"/>
        <w:spacing w:before="120" w:beforeLines="50" w:after="50"/>
        <w:ind w:firstLine="566" w:firstLineChars="236"/>
        <w:jc w:val="center"/>
        <w:rPr>
          <w:rFonts w:hint="eastAsia" w:ascii="宋体" w:hAnsi="宋体"/>
          <w:color w:val="auto"/>
          <w:sz w:val="24"/>
          <w:highlight w:val="none"/>
        </w:rPr>
      </w:pPr>
      <w:r>
        <w:rPr>
          <w:rFonts w:ascii="宋体" w:hAnsi="宋体"/>
          <w:color w:val="auto"/>
          <w:sz w:val="24"/>
          <w:highlight w:val="none"/>
        </w:rPr>
        <w:br w:type="page"/>
      </w:r>
    </w:p>
    <w:p>
      <w:pPr>
        <w:rPr>
          <w:rFonts w:hint="eastAsia" w:ascii="宋体" w:hAnsi="宋体"/>
          <w:b/>
          <w:color w:val="auto"/>
          <w:sz w:val="24"/>
          <w:szCs w:val="20"/>
          <w:highlight w:val="none"/>
        </w:rPr>
      </w:pPr>
      <w:r>
        <w:rPr>
          <w:rFonts w:hint="eastAsia" w:ascii="宋体" w:hAnsi="宋体"/>
          <w:b/>
          <w:color w:val="auto"/>
          <w:sz w:val="24"/>
          <w:highlight w:val="none"/>
        </w:rPr>
        <w:t>6.商务条款偏离表格式</w:t>
      </w:r>
    </w:p>
    <w:p>
      <w:pPr>
        <w:snapToGrid w:val="0"/>
        <w:spacing w:before="50"/>
        <w:jc w:val="left"/>
        <w:rPr>
          <w:rFonts w:hint="eastAsia" w:ascii="宋体" w:hAnsi="宋体"/>
          <w:color w:val="auto"/>
          <w:sz w:val="24"/>
          <w:highlight w:val="none"/>
        </w:rPr>
      </w:pPr>
    </w:p>
    <w:p>
      <w:pPr>
        <w:snapToGrid w:val="0"/>
        <w:spacing w:before="50"/>
        <w:jc w:val="left"/>
        <w:rPr>
          <w:rFonts w:hint="eastAsia" w:ascii="宋体" w:hAnsi="宋体"/>
          <w:color w:val="auto"/>
          <w:sz w:val="24"/>
          <w:highlight w:val="none"/>
          <w:u w:val="single"/>
        </w:rPr>
      </w:pPr>
    </w:p>
    <w:tbl>
      <w:tblPr>
        <w:tblStyle w:val="2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0"/>
        <w:gridCol w:w="2977"/>
        <w:gridCol w:w="2126"/>
        <w:gridCol w:w="1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招标文件商务条款要求</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实施时间（合同履行期限）</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服务地点</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实施时间：</w:t>
            </w:r>
          </w:p>
          <w:p>
            <w:pPr>
              <w:snapToGrid w:val="0"/>
              <w:spacing w:before="120" w:beforeLines="50"/>
              <w:jc w:val="center"/>
              <w:rPr>
                <w:rFonts w:hint="eastAsia"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服务地点：</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合同签订时间</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投标报价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付款方式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处理问题响应时间</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r>
    </w:tbl>
    <w:p>
      <w:pPr>
        <w:pStyle w:val="10"/>
        <w:rPr>
          <w:rFonts w:hint="eastAsia" w:ascii="宋体" w:hAnsi="宋体"/>
          <w:color w:val="auto"/>
          <w:highlight w:val="none"/>
        </w:rPr>
      </w:pPr>
      <w:r>
        <w:rPr>
          <w:rFonts w:hint="eastAsia" w:ascii="宋体" w:hAnsi="宋体"/>
          <w:color w:val="auto"/>
          <w:highlight w:val="none"/>
        </w:rPr>
        <w:t>注：</w:t>
      </w:r>
    </w:p>
    <w:p>
      <w:pPr>
        <w:pStyle w:val="12"/>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采购需求”中的“一、商务条款”逐条明确的响应，并作出偏离说明。</w:t>
      </w:r>
    </w:p>
    <w:p>
      <w:pPr>
        <w:pStyle w:val="10"/>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ascii="宋体" w:hAnsi="宋体"/>
          <w:color w:val="auto"/>
          <w:sz w:val="24"/>
          <w:highlight w:val="none"/>
        </w:rPr>
      </w:pPr>
    </w:p>
    <w:p>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after="50"/>
        <w:jc w:val="left"/>
        <w:rPr>
          <w:rFonts w:ascii="宋体" w:hAnsi="宋体"/>
          <w:color w:val="auto"/>
          <w:sz w:val="24"/>
          <w:szCs w:val="20"/>
          <w:highlight w:val="none"/>
        </w:rPr>
        <w:sectPr>
          <w:footerReference r:id="rId9" w:type="first"/>
          <w:headerReference r:id="rId6" w:type="default"/>
          <w:footerReference r:id="rId7" w:type="default"/>
          <w:footerReference r:id="rId8" w:type="even"/>
          <w:pgSz w:w="11910" w:h="16840"/>
          <w:pgMar w:top="1520" w:right="1503" w:bottom="278" w:left="1678" w:header="851" w:footer="992" w:gutter="0"/>
          <w:cols w:space="720" w:num="1"/>
          <w:docGrid w:linePitch="312" w:charSpace="0"/>
        </w:sectPr>
      </w:pPr>
    </w:p>
    <w:p>
      <w:pPr>
        <w:spacing w:line="480" w:lineRule="auto"/>
        <w:ind w:firstLine="703" w:firstLineChars="250"/>
        <w:jc w:val="center"/>
        <w:rPr>
          <w:rFonts w:hint="eastAsia"/>
          <w:color w:val="auto"/>
          <w:sz w:val="28"/>
          <w:szCs w:val="28"/>
          <w:highlight w:val="none"/>
        </w:rPr>
      </w:pPr>
      <w:r>
        <w:rPr>
          <w:rFonts w:hint="eastAsia" w:cs="宋体"/>
          <w:b/>
          <w:bCs/>
          <w:color w:val="auto"/>
          <w:sz w:val="28"/>
          <w:szCs w:val="28"/>
          <w:highlight w:val="none"/>
        </w:rPr>
        <w:t>7、联合体投标协议书（格式）</w:t>
      </w:r>
    </w:p>
    <w:p>
      <w:pPr>
        <w:spacing w:line="394" w:lineRule="exact"/>
        <w:rPr>
          <w:color w:val="auto"/>
          <w:szCs w:val="21"/>
          <w:highlight w:val="none"/>
        </w:rPr>
      </w:pPr>
      <w:r>
        <w:rPr>
          <w:rFonts w:hint="eastAsia" w:cs="宋体"/>
          <w:color w:val="auto"/>
          <w:szCs w:val="21"/>
          <w:highlight w:val="none"/>
        </w:rPr>
        <w:t>牵头人名称：</w:t>
      </w:r>
      <w:r>
        <w:rPr>
          <w:color w:val="auto"/>
          <w:szCs w:val="21"/>
          <w:highlight w:val="none"/>
          <w:u w:val="single"/>
        </w:rPr>
        <w:t xml:space="preserve">                                                  </w:t>
      </w:r>
    </w:p>
    <w:p>
      <w:pPr>
        <w:spacing w:line="394" w:lineRule="exact"/>
        <w:rPr>
          <w:color w:val="auto"/>
          <w:szCs w:val="21"/>
          <w:highlight w:val="none"/>
        </w:rPr>
      </w:pPr>
      <w:r>
        <w:rPr>
          <w:rFonts w:hint="eastAsia" w:cs="宋体"/>
          <w:color w:val="auto"/>
          <w:szCs w:val="21"/>
          <w:highlight w:val="none"/>
        </w:rPr>
        <w:t>法定代表人：</w:t>
      </w:r>
      <w:r>
        <w:rPr>
          <w:color w:val="auto"/>
          <w:szCs w:val="21"/>
          <w:highlight w:val="none"/>
          <w:u w:val="single"/>
        </w:rPr>
        <w:t xml:space="preserve">                                                  </w:t>
      </w:r>
    </w:p>
    <w:p>
      <w:pPr>
        <w:spacing w:line="394" w:lineRule="exact"/>
        <w:rPr>
          <w:color w:val="auto"/>
          <w:szCs w:val="21"/>
          <w:highlight w:val="none"/>
        </w:rPr>
      </w:pPr>
      <w:r>
        <w:rPr>
          <w:rFonts w:hint="eastAsia" w:cs="宋体"/>
          <w:color w:val="auto"/>
          <w:szCs w:val="21"/>
          <w:highlight w:val="none"/>
        </w:rPr>
        <w:t>法定住所：</w:t>
      </w:r>
      <w:r>
        <w:rPr>
          <w:color w:val="auto"/>
          <w:szCs w:val="21"/>
          <w:highlight w:val="none"/>
          <w:u w:val="single"/>
        </w:rPr>
        <w:t xml:space="preserve">                                                    </w:t>
      </w:r>
    </w:p>
    <w:p>
      <w:pPr>
        <w:spacing w:line="394" w:lineRule="exact"/>
        <w:rPr>
          <w:color w:val="auto"/>
          <w:szCs w:val="21"/>
          <w:highlight w:val="none"/>
        </w:rPr>
      </w:pPr>
      <w:r>
        <w:rPr>
          <w:rFonts w:hint="eastAsia" w:cs="宋体"/>
          <w:color w:val="auto"/>
          <w:szCs w:val="21"/>
          <w:highlight w:val="none"/>
        </w:rPr>
        <w:t>成员二名称：</w:t>
      </w:r>
      <w:r>
        <w:rPr>
          <w:color w:val="auto"/>
          <w:szCs w:val="21"/>
          <w:highlight w:val="none"/>
          <w:u w:val="single"/>
        </w:rPr>
        <w:t xml:space="preserve">                                                  </w:t>
      </w:r>
    </w:p>
    <w:p>
      <w:pPr>
        <w:spacing w:line="394" w:lineRule="exact"/>
        <w:rPr>
          <w:color w:val="auto"/>
          <w:szCs w:val="21"/>
          <w:highlight w:val="none"/>
        </w:rPr>
      </w:pPr>
      <w:r>
        <w:rPr>
          <w:rFonts w:hint="eastAsia" w:cs="宋体"/>
          <w:color w:val="auto"/>
          <w:szCs w:val="21"/>
          <w:highlight w:val="none"/>
        </w:rPr>
        <w:t>法定代表人：</w:t>
      </w:r>
      <w:r>
        <w:rPr>
          <w:color w:val="auto"/>
          <w:szCs w:val="21"/>
          <w:highlight w:val="none"/>
          <w:u w:val="single"/>
        </w:rPr>
        <w:t xml:space="preserve">                                                  </w:t>
      </w:r>
    </w:p>
    <w:p>
      <w:pPr>
        <w:spacing w:line="394" w:lineRule="exact"/>
        <w:rPr>
          <w:color w:val="auto"/>
          <w:szCs w:val="21"/>
          <w:highlight w:val="none"/>
          <w:u w:val="single"/>
        </w:rPr>
      </w:pPr>
      <w:r>
        <w:rPr>
          <w:rFonts w:hint="eastAsia" w:cs="宋体"/>
          <w:color w:val="auto"/>
          <w:szCs w:val="21"/>
          <w:highlight w:val="none"/>
        </w:rPr>
        <w:t>法定住所：</w:t>
      </w:r>
      <w:r>
        <w:rPr>
          <w:color w:val="auto"/>
          <w:szCs w:val="21"/>
          <w:highlight w:val="none"/>
          <w:u w:val="single"/>
        </w:rPr>
        <w:t xml:space="preserve">                                                    </w:t>
      </w:r>
    </w:p>
    <w:p>
      <w:pPr>
        <w:spacing w:line="394" w:lineRule="exact"/>
        <w:rPr>
          <w:color w:val="auto"/>
          <w:szCs w:val="21"/>
          <w:highlight w:val="none"/>
        </w:rPr>
      </w:pPr>
      <w:r>
        <w:rPr>
          <w:color w:val="auto"/>
          <w:szCs w:val="21"/>
          <w:highlight w:val="none"/>
        </w:rPr>
        <w:t>……</w:t>
      </w:r>
    </w:p>
    <w:p>
      <w:pPr>
        <w:spacing w:line="400" w:lineRule="exact"/>
        <w:ind w:firstLine="420" w:firstLineChars="200"/>
        <w:rPr>
          <w:color w:val="auto"/>
          <w:szCs w:val="21"/>
          <w:highlight w:val="none"/>
        </w:rPr>
      </w:pPr>
      <w:r>
        <w:rPr>
          <w:rFonts w:hint="eastAsia" w:cs="宋体"/>
          <w:color w:val="auto"/>
          <w:szCs w:val="21"/>
          <w:highlight w:val="none"/>
        </w:rPr>
        <w:t>鉴于上述各成员单位经过友好协商，自愿组成</w:t>
      </w:r>
      <w:r>
        <w:rPr>
          <w:color w:val="auto"/>
          <w:szCs w:val="21"/>
          <w:highlight w:val="none"/>
          <w:u w:val="single"/>
        </w:rPr>
        <w:t xml:space="preserve">                          </w:t>
      </w:r>
      <w:r>
        <w:rPr>
          <w:rFonts w:hint="eastAsia" w:cs="宋体"/>
          <w:color w:val="auto"/>
          <w:szCs w:val="21"/>
          <w:highlight w:val="none"/>
        </w:rPr>
        <w:t>（联合体名称）联合体，共同参加</w:t>
      </w:r>
      <w:r>
        <w:rPr>
          <w:color w:val="auto"/>
          <w:szCs w:val="21"/>
          <w:highlight w:val="none"/>
          <w:u w:val="single"/>
        </w:rPr>
        <w:t xml:space="preserve">                                     </w:t>
      </w:r>
      <w:r>
        <w:rPr>
          <w:rFonts w:hint="eastAsia" w:cs="宋体"/>
          <w:color w:val="auto"/>
          <w:szCs w:val="21"/>
          <w:highlight w:val="none"/>
        </w:rPr>
        <w:t>（招标人名称）（以下简称招标人）</w:t>
      </w:r>
    </w:p>
    <w:p>
      <w:pPr>
        <w:spacing w:line="400" w:lineRule="exact"/>
        <w:rPr>
          <w:color w:val="auto"/>
          <w:szCs w:val="21"/>
          <w:highlight w:val="none"/>
        </w:rPr>
      </w:pPr>
      <w:r>
        <w:rPr>
          <w:color w:val="auto"/>
          <w:szCs w:val="21"/>
          <w:highlight w:val="none"/>
          <w:u w:val="single"/>
        </w:rPr>
        <w:t xml:space="preserve">                           </w:t>
      </w:r>
      <w:r>
        <w:rPr>
          <w:rFonts w:hint="eastAsia" w:cs="宋体"/>
          <w:color w:val="auto"/>
          <w:szCs w:val="21"/>
          <w:highlight w:val="none"/>
        </w:rPr>
        <w:t>（项目名称）（以下简称本项目）的项目投标并争取赢得本项目服务合同（以下简称合同）。现就联合体投标事宜订立如下协议：</w:t>
      </w:r>
    </w:p>
    <w:p>
      <w:pPr>
        <w:spacing w:line="400" w:lineRule="exact"/>
        <w:ind w:firstLine="420" w:firstLineChars="200"/>
        <w:rPr>
          <w:color w:val="auto"/>
          <w:szCs w:val="21"/>
          <w:highlight w:val="none"/>
        </w:rPr>
      </w:pPr>
      <w:r>
        <w:rPr>
          <w:color w:val="auto"/>
          <w:szCs w:val="21"/>
          <w:highlight w:val="none"/>
        </w:rPr>
        <w:t>1</w:t>
      </w:r>
      <w:r>
        <w:rPr>
          <w:rFonts w:hint="eastAsia" w:cs="宋体"/>
          <w:color w:val="auto"/>
          <w:szCs w:val="21"/>
          <w:highlight w:val="none"/>
        </w:rPr>
        <w:t>．</w:t>
      </w:r>
      <w:r>
        <w:rPr>
          <w:color w:val="auto"/>
          <w:szCs w:val="21"/>
          <w:highlight w:val="none"/>
          <w:u w:val="single"/>
        </w:rPr>
        <w:t xml:space="preserve">        </w:t>
      </w:r>
      <w:r>
        <w:rPr>
          <w:rFonts w:hint="eastAsia" w:cs="宋体"/>
          <w:color w:val="auto"/>
          <w:szCs w:val="21"/>
          <w:highlight w:val="none"/>
        </w:rPr>
        <w:t>（某成员单位名称）为</w:t>
      </w:r>
      <w:r>
        <w:rPr>
          <w:color w:val="auto"/>
          <w:szCs w:val="21"/>
          <w:highlight w:val="none"/>
          <w:u w:val="single"/>
        </w:rPr>
        <w:t xml:space="preserve">              </w:t>
      </w:r>
      <w:r>
        <w:rPr>
          <w:rFonts w:hint="eastAsia" w:cs="宋体"/>
          <w:color w:val="auto"/>
          <w:szCs w:val="21"/>
          <w:highlight w:val="none"/>
        </w:rPr>
        <w:t>（联合体名称）牵头人。</w:t>
      </w:r>
    </w:p>
    <w:p>
      <w:pPr>
        <w:spacing w:line="400" w:lineRule="exact"/>
        <w:ind w:firstLine="420" w:firstLineChars="200"/>
        <w:rPr>
          <w:color w:val="auto"/>
          <w:szCs w:val="21"/>
          <w:highlight w:val="none"/>
        </w:rPr>
      </w:pPr>
      <w:r>
        <w:rPr>
          <w:color w:val="auto"/>
          <w:szCs w:val="21"/>
          <w:highlight w:val="none"/>
        </w:rPr>
        <w:t>2</w:t>
      </w:r>
      <w:r>
        <w:rPr>
          <w:rFonts w:hint="eastAsia" w:cs="宋体"/>
          <w:color w:val="auto"/>
          <w:szCs w:val="21"/>
          <w:highlight w:val="none"/>
        </w:rPr>
        <w:t>．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spacing w:line="400" w:lineRule="exact"/>
        <w:ind w:firstLine="420" w:firstLineChars="200"/>
        <w:rPr>
          <w:color w:val="auto"/>
          <w:szCs w:val="21"/>
          <w:highlight w:val="none"/>
        </w:rPr>
      </w:pPr>
      <w:r>
        <w:rPr>
          <w:color w:val="auto"/>
          <w:szCs w:val="21"/>
          <w:highlight w:val="none"/>
        </w:rPr>
        <w:t>3</w:t>
      </w:r>
      <w:r>
        <w:rPr>
          <w:rFonts w:hint="eastAsia" w:cs="宋体"/>
          <w:color w:val="auto"/>
          <w:szCs w:val="21"/>
          <w:highlight w:val="none"/>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400" w:lineRule="exact"/>
        <w:ind w:firstLine="420" w:firstLineChars="200"/>
        <w:rPr>
          <w:rFonts w:hint="eastAsia" w:cs="宋体"/>
          <w:color w:val="auto"/>
          <w:szCs w:val="21"/>
          <w:highlight w:val="none"/>
        </w:rPr>
      </w:pPr>
      <w:r>
        <w:rPr>
          <w:color w:val="auto"/>
          <w:szCs w:val="21"/>
          <w:highlight w:val="none"/>
        </w:rPr>
        <w:t>4</w:t>
      </w:r>
      <w:r>
        <w:rPr>
          <w:rFonts w:hint="eastAsia" w:cs="宋体"/>
          <w:color w:val="auto"/>
          <w:szCs w:val="21"/>
          <w:highlight w:val="none"/>
        </w:rPr>
        <w:t>．联合体各成员单位内部的职责分工如下：</w:t>
      </w:r>
    </w:p>
    <w:p>
      <w:pPr>
        <w:spacing w:line="400" w:lineRule="exact"/>
        <w:ind w:firstLine="420" w:firstLineChars="200"/>
        <w:rPr>
          <w:rFonts w:hint="eastAsia" w:cs="宋体"/>
          <w:color w:val="auto"/>
          <w:szCs w:val="21"/>
          <w:highlight w:val="none"/>
        </w:rPr>
      </w:pPr>
      <w:r>
        <w:rPr>
          <w:color w:val="auto"/>
          <w:szCs w:val="21"/>
          <w:highlight w:val="none"/>
          <w:u w:val="single"/>
        </w:rPr>
        <w:t xml:space="preserve">                                    </w:t>
      </w:r>
      <w:r>
        <w:rPr>
          <w:rFonts w:hint="eastAsia" w:cs="宋体"/>
          <w:color w:val="auto"/>
          <w:szCs w:val="21"/>
          <w:highlight w:val="none"/>
        </w:rPr>
        <w:t>。</w:t>
      </w:r>
    </w:p>
    <w:p>
      <w:pPr>
        <w:spacing w:line="400" w:lineRule="exact"/>
        <w:ind w:firstLine="420" w:firstLineChars="200"/>
        <w:rPr>
          <w:rFonts w:hint="eastAsia" w:cs="宋体"/>
          <w:color w:val="auto"/>
          <w:szCs w:val="21"/>
          <w:highlight w:val="none"/>
        </w:rPr>
      </w:pPr>
      <w:r>
        <w:rPr>
          <w:rFonts w:hint="eastAsia" w:cs="宋体"/>
          <w:color w:val="auto"/>
          <w:szCs w:val="21"/>
          <w:highlight w:val="none"/>
        </w:rPr>
        <w:t>按照本条上述分工，联合体成员单位各自所承担的合同工作量比例如下：</w:t>
      </w:r>
    </w:p>
    <w:p>
      <w:pPr>
        <w:spacing w:line="400" w:lineRule="exact"/>
        <w:ind w:firstLine="420" w:firstLineChars="200"/>
        <w:rPr>
          <w:color w:val="auto"/>
          <w:szCs w:val="21"/>
          <w:highlight w:val="none"/>
        </w:rPr>
      </w:pPr>
      <w:r>
        <w:rPr>
          <w:color w:val="auto"/>
          <w:szCs w:val="21"/>
          <w:highlight w:val="none"/>
          <w:u w:val="single"/>
        </w:rPr>
        <w:t xml:space="preserve">               </w:t>
      </w:r>
      <w:r>
        <w:rPr>
          <w:rFonts w:hint="eastAsia" w:cs="宋体"/>
          <w:color w:val="auto"/>
          <w:szCs w:val="21"/>
          <w:highlight w:val="none"/>
        </w:rPr>
        <w:t>。</w:t>
      </w:r>
    </w:p>
    <w:p>
      <w:pPr>
        <w:spacing w:line="400" w:lineRule="exact"/>
        <w:ind w:firstLine="420" w:firstLineChars="200"/>
        <w:rPr>
          <w:color w:val="auto"/>
          <w:szCs w:val="21"/>
          <w:highlight w:val="none"/>
        </w:rPr>
      </w:pPr>
      <w:r>
        <w:rPr>
          <w:color w:val="auto"/>
          <w:szCs w:val="21"/>
          <w:highlight w:val="none"/>
        </w:rPr>
        <w:t>5</w:t>
      </w:r>
      <w:r>
        <w:rPr>
          <w:rFonts w:hint="eastAsia" w:cs="宋体"/>
          <w:color w:val="auto"/>
          <w:szCs w:val="21"/>
          <w:highlight w:val="none"/>
        </w:rPr>
        <w:t>．投标工作和联合体在中标后项目实施过程中的有关费用按各自承担的工作量分摊。</w:t>
      </w:r>
    </w:p>
    <w:p>
      <w:pPr>
        <w:spacing w:line="400" w:lineRule="exact"/>
        <w:ind w:firstLine="420" w:firstLineChars="200"/>
        <w:rPr>
          <w:color w:val="auto"/>
          <w:szCs w:val="21"/>
          <w:highlight w:val="none"/>
        </w:rPr>
      </w:pPr>
      <w:r>
        <w:rPr>
          <w:color w:val="auto"/>
          <w:szCs w:val="21"/>
          <w:highlight w:val="none"/>
        </w:rPr>
        <w:t>6</w:t>
      </w:r>
      <w:r>
        <w:rPr>
          <w:rFonts w:hint="eastAsia" w:cs="宋体"/>
          <w:color w:val="auto"/>
          <w:szCs w:val="21"/>
          <w:highlight w:val="none"/>
        </w:rPr>
        <w:t>．联合体中标后，本联合体协议是合同的附件，对联合体各成员单位有合同约束力。</w:t>
      </w:r>
    </w:p>
    <w:p>
      <w:pPr>
        <w:spacing w:line="400" w:lineRule="exact"/>
        <w:ind w:firstLine="420" w:firstLineChars="200"/>
        <w:rPr>
          <w:color w:val="auto"/>
          <w:szCs w:val="21"/>
          <w:highlight w:val="none"/>
        </w:rPr>
      </w:pPr>
      <w:r>
        <w:rPr>
          <w:color w:val="auto"/>
          <w:szCs w:val="21"/>
          <w:highlight w:val="none"/>
        </w:rPr>
        <w:t>7</w:t>
      </w:r>
      <w:r>
        <w:rPr>
          <w:rFonts w:hint="eastAsia" w:cs="宋体"/>
          <w:color w:val="auto"/>
          <w:szCs w:val="21"/>
          <w:highlight w:val="none"/>
        </w:rPr>
        <w:t>．本协议书自签署之日起生效，联合体未中标或者中标时合同履行完毕后自动失效。</w:t>
      </w:r>
    </w:p>
    <w:p>
      <w:pPr>
        <w:spacing w:line="400" w:lineRule="exact"/>
        <w:ind w:firstLine="420" w:firstLineChars="200"/>
        <w:rPr>
          <w:color w:val="auto"/>
          <w:szCs w:val="21"/>
          <w:highlight w:val="none"/>
        </w:rPr>
      </w:pPr>
      <w:r>
        <w:rPr>
          <w:color w:val="auto"/>
          <w:szCs w:val="21"/>
          <w:highlight w:val="none"/>
        </w:rPr>
        <w:t>8</w:t>
      </w:r>
      <w:r>
        <w:rPr>
          <w:rFonts w:hint="eastAsia" w:cs="宋体"/>
          <w:color w:val="auto"/>
          <w:szCs w:val="21"/>
          <w:highlight w:val="none"/>
        </w:rPr>
        <w:t>．本协议书一式</w:t>
      </w:r>
      <w:r>
        <w:rPr>
          <w:color w:val="auto"/>
          <w:szCs w:val="21"/>
          <w:highlight w:val="none"/>
          <w:u w:val="single"/>
        </w:rPr>
        <w:t xml:space="preserve">            </w:t>
      </w:r>
      <w:r>
        <w:rPr>
          <w:rFonts w:hint="eastAsia" w:cs="宋体"/>
          <w:color w:val="auto"/>
          <w:szCs w:val="21"/>
          <w:highlight w:val="none"/>
        </w:rPr>
        <w:t>份，联合体成员和招标人各执一份。</w:t>
      </w:r>
    </w:p>
    <w:p>
      <w:pPr>
        <w:spacing w:line="394" w:lineRule="exact"/>
        <w:rPr>
          <w:color w:val="auto"/>
          <w:szCs w:val="21"/>
          <w:highlight w:val="none"/>
        </w:rPr>
      </w:pPr>
    </w:p>
    <w:p>
      <w:pPr>
        <w:spacing w:line="394" w:lineRule="exact"/>
        <w:ind w:firstLine="1785" w:firstLineChars="850"/>
        <w:rPr>
          <w:color w:val="auto"/>
          <w:szCs w:val="21"/>
          <w:highlight w:val="none"/>
        </w:rPr>
      </w:pPr>
      <w:r>
        <w:rPr>
          <w:rFonts w:hint="eastAsia" w:cs="宋体"/>
          <w:color w:val="auto"/>
          <w:szCs w:val="21"/>
          <w:highlight w:val="none"/>
        </w:rPr>
        <w:t>联合体牵头人名称：</w:t>
      </w:r>
      <w:r>
        <w:rPr>
          <w:color w:val="auto"/>
          <w:szCs w:val="21"/>
          <w:highlight w:val="none"/>
          <w:u w:val="single"/>
        </w:rPr>
        <w:t xml:space="preserve">                                    </w:t>
      </w:r>
      <w:r>
        <w:rPr>
          <w:rFonts w:hint="eastAsia" w:cs="宋体"/>
          <w:color w:val="auto"/>
          <w:szCs w:val="21"/>
          <w:highlight w:val="none"/>
        </w:rPr>
        <w:t>（盖公章）</w:t>
      </w:r>
    </w:p>
    <w:p>
      <w:pPr>
        <w:spacing w:line="394" w:lineRule="exact"/>
        <w:ind w:firstLine="1785" w:firstLineChars="850"/>
        <w:rPr>
          <w:color w:val="auto"/>
          <w:szCs w:val="21"/>
          <w:highlight w:val="none"/>
        </w:rPr>
      </w:pPr>
      <w:r>
        <w:rPr>
          <w:rFonts w:hint="eastAsia" w:cs="宋体"/>
          <w:color w:val="auto"/>
          <w:szCs w:val="21"/>
          <w:highlight w:val="none"/>
        </w:rPr>
        <w:t>法定代表人或其委托代理人：</w:t>
      </w:r>
      <w:r>
        <w:rPr>
          <w:color w:val="auto"/>
          <w:szCs w:val="21"/>
          <w:highlight w:val="none"/>
          <w:u w:val="single"/>
        </w:rPr>
        <w:t xml:space="preserve">                          </w:t>
      </w:r>
      <w:r>
        <w:rPr>
          <w:rFonts w:hint="eastAsia" w:cs="宋体"/>
          <w:color w:val="auto"/>
          <w:szCs w:val="21"/>
          <w:highlight w:val="none"/>
        </w:rPr>
        <w:t>（签字或盖章）</w:t>
      </w:r>
    </w:p>
    <w:p>
      <w:pPr>
        <w:spacing w:line="394" w:lineRule="exact"/>
        <w:ind w:firstLine="1785" w:firstLineChars="850"/>
        <w:rPr>
          <w:color w:val="auto"/>
          <w:szCs w:val="21"/>
          <w:highlight w:val="none"/>
        </w:rPr>
      </w:pPr>
    </w:p>
    <w:p>
      <w:pPr>
        <w:spacing w:line="394" w:lineRule="exact"/>
        <w:ind w:firstLine="1785" w:firstLineChars="850"/>
        <w:rPr>
          <w:color w:val="auto"/>
          <w:szCs w:val="21"/>
          <w:highlight w:val="none"/>
        </w:rPr>
      </w:pPr>
      <w:r>
        <w:rPr>
          <w:rFonts w:hint="eastAsia" w:cs="宋体"/>
          <w:color w:val="auto"/>
          <w:szCs w:val="21"/>
          <w:highlight w:val="none"/>
        </w:rPr>
        <w:t>联合体成员名称：</w:t>
      </w:r>
      <w:r>
        <w:rPr>
          <w:color w:val="auto"/>
          <w:szCs w:val="21"/>
          <w:highlight w:val="none"/>
          <w:u w:val="single"/>
        </w:rPr>
        <w:t xml:space="preserve">                                    </w:t>
      </w:r>
      <w:r>
        <w:rPr>
          <w:rFonts w:hint="eastAsia" w:cs="宋体"/>
          <w:color w:val="auto"/>
          <w:szCs w:val="21"/>
          <w:highlight w:val="none"/>
        </w:rPr>
        <w:t>（盖公章）</w:t>
      </w:r>
    </w:p>
    <w:p>
      <w:pPr>
        <w:spacing w:line="394" w:lineRule="exact"/>
        <w:ind w:firstLine="1785" w:firstLineChars="850"/>
        <w:rPr>
          <w:color w:val="auto"/>
          <w:szCs w:val="21"/>
          <w:highlight w:val="none"/>
        </w:rPr>
      </w:pPr>
      <w:r>
        <w:rPr>
          <w:rFonts w:hint="eastAsia" w:cs="宋体"/>
          <w:color w:val="auto"/>
          <w:szCs w:val="21"/>
          <w:highlight w:val="none"/>
        </w:rPr>
        <w:t>法定代表人或其委托代理人：</w:t>
      </w:r>
      <w:r>
        <w:rPr>
          <w:color w:val="auto"/>
          <w:szCs w:val="21"/>
          <w:highlight w:val="none"/>
          <w:u w:val="single"/>
        </w:rPr>
        <w:t xml:space="preserve">                          </w:t>
      </w:r>
      <w:r>
        <w:rPr>
          <w:rFonts w:hint="eastAsia" w:cs="宋体"/>
          <w:color w:val="auto"/>
          <w:szCs w:val="21"/>
          <w:highlight w:val="none"/>
        </w:rPr>
        <w:t>（签字或盖章）</w:t>
      </w:r>
    </w:p>
    <w:p>
      <w:pPr>
        <w:wordWrap w:val="0"/>
        <w:spacing w:line="394" w:lineRule="exact"/>
        <w:jc w:val="right"/>
        <w:rPr>
          <w:color w:val="auto"/>
          <w:szCs w:val="21"/>
          <w:highlight w:val="none"/>
        </w:rPr>
      </w:pPr>
      <w:r>
        <w:rPr>
          <w:color w:val="auto"/>
          <w:szCs w:val="21"/>
          <w:highlight w:val="none"/>
          <w:u w:val="single"/>
        </w:rPr>
        <w:t xml:space="preserve">        </w:t>
      </w:r>
      <w:r>
        <w:rPr>
          <w:rFonts w:hint="eastAsia" w:cs="宋体"/>
          <w:color w:val="auto"/>
          <w:szCs w:val="21"/>
          <w:highlight w:val="none"/>
        </w:rPr>
        <w:t>年</w:t>
      </w:r>
      <w:r>
        <w:rPr>
          <w:color w:val="auto"/>
          <w:szCs w:val="21"/>
          <w:highlight w:val="none"/>
          <w:u w:val="single"/>
        </w:rPr>
        <w:t xml:space="preserve">        </w:t>
      </w:r>
      <w:r>
        <w:rPr>
          <w:rFonts w:hint="eastAsia" w:cs="宋体"/>
          <w:color w:val="auto"/>
          <w:szCs w:val="21"/>
          <w:highlight w:val="none"/>
        </w:rPr>
        <w:t>月</w:t>
      </w:r>
      <w:r>
        <w:rPr>
          <w:color w:val="auto"/>
          <w:szCs w:val="21"/>
          <w:highlight w:val="none"/>
          <w:u w:val="single"/>
        </w:rPr>
        <w:t xml:space="preserve">        </w:t>
      </w:r>
      <w:r>
        <w:rPr>
          <w:rFonts w:hint="eastAsia" w:cs="宋体"/>
          <w:color w:val="auto"/>
          <w:szCs w:val="21"/>
          <w:highlight w:val="none"/>
        </w:rPr>
        <w:t>日</w:t>
      </w:r>
    </w:p>
    <w:p>
      <w:pPr>
        <w:snapToGrid w:val="0"/>
        <w:spacing w:before="120" w:beforeLines="50" w:after="50"/>
        <w:jc w:val="left"/>
        <w:rPr>
          <w:rFonts w:ascii="宋体" w:hAnsi="宋体"/>
          <w:b/>
          <w:color w:val="auto"/>
          <w:sz w:val="24"/>
          <w:highlight w:val="none"/>
        </w:rPr>
      </w:pPr>
      <w:r>
        <w:rPr>
          <w:rFonts w:ascii="宋体" w:hAnsi="宋体"/>
          <w:b/>
          <w:bCs/>
          <w:color w:val="auto"/>
          <w:sz w:val="24"/>
          <w:highlight w:val="none"/>
        </w:rPr>
        <w:br w:type="page"/>
      </w:r>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8、投标人业绩证明材料</w:t>
      </w:r>
    </w:p>
    <w:p>
      <w:pPr>
        <w:pStyle w:val="19"/>
        <w:snapToGrid w:val="0"/>
        <w:ind w:left="480" w:hanging="480"/>
        <w:rPr>
          <w:rFonts w:hint="eastAsia" w:ascii="宋体" w:hAnsi="宋体"/>
          <w:color w:val="auto"/>
          <w:sz w:val="24"/>
          <w:highlight w:val="none"/>
        </w:rPr>
      </w:pPr>
    </w:p>
    <w:p>
      <w:pPr>
        <w:pStyle w:val="19"/>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6"/>
        <w:gridCol w:w="1857"/>
        <w:gridCol w:w="1857"/>
        <w:gridCol w:w="2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bl>
    <w:p>
      <w:pPr>
        <w:pStyle w:val="8"/>
        <w:spacing w:before="0" w:after="0" w:line="360" w:lineRule="auto"/>
        <w:contextualSpacing/>
        <w:rPr>
          <w:rFonts w:hint="eastAsia" w:ascii="宋体" w:hAnsi="宋体" w:eastAsia="宋体"/>
          <w:color w:val="auto"/>
          <w:sz w:val="24"/>
          <w:szCs w:val="24"/>
          <w:highlight w:val="none"/>
        </w:rPr>
      </w:pPr>
    </w:p>
    <w:p>
      <w:pPr>
        <w:pStyle w:val="8"/>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pPr>
        <w:spacing w:line="360" w:lineRule="auto"/>
        <w:contextualSpacing/>
        <w:jc w:val="left"/>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w:t>
      </w:r>
    </w:p>
    <w:p>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hint="eastAsia" w:ascii="宋体" w:hAnsi="宋体"/>
          <w:color w:val="auto"/>
          <w:sz w:val="24"/>
          <w:szCs w:val="20"/>
          <w:highlight w:val="none"/>
        </w:rPr>
      </w:pPr>
    </w:p>
    <w:p>
      <w:pPr>
        <w:snapToGrid w:val="0"/>
        <w:spacing w:before="50"/>
        <w:jc w:val="left"/>
        <w:rPr>
          <w:rFonts w:hint="eastAsia" w:ascii="宋体" w:hAnsi="宋体"/>
          <w:color w:val="auto"/>
          <w:sz w:val="24"/>
          <w:highlight w:val="none"/>
        </w:rPr>
      </w:pPr>
    </w:p>
    <w:p>
      <w:pPr>
        <w:snapToGrid w:val="0"/>
        <w:spacing w:before="120" w:beforeLines="50"/>
        <w:rPr>
          <w:rFonts w:ascii="宋体" w:hAnsi="宋体"/>
          <w:color w:val="auto"/>
          <w:sz w:val="24"/>
          <w:szCs w:val="20"/>
          <w:highlight w:val="none"/>
        </w:rPr>
        <w:sectPr>
          <w:pgSz w:w="11910" w:h="16840"/>
          <w:pgMar w:top="1520" w:right="1503" w:bottom="278" w:left="1678" w:header="851" w:footer="992" w:gutter="0"/>
          <w:cols w:space="720" w:num="1"/>
          <w:docGrid w:linePitch="312" w:charSpace="0"/>
        </w:sectPr>
      </w:pPr>
    </w:p>
    <w:p>
      <w:pPr>
        <w:rPr>
          <w:rFonts w:hint="eastAsia"/>
          <w:b/>
          <w:color w:val="auto"/>
          <w:sz w:val="28"/>
          <w:szCs w:val="28"/>
          <w:highlight w:val="none"/>
        </w:rPr>
      </w:pPr>
      <w:bookmarkStart w:id="158" w:name="_Toc19686839"/>
      <w:r>
        <w:rPr>
          <w:rFonts w:hint="eastAsia"/>
          <w:b/>
          <w:color w:val="auto"/>
          <w:sz w:val="28"/>
          <w:szCs w:val="28"/>
          <w:highlight w:val="none"/>
        </w:rPr>
        <w:t>五、技术文件格式</w:t>
      </w:r>
      <w:bookmarkEnd w:id="158"/>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b/>
          <w:bCs/>
          <w:color w:val="auto"/>
          <w:highlight w:val="none"/>
        </w:rPr>
        <w:t>正本</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240" w:firstLineChars="10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ind w:firstLine="645"/>
        <w:jc w:val="center"/>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pPr>
        <w:snapToGrid w:val="0"/>
        <w:spacing w:before="50" w:after="120" w:afterLines="50" w:line="280" w:lineRule="exact"/>
        <w:ind w:left="283" w:leftChars="135"/>
        <w:jc w:val="left"/>
        <w:rPr>
          <w:rFonts w:hint="eastAsia" w:ascii="宋体" w:hAnsi="宋体"/>
          <w:color w:val="auto"/>
          <w:sz w:val="24"/>
          <w:szCs w:val="20"/>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jc w:val="left"/>
        <w:rPr>
          <w:rFonts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3.服务需求偏离表格式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服务需求偏离表</w:t>
      </w:r>
    </w:p>
    <w:tbl>
      <w:tblPr>
        <w:tblStyle w:val="2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3"/>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noWrap w:val="0"/>
            <w:vAlign w:val="center"/>
          </w:tcPr>
          <w:p>
            <w:pPr>
              <w:pStyle w:val="13"/>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noWrap w:val="0"/>
            <w:vAlign w:val="center"/>
          </w:tcPr>
          <w:p>
            <w:pPr>
              <w:pStyle w:val="13"/>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服务需求</w:t>
            </w:r>
          </w:p>
        </w:tc>
        <w:tc>
          <w:tcPr>
            <w:tcW w:w="2181" w:type="dxa"/>
            <w:noWrap w:val="0"/>
            <w:vAlign w:val="center"/>
          </w:tcPr>
          <w:p>
            <w:pPr>
              <w:pStyle w:val="13"/>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noWrap w:val="0"/>
            <w:vAlign w:val="center"/>
          </w:tcPr>
          <w:p>
            <w:pPr>
              <w:pStyle w:val="13"/>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3"/>
              <w:spacing w:line="600" w:lineRule="exact"/>
              <w:jc w:val="center"/>
              <w:rPr>
                <w:rFonts w:hint="eastAsia" w:hAnsi="宋体" w:cs="Courier New"/>
                <w:color w:val="auto"/>
                <w:kern w:val="2"/>
                <w:sz w:val="24"/>
                <w:szCs w:val="24"/>
                <w:highlight w:val="none"/>
              </w:rPr>
            </w:pPr>
          </w:p>
        </w:tc>
        <w:tc>
          <w:tcPr>
            <w:tcW w:w="2143" w:type="dxa"/>
            <w:noWrap w:val="0"/>
            <w:vAlign w:val="center"/>
          </w:tcPr>
          <w:p>
            <w:pPr>
              <w:pStyle w:val="13"/>
              <w:spacing w:line="600" w:lineRule="exact"/>
              <w:jc w:val="center"/>
              <w:rPr>
                <w:rFonts w:hint="eastAsia" w:hAnsi="宋体" w:cs="Courier New"/>
                <w:color w:val="auto"/>
                <w:kern w:val="2"/>
                <w:sz w:val="24"/>
                <w:szCs w:val="24"/>
                <w:highlight w:val="none"/>
              </w:rPr>
            </w:pPr>
          </w:p>
        </w:tc>
        <w:tc>
          <w:tcPr>
            <w:tcW w:w="1834" w:type="dxa"/>
            <w:noWrap w:val="0"/>
            <w:vAlign w:val="center"/>
          </w:tcPr>
          <w:p>
            <w:pPr>
              <w:pStyle w:val="13"/>
              <w:spacing w:line="600" w:lineRule="exact"/>
              <w:jc w:val="center"/>
              <w:rPr>
                <w:rFonts w:hint="eastAsia" w:hAnsi="宋体" w:cs="Courier New"/>
                <w:color w:val="auto"/>
                <w:kern w:val="2"/>
                <w:sz w:val="24"/>
                <w:szCs w:val="24"/>
                <w:highlight w:val="none"/>
              </w:rPr>
            </w:pPr>
          </w:p>
        </w:tc>
        <w:tc>
          <w:tcPr>
            <w:tcW w:w="2181" w:type="dxa"/>
            <w:noWrap w:val="0"/>
            <w:vAlign w:val="center"/>
          </w:tcPr>
          <w:p>
            <w:pPr>
              <w:pStyle w:val="13"/>
              <w:spacing w:line="600" w:lineRule="exact"/>
              <w:jc w:val="center"/>
              <w:rPr>
                <w:rFonts w:hint="eastAsia" w:hAnsi="宋体" w:cs="Courier New"/>
                <w:color w:val="auto"/>
                <w:kern w:val="2"/>
                <w:sz w:val="24"/>
                <w:szCs w:val="24"/>
                <w:highlight w:val="none"/>
              </w:rPr>
            </w:pPr>
          </w:p>
        </w:tc>
        <w:tc>
          <w:tcPr>
            <w:tcW w:w="1934" w:type="dxa"/>
            <w:noWrap w:val="0"/>
            <w:vAlign w:val="center"/>
          </w:tcPr>
          <w:p>
            <w:pPr>
              <w:pStyle w:val="13"/>
              <w:spacing w:line="600" w:lineRule="exact"/>
              <w:jc w:val="center"/>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3"/>
              <w:spacing w:line="600" w:lineRule="exact"/>
              <w:rPr>
                <w:rFonts w:hint="eastAsia" w:hAnsi="宋体" w:cs="Courier New"/>
                <w:color w:val="auto"/>
                <w:kern w:val="2"/>
                <w:sz w:val="24"/>
                <w:szCs w:val="24"/>
                <w:highlight w:val="none"/>
              </w:rPr>
            </w:pPr>
          </w:p>
        </w:tc>
        <w:tc>
          <w:tcPr>
            <w:tcW w:w="2143" w:type="dxa"/>
            <w:noWrap w:val="0"/>
            <w:vAlign w:val="top"/>
          </w:tcPr>
          <w:p>
            <w:pPr>
              <w:pStyle w:val="13"/>
              <w:spacing w:line="600" w:lineRule="exact"/>
              <w:rPr>
                <w:rFonts w:hint="eastAsia" w:hAnsi="宋体" w:cs="Courier New"/>
                <w:color w:val="auto"/>
                <w:kern w:val="2"/>
                <w:sz w:val="24"/>
                <w:szCs w:val="24"/>
                <w:highlight w:val="none"/>
              </w:rPr>
            </w:pPr>
          </w:p>
        </w:tc>
        <w:tc>
          <w:tcPr>
            <w:tcW w:w="1834" w:type="dxa"/>
            <w:noWrap w:val="0"/>
            <w:vAlign w:val="top"/>
          </w:tcPr>
          <w:p>
            <w:pPr>
              <w:pStyle w:val="13"/>
              <w:spacing w:line="600" w:lineRule="exact"/>
              <w:rPr>
                <w:rFonts w:hint="eastAsia" w:hAnsi="宋体" w:cs="Courier New"/>
                <w:color w:val="auto"/>
                <w:kern w:val="2"/>
                <w:sz w:val="24"/>
                <w:szCs w:val="24"/>
                <w:highlight w:val="none"/>
              </w:rPr>
            </w:pPr>
          </w:p>
        </w:tc>
        <w:tc>
          <w:tcPr>
            <w:tcW w:w="2181" w:type="dxa"/>
            <w:noWrap w:val="0"/>
            <w:vAlign w:val="top"/>
          </w:tcPr>
          <w:p>
            <w:pPr>
              <w:pStyle w:val="13"/>
              <w:spacing w:line="600" w:lineRule="exact"/>
              <w:rPr>
                <w:rFonts w:hint="eastAsia" w:hAnsi="宋体" w:cs="Courier New"/>
                <w:color w:val="auto"/>
                <w:kern w:val="2"/>
                <w:sz w:val="24"/>
                <w:szCs w:val="24"/>
                <w:highlight w:val="none"/>
              </w:rPr>
            </w:pPr>
          </w:p>
        </w:tc>
        <w:tc>
          <w:tcPr>
            <w:tcW w:w="1934" w:type="dxa"/>
            <w:noWrap w:val="0"/>
            <w:vAlign w:val="top"/>
          </w:tcPr>
          <w:p>
            <w:pPr>
              <w:pStyle w:val="13"/>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3"/>
              <w:spacing w:line="600" w:lineRule="exact"/>
              <w:rPr>
                <w:rFonts w:hint="eastAsia" w:hAnsi="宋体" w:cs="Courier New"/>
                <w:color w:val="auto"/>
                <w:kern w:val="2"/>
                <w:sz w:val="24"/>
                <w:szCs w:val="24"/>
                <w:highlight w:val="none"/>
              </w:rPr>
            </w:pPr>
          </w:p>
        </w:tc>
        <w:tc>
          <w:tcPr>
            <w:tcW w:w="2143" w:type="dxa"/>
            <w:noWrap w:val="0"/>
            <w:vAlign w:val="top"/>
          </w:tcPr>
          <w:p>
            <w:pPr>
              <w:pStyle w:val="13"/>
              <w:spacing w:line="600" w:lineRule="exact"/>
              <w:rPr>
                <w:rFonts w:hint="eastAsia" w:hAnsi="宋体" w:cs="Courier New"/>
                <w:color w:val="auto"/>
                <w:kern w:val="2"/>
                <w:sz w:val="24"/>
                <w:szCs w:val="24"/>
                <w:highlight w:val="none"/>
              </w:rPr>
            </w:pPr>
          </w:p>
        </w:tc>
        <w:tc>
          <w:tcPr>
            <w:tcW w:w="1834" w:type="dxa"/>
            <w:noWrap w:val="0"/>
            <w:vAlign w:val="top"/>
          </w:tcPr>
          <w:p>
            <w:pPr>
              <w:pStyle w:val="13"/>
              <w:spacing w:line="600" w:lineRule="exact"/>
              <w:rPr>
                <w:rFonts w:hint="eastAsia" w:hAnsi="宋体" w:cs="Courier New"/>
                <w:color w:val="auto"/>
                <w:kern w:val="2"/>
                <w:sz w:val="24"/>
                <w:szCs w:val="24"/>
                <w:highlight w:val="none"/>
              </w:rPr>
            </w:pPr>
          </w:p>
        </w:tc>
        <w:tc>
          <w:tcPr>
            <w:tcW w:w="2181" w:type="dxa"/>
            <w:noWrap w:val="0"/>
            <w:vAlign w:val="top"/>
          </w:tcPr>
          <w:p>
            <w:pPr>
              <w:pStyle w:val="13"/>
              <w:spacing w:line="600" w:lineRule="exact"/>
              <w:rPr>
                <w:rFonts w:hint="eastAsia" w:hAnsi="宋体" w:cs="Courier New"/>
                <w:color w:val="auto"/>
                <w:kern w:val="2"/>
                <w:sz w:val="24"/>
                <w:szCs w:val="24"/>
                <w:highlight w:val="none"/>
              </w:rPr>
            </w:pPr>
          </w:p>
        </w:tc>
        <w:tc>
          <w:tcPr>
            <w:tcW w:w="1934" w:type="dxa"/>
            <w:noWrap w:val="0"/>
            <w:vAlign w:val="top"/>
          </w:tcPr>
          <w:p>
            <w:pPr>
              <w:pStyle w:val="13"/>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3"/>
              <w:spacing w:line="600" w:lineRule="exact"/>
              <w:rPr>
                <w:rFonts w:hint="eastAsia" w:hAnsi="宋体" w:cs="Courier New"/>
                <w:color w:val="auto"/>
                <w:kern w:val="2"/>
                <w:sz w:val="24"/>
                <w:szCs w:val="24"/>
                <w:highlight w:val="none"/>
              </w:rPr>
            </w:pPr>
          </w:p>
        </w:tc>
        <w:tc>
          <w:tcPr>
            <w:tcW w:w="2143" w:type="dxa"/>
            <w:noWrap w:val="0"/>
            <w:vAlign w:val="top"/>
          </w:tcPr>
          <w:p>
            <w:pPr>
              <w:pStyle w:val="13"/>
              <w:spacing w:line="600" w:lineRule="exact"/>
              <w:rPr>
                <w:rFonts w:hint="eastAsia" w:hAnsi="宋体" w:cs="Courier New"/>
                <w:color w:val="auto"/>
                <w:kern w:val="2"/>
                <w:sz w:val="24"/>
                <w:szCs w:val="24"/>
                <w:highlight w:val="none"/>
              </w:rPr>
            </w:pPr>
          </w:p>
        </w:tc>
        <w:tc>
          <w:tcPr>
            <w:tcW w:w="1834" w:type="dxa"/>
            <w:noWrap w:val="0"/>
            <w:vAlign w:val="top"/>
          </w:tcPr>
          <w:p>
            <w:pPr>
              <w:pStyle w:val="13"/>
              <w:spacing w:line="600" w:lineRule="exact"/>
              <w:rPr>
                <w:rFonts w:hint="eastAsia" w:hAnsi="宋体" w:cs="Courier New"/>
                <w:color w:val="auto"/>
                <w:kern w:val="2"/>
                <w:sz w:val="24"/>
                <w:szCs w:val="24"/>
                <w:highlight w:val="none"/>
              </w:rPr>
            </w:pPr>
          </w:p>
        </w:tc>
        <w:tc>
          <w:tcPr>
            <w:tcW w:w="2181" w:type="dxa"/>
            <w:noWrap w:val="0"/>
            <w:vAlign w:val="top"/>
          </w:tcPr>
          <w:p>
            <w:pPr>
              <w:pStyle w:val="13"/>
              <w:spacing w:line="600" w:lineRule="exact"/>
              <w:rPr>
                <w:rFonts w:hint="eastAsia" w:hAnsi="宋体" w:cs="Courier New"/>
                <w:color w:val="auto"/>
                <w:kern w:val="2"/>
                <w:sz w:val="24"/>
                <w:szCs w:val="24"/>
                <w:highlight w:val="none"/>
              </w:rPr>
            </w:pPr>
          </w:p>
        </w:tc>
        <w:tc>
          <w:tcPr>
            <w:tcW w:w="1934" w:type="dxa"/>
            <w:noWrap w:val="0"/>
            <w:vAlign w:val="top"/>
          </w:tcPr>
          <w:p>
            <w:pPr>
              <w:pStyle w:val="13"/>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3"/>
              <w:spacing w:line="600" w:lineRule="exact"/>
              <w:rPr>
                <w:rFonts w:hint="eastAsia" w:hAnsi="宋体" w:cs="Courier New"/>
                <w:color w:val="auto"/>
                <w:kern w:val="2"/>
                <w:sz w:val="24"/>
                <w:szCs w:val="24"/>
                <w:highlight w:val="none"/>
              </w:rPr>
            </w:pPr>
          </w:p>
        </w:tc>
        <w:tc>
          <w:tcPr>
            <w:tcW w:w="2143" w:type="dxa"/>
            <w:noWrap w:val="0"/>
            <w:vAlign w:val="top"/>
          </w:tcPr>
          <w:p>
            <w:pPr>
              <w:pStyle w:val="13"/>
              <w:spacing w:line="600" w:lineRule="exact"/>
              <w:rPr>
                <w:rFonts w:hint="eastAsia" w:hAnsi="宋体" w:cs="Courier New"/>
                <w:color w:val="auto"/>
                <w:kern w:val="2"/>
                <w:sz w:val="24"/>
                <w:szCs w:val="24"/>
                <w:highlight w:val="none"/>
              </w:rPr>
            </w:pPr>
          </w:p>
        </w:tc>
        <w:tc>
          <w:tcPr>
            <w:tcW w:w="1834" w:type="dxa"/>
            <w:noWrap w:val="0"/>
            <w:vAlign w:val="top"/>
          </w:tcPr>
          <w:p>
            <w:pPr>
              <w:pStyle w:val="13"/>
              <w:spacing w:line="600" w:lineRule="exact"/>
              <w:rPr>
                <w:rFonts w:hint="eastAsia" w:hAnsi="宋体" w:cs="Courier New"/>
                <w:color w:val="auto"/>
                <w:kern w:val="2"/>
                <w:sz w:val="24"/>
                <w:szCs w:val="24"/>
                <w:highlight w:val="none"/>
              </w:rPr>
            </w:pPr>
          </w:p>
        </w:tc>
        <w:tc>
          <w:tcPr>
            <w:tcW w:w="2181" w:type="dxa"/>
            <w:noWrap w:val="0"/>
            <w:vAlign w:val="top"/>
          </w:tcPr>
          <w:p>
            <w:pPr>
              <w:pStyle w:val="13"/>
              <w:spacing w:line="600" w:lineRule="exact"/>
              <w:rPr>
                <w:rFonts w:hint="eastAsia" w:hAnsi="宋体" w:cs="Courier New"/>
                <w:color w:val="auto"/>
                <w:kern w:val="2"/>
                <w:sz w:val="24"/>
                <w:szCs w:val="24"/>
                <w:highlight w:val="none"/>
              </w:rPr>
            </w:pPr>
          </w:p>
        </w:tc>
        <w:tc>
          <w:tcPr>
            <w:tcW w:w="1934" w:type="dxa"/>
            <w:noWrap w:val="0"/>
            <w:vAlign w:val="top"/>
          </w:tcPr>
          <w:p>
            <w:pPr>
              <w:pStyle w:val="13"/>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3"/>
              <w:spacing w:line="600" w:lineRule="exact"/>
              <w:rPr>
                <w:rFonts w:hint="eastAsia" w:hAnsi="宋体" w:cs="Courier New"/>
                <w:color w:val="auto"/>
                <w:kern w:val="2"/>
                <w:sz w:val="24"/>
                <w:szCs w:val="24"/>
                <w:highlight w:val="none"/>
              </w:rPr>
            </w:pPr>
          </w:p>
        </w:tc>
        <w:tc>
          <w:tcPr>
            <w:tcW w:w="2143" w:type="dxa"/>
            <w:noWrap w:val="0"/>
            <w:vAlign w:val="top"/>
          </w:tcPr>
          <w:p>
            <w:pPr>
              <w:pStyle w:val="13"/>
              <w:spacing w:line="600" w:lineRule="exact"/>
              <w:rPr>
                <w:rFonts w:hint="eastAsia" w:hAnsi="宋体" w:cs="Courier New"/>
                <w:color w:val="auto"/>
                <w:kern w:val="2"/>
                <w:sz w:val="24"/>
                <w:szCs w:val="24"/>
                <w:highlight w:val="none"/>
              </w:rPr>
            </w:pPr>
          </w:p>
        </w:tc>
        <w:tc>
          <w:tcPr>
            <w:tcW w:w="1834" w:type="dxa"/>
            <w:noWrap w:val="0"/>
            <w:vAlign w:val="top"/>
          </w:tcPr>
          <w:p>
            <w:pPr>
              <w:pStyle w:val="13"/>
              <w:spacing w:line="600" w:lineRule="exact"/>
              <w:rPr>
                <w:rFonts w:hint="eastAsia" w:hAnsi="宋体" w:cs="Courier New"/>
                <w:color w:val="auto"/>
                <w:kern w:val="2"/>
                <w:sz w:val="24"/>
                <w:szCs w:val="24"/>
                <w:highlight w:val="none"/>
              </w:rPr>
            </w:pPr>
          </w:p>
        </w:tc>
        <w:tc>
          <w:tcPr>
            <w:tcW w:w="2181" w:type="dxa"/>
            <w:noWrap w:val="0"/>
            <w:vAlign w:val="top"/>
          </w:tcPr>
          <w:p>
            <w:pPr>
              <w:pStyle w:val="13"/>
              <w:spacing w:line="600" w:lineRule="exact"/>
              <w:rPr>
                <w:rFonts w:hint="eastAsia" w:hAnsi="宋体" w:cs="Courier New"/>
                <w:color w:val="auto"/>
                <w:kern w:val="2"/>
                <w:sz w:val="24"/>
                <w:szCs w:val="24"/>
                <w:highlight w:val="none"/>
              </w:rPr>
            </w:pPr>
          </w:p>
        </w:tc>
        <w:tc>
          <w:tcPr>
            <w:tcW w:w="1934" w:type="dxa"/>
            <w:noWrap w:val="0"/>
            <w:vAlign w:val="top"/>
          </w:tcPr>
          <w:p>
            <w:pPr>
              <w:pStyle w:val="13"/>
              <w:spacing w:line="600" w:lineRule="exact"/>
              <w:rPr>
                <w:rFonts w:hint="eastAsia"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3"/>
              <w:spacing w:line="600" w:lineRule="exact"/>
              <w:rPr>
                <w:rFonts w:hint="eastAsia" w:hAnsi="宋体" w:cs="Courier New"/>
                <w:color w:val="auto"/>
                <w:kern w:val="2"/>
                <w:sz w:val="24"/>
                <w:szCs w:val="24"/>
                <w:highlight w:val="none"/>
              </w:rPr>
            </w:pPr>
          </w:p>
        </w:tc>
        <w:tc>
          <w:tcPr>
            <w:tcW w:w="2143" w:type="dxa"/>
            <w:noWrap w:val="0"/>
            <w:vAlign w:val="top"/>
          </w:tcPr>
          <w:p>
            <w:pPr>
              <w:pStyle w:val="13"/>
              <w:spacing w:line="600" w:lineRule="exact"/>
              <w:rPr>
                <w:rFonts w:hint="eastAsia" w:hAnsi="宋体" w:cs="Courier New"/>
                <w:color w:val="auto"/>
                <w:kern w:val="2"/>
                <w:sz w:val="24"/>
                <w:szCs w:val="24"/>
                <w:highlight w:val="none"/>
              </w:rPr>
            </w:pPr>
          </w:p>
        </w:tc>
        <w:tc>
          <w:tcPr>
            <w:tcW w:w="1834" w:type="dxa"/>
            <w:noWrap w:val="0"/>
            <w:vAlign w:val="top"/>
          </w:tcPr>
          <w:p>
            <w:pPr>
              <w:pStyle w:val="13"/>
              <w:spacing w:line="600" w:lineRule="exact"/>
              <w:rPr>
                <w:rFonts w:hint="eastAsia" w:hAnsi="宋体" w:cs="Courier New"/>
                <w:color w:val="auto"/>
                <w:kern w:val="2"/>
                <w:sz w:val="24"/>
                <w:szCs w:val="24"/>
                <w:highlight w:val="none"/>
              </w:rPr>
            </w:pPr>
          </w:p>
        </w:tc>
        <w:tc>
          <w:tcPr>
            <w:tcW w:w="2181" w:type="dxa"/>
            <w:noWrap w:val="0"/>
            <w:vAlign w:val="top"/>
          </w:tcPr>
          <w:p>
            <w:pPr>
              <w:pStyle w:val="13"/>
              <w:spacing w:line="600" w:lineRule="exact"/>
              <w:rPr>
                <w:rFonts w:hint="eastAsia" w:hAnsi="宋体" w:cs="Courier New"/>
                <w:color w:val="auto"/>
                <w:kern w:val="2"/>
                <w:sz w:val="24"/>
                <w:szCs w:val="24"/>
                <w:highlight w:val="none"/>
              </w:rPr>
            </w:pPr>
          </w:p>
        </w:tc>
        <w:tc>
          <w:tcPr>
            <w:tcW w:w="1934" w:type="dxa"/>
            <w:noWrap w:val="0"/>
            <w:vAlign w:val="top"/>
          </w:tcPr>
          <w:p>
            <w:pPr>
              <w:pStyle w:val="13"/>
              <w:spacing w:line="600" w:lineRule="exact"/>
              <w:rPr>
                <w:rFonts w:hint="eastAsia" w:hAnsi="宋体" w:cs="Courier New"/>
                <w:color w:val="auto"/>
                <w:kern w:val="2"/>
                <w:sz w:val="24"/>
                <w:szCs w:val="24"/>
                <w:highlight w:val="none"/>
              </w:rPr>
            </w:pPr>
          </w:p>
        </w:tc>
      </w:tr>
    </w:tbl>
    <w:p>
      <w:pPr>
        <w:pStyle w:val="10"/>
        <w:spacing w:line="360" w:lineRule="auto"/>
        <w:contextualSpacing/>
        <w:rPr>
          <w:rFonts w:hint="eastAsia" w:ascii="宋体" w:hAnsi="宋体"/>
          <w:color w:val="auto"/>
          <w:highlight w:val="none"/>
        </w:rPr>
      </w:pPr>
      <w:r>
        <w:rPr>
          <w:rFonts w:hint="eastAsia" w:ascii="宋体" w:hAnsi="宋体"/>
          <w:color w:val="auto"/>
          <w:highlight w:val="none"/>
        </w:rPr>
        <w:t>注：</w:t>
      </w:r>
    </w:p>
    <w:p>
      <w:pPr>
        <w:pStyle w:val="12"/>
        <w:spacing w:line="360" w:lineRule="auto"/>
        <w:ind w:firstLine="0" w:firstLineChars="0"/>
        <w:contextualSpacing/>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采购需求”中的服务需求逐条作明确的投标响应，并作出偏离说明。</w:t>
      </w:r>
    </w:p>
    <w:p>
      <w:pPr>
        <w:pStyle w:val="10"/>
        <w:spacing w:line="360" w:lineRule="auto"/>
        <w:contextualSpacing/>
        <w:rPr>
          <w:rFonts w:hint="eastAsia" w:ascii="宋体" w:hAnsi="宋体"/>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12"/>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3.如服务项目含有货物标的，投标人认为其投标响应有正偏离的，请在技术偏离表中列明，且在投标文件中提供投标产品的彩页或</w:t>
      </w:r>
      <w:r>
        <w:rPr>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pPr>
        <w:pStyle w:val="12"/>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如技术偏离表中的投标响应与佐证材料不一致的，以佐证材料为准。</w:t>
      </w:r>
    </w:p>
    <w:p>
      <w:pPr>
        <w:pStyle w:val="10"/>
        <w:spacing w:line="360" w:lineRule="auto"/>
        <w:contextualSpacing/>
        <w:rPr>
          <w:rFonts w:hint="eastAsia" w:ascii="宋体" w:hAnsi="宋体"/>
          <w:color w:val="auto"/>
          <w:spacing w:val="20"/>
          <w:highlight w:val="none"/>
        </w:rPr>
      </w:pPr>
    </w:p>
    <w:p>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hint="eastAsia"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4.项目实施人员一览表格式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拟投入的技术力量、人员配置一览表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45"/>
        <w:gridCol w:w="2657"/>
        <w:gridCol w:w="1686"/>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1545"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2657"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686"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828"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545"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65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8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28"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545"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65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8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28"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545"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65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8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28" w:type="dxa"/>
            <w:noWrap w:val="0"/>
            <w:vAlign w:val="center"/>
          </w:tcPr>
          <w:p>
            <w:pPr>
              <w:snapToGrid w:val="0"/>
              <w:spacing w:before="50" w:after="120" w:afterLines="50"/>
              <w:jc w:val="center"/>
              <w:rPr>
                <w:rFonts w:hint="eastAsia" w:ascii="宋体" w:hAnsi="宋体"/>
                <w:color w:val="auto"/>
                <w:sz w:val="24"/>
                <w:szCs w:val="20"/>
                <w:highlight w:val="none"/>
              </w:rPr>
            </w:pPr>
          </w:p>
        </w:tc>
      </w:tr>
    </w:tbl>
    <w:p>
      <w:pPr>
        <w:snapToGrid w:val="0"/>
        <w:spacing w:before="50" w:after="120" w:afterLines="50"/>
        <w:jc w:val="left"/>
        <w:rPr>
          <w:rFonts w:hint="eastAsia" w:ascii="宋体" w:hAnsi="宋体"/>
          <w:color w:val="auto"/>
          <w:sz w:val="24"/>
          <w:szCs w:val="20"/>
          <w:highlight w:val="none"/>
        </w:rPr>
      </w:pPr>
    </w:p>
    <w:p>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注：在填写时，如本表格不适合投标单位的实际情况，可根据本表格式自行制表填写。</w:t>
      </w:r>
    </w:p>
    <w:p>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rPr>
          <w:rFonts w:hint="eastAsia"/>
          <w:b/>
          <w:color w:val="auto"/>
          <w:sz w:val="28"/>
          <w:szCs w:val="28"/>
          <w:highlight w:val="none"/>
        </w:rPr>
      </w:pPr>
      <w:r>
        <w:rPr>
          <w:rFonts w:hint="eastAsia" w:ascii="宋体" w:hAnsi="宋体"/>
          <w:color w:val="auto"/>
          <w:sz w:val="24"/>
          <w:szCs w:val="20"/>
          <w:highlight w:val="none"/>
        </w:rPr>
        <w:br w:type="page"/>
      </w:r>
      <w:bookmarkStart w:id="159" w:name="_Toc19686840"/>
      <w:r>
        <w:rPr>
          <w:rFonts w:hint="eastAsia"/>
          <w:b/>
          <w:color w:val="auto"/>
          <w:sz w:val="28"/>
          <w:szCs w:val="28"/>
          <w:highlight w:val="none"/>
        </w:rPr>
        <w:t>六、其他文书、文件格式</w:t>
      </w:r>
      <w:bookmarkEnd w:id="159"/>
    </w:p>
    <w:p>
      <w:pPr>
        <w:spacing w:before="120" w:beforeLines="50" w:after="120" w:afterLines="50" w:line="400" w:lineRule="exact"/>
        <w:rPr>
          <w:rFonts w:hint="eastAsia" w:ascii="宋体" w:hAnsi="宋体"/>
          <w:color w:val="auto"/>
          <w:sz w:val="24"/>
          <w:highlight w:val="none"/>
        </w:rPr>
      </w:pPr>
    </w:p>
    <w:p>
      <w:pPr>
        <w:snapToGrid w:val="0"/>
        <w:spacing w:before="120" w:beforeLines="50" w:after="50"/>
        <w:jc w:val="left"/>
        <w:rPr>
          <w:rFonts w:hint="eastAsia"/>
          <w:color w:val="auto"/>
          <w:highlight w:val="none"/>
        </w:rPr>
      </w:pPr>
      <w:r>
        <w:rPr>
          <w:rFonts w:hint="eastAsia" w:ascii="宋体" w:hAnsi="宋体"/>
          <w:b/>
          <w:color w:val="auto"/>
          <w:sz w:val="24"/>
          <w:highlight w:val="none"/>
        </w:rPr>
        <w:t xml:space="preserve"> 1.中小企业声明函格式（如有）</w:t>
      </w:r>
    </w:p>
    <w:p>
      <w:pPr>
        <w:rPr>
          <w:rFonts w:hint="eastAsia"/>
          <w:color w:val="auto"/>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pPr>
        <w:spacing w:before="2" w:line="500" w:lineRule="exact"/>
        <w:rPr>
          <w:rFonts w:ascii="宋体" w:hAnsi="宋体" w:cs="宋体"/>
          <w:b/>
          <w:bCs/>
          <w:color w:val="auto"/>
          <w:sz w:val="24"/>
          <w:highlight w:val="none"/>
        </w:rPr>
      </w:pPr>
    </w:p>
    <w:p>
      <w:pPr>
        <w:pStyle w:val="11"/>
        <w:spacing w:line="500" w:lineRule="exact"/>
        <w:ind w:right="142" w:firstLine="480" w:firstLineChars="200"/>
        <w:rPr>
          <w:rFonts w:ascii="宋体" w:hAnsi="宋体"/>
          <w:color w:val="auto"/>
          <w:highlight w:val="none"/>
        </w:rPr>
      </w:pPr>
      <w:r>
        <w:rPr>
          <w:rFonts w:ascii="宋体" w:hAnsi="宋体"/>
          <w:color w:val="auto"/>
          <w:highlight w:val="none"/>
        </w:rPr>
        <w:t>本公司</w:t>
      </w:r>
      <w:r>
        <w:rPr>
          <w:rFonts w:hint="eastAsia" w:ascii="宋体" w:hAnsi="宋体"/>
          <w:color w:val="auto"/>
          <w:highlight w:val="none"/>
          <w:u w:val="single"/>
        </w:rPr>
        <w:t xml:space="preserve">（     </w:t>
      </w:r>
      <w:r>
        <w:rPr>
          <w:rFonts w:ascii="宋体" w:hAnsi="宋体"/>
          <w:color w:val="auto"/>
          <w:highlight w:val="none"/>
          <w:u w:val="single"/>
        </w:rPr>
        <w:t>）</w:t>
      </w:r>
      <w:r>
        <w:rPr>
          <w:rFonts w:ascii="宋体" w:hAnsi="宋体"/>
          <w:color w:val="auto"/>
          <w:highlight w:val="none"/>
        </w:rPr>
        <w:t>郑重声明，根据《政府采购促进中小企业发展管理办法》（财库﹝2020﹞46号）的规定，本公司</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ascii="宋体" w:hAnsi="宋体"/>
          <w:color w:val="auto"/>
          <w:highlight w:val="none"/>
        </w:rPr>
        <w:t>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tabs>
          <w:tab w:val="left" w:pos="1065"/>
          <w:tab w:val="left" w:pos="4262"/>
          <w:tab w:val="left" w:pos="6477"/>
        </w:tabs>
        <w:spacing w:before="20" w:line="500" w:lineRule="exact"/>
        <w:ind w:right="84" w:firstLine="686" w:firstLineChars="286"/>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pStyle w:val="11"/>
        <w:spacing w:before="34" w:line="500" w:lineRule="exact"/>
        <w:ind w:left="765" w:right="142" w:hanging="5"/>
        <w:rPr>
          <w:rFonts w:ascii="宋体" w:hAnsi="宋体"/>
          <w:color w:val="auto"/>
          <w:highlight w:val="none"/>
        </w:rPr>
      </w:pPr>
      <w:r>
        <w:rPr>
          <w:rFonts w:ascii="宋体" w:hAnsi="宋体"/>
          <w:color w:val="auto"/>
          <w:highlight w:val="none"/>
        </w:rPr>
        <w:t xml:space="preserve">…… </w:t>
      </w:r>
    </w:p>
    <w:p>
      <w:pPr>
        <w:pStyle w:val="11"/>
        <w:spacing w:before="34" w:line="500" w:lineRule="exact"/>
        <w:ind w:right="142" w:firstLine="480" w:firstLineChars="200"/>
        <w:rPr>
          <w:rFonts w:hint="eastAsia"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pPr>
        <w:pStyle w:val="11"/>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pPr>
        <w:pStyle w:val="11"/>
        <w:spacing w:before="56" w:line="500" w:lineRule="exact"/>
        <w:ind w:left="3960" w:right="1808"/>
        <w:rPr>
          <w:rFonts w:ascii="宋体" w:hAnsi="宋体"/>
          <w:color w:val="auto"/>
          <w:highlight w:val="none"/>
        </w:rPr>
      </w:pPr>
      <w:r>
        <w:rPr>
          <w:rFonts w:ascii="宋体" w:hAnsi="宋体"/>
          <w:color w:val="auto"/>
          <w:highlight w:val="none"/>
        </w:rPr>
        <w:t xml:space="preserve">企业名称（章）： </w:t>
      </w:r>
    </w:p>
    <w:p>
      <w:pPr>
        <w:pStyle w:val="11"/>
        <w:spacing w:before="56" w:line="500" w:lineRule="exact"/>
        <w:ind w:left="3960" w:right="1808"/>
        <w:rPr>
          <w:rFonts w:hint="eastAsia" w:ascii="宋体" w:hAnsi="宋体"/>
          <w:color w:val="auto"/>
          <w:highlight w:val="none"/>
        </w:rPr>
      </w:pPr>
      <w:r>
        <w:rPr>
          <w:rFonts w:ascii="宋体" w:hAnsi="宋体"/>
          <w:color w:val="auto"/>
          <w:highlight w:val="none"/>
        </w:rPr>
        <w:t>日 期：</w:t>
      </w:r>
    </w:p>
    <w:p>
      <w:pPr>
        <w:rPr>
          <w:rFonts w:hint="eastAsia" w:ascii="宋体" w:hAnsi="宋体"/>
          <w:color w:val="auto"/>
          <w:sz w:val="24"/>
          <w:highlight w:val="none"/>
        </w:rPr>
      </w:pPr>
      <w:r>
        <w:rPr>
          <w:rFonts w:hint="eastAsia" w:ascii="宋体" w:hAnsi="宋体"/>
          <w:color w:val="auto"/>
          <w:spacing w:val="6"/>
          <w:sz w:val="24"/>
          <w:highlight w:val="none"/>
        </w:rPr>
        <w:t xml:space="preserve"> </w:t>
      </w:r>
    </w:p>
    <w:p>
      <w:pPr>
        <w:rPr>
          <w:rFonts w:hint="eastAsia" w:ascii="宋体" w:hAnsi="宋体"/>
          <w:b/>
          <w:color w:val="auto"/>
          <w:sz w:val="24"/>
          <w:highlight w:val="none"/>
        </w:rPr>
      </w:pPr>
      <w:r>
        <w:rPr>
          <w:rFonts w:hint="eastAsia" w:ascii="宋体" w:hAnsi="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color w:val="auto"/>
          <w:highlight w:val="none"/>
        </w:rPr>
        <w:br w:type="page"/>
      </w:r>
      <w:r>
        <w:rPr>
          <w:rFonts w:hint="eastAsia" w:ascii="宋体" w:hAnsi="宋体"/>
          <w:b/>
          <w:color w:val="auto"/>
          <w:sz w:val="24"/>
          <w:highlight w:val="none"/>
        </w:rPr>
        <w:t>2.残疾人福利性单位声明函格式（如有）</w:t>
      </w:r>
    </w:p>
    <w:p>
      <w:pPr>
        <w:spacing w:line="588" w:lineRule="exact"/>
        <w:jc w:val="center"/>
        <w:rPr>
          <w:rFonts w:hint="eastAsia" w:ascii="仿宋_GB2312" w:eastAsia="仿宋_GB2312"/>
          <w:b/>
          <w:color w:val="auto"/>
          <w:spacing w:val="6"/>
          <w:sz w:val="32"/>
          <w:szCs w:val="32"/>
          <w:highlight w:val="none"/>
        </w:rPr>
      </w:pPr>
      <w:bookmarkStart w:id="160" w:name="OLE_LINK14"/>
      <w:bookmarkStart w:id="161" w:name="OLE_LINK13"/>
    </w:p>
    <w:p>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bookmarkEnd w:id="160"/>
    <w:bookmarkEnd w:id="161"/>
    <w:p>
      <w:pPr>
        <w:spacing w:line="588" w:lineRule="exact"/>
        <w:rPr>
          <w:rFonts w:ascii="仿宋_GB2312" w:eastAsia="仿宋_GB2312"/>
          <w:b/>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hint="eastAsia"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pPr>
        <w:pStyle w:val="13"/>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13"/>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3"/>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□中标结果   </w:t>
      </w:r>
    </w:p>
    <w:p>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pPr>
        <w:pStyle w:val="13"/>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3"/>
        <w:spacing w:line="360" w:lineRule="auto"/>
        <w:ind w:left="25" w:leftChars="12" w:firstLine="352" w:firstLineChars="147"/>
        <w:rPr>
          <w:rFonts w:hint="eastAsia" w:hAnsi="宋体"/>
          <w:color w:val="auto"/>
          <w:sz w:val="24"/>
          <w:szCs w:val="24"/>
          <w:highlight w:val="none"/>
        </w:rPr>
      </w:pP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3"/>
        <w:spacing w:line="360" w:lineRule="auto"/>
        <w:ind w:left="25" w:leftChars="12" w:firstLine="352" w:firstLineChars="147"/>
        <w:rPr>
          <w:rFonts w:hint="eastAsia" w:hAnsi="宋体"/>
          <w:color w:val="auto"/>
          <w:sz w:val="24"/>
          <w:szCs w:val="24"/>
          <w:highlight w:val="none"/>
        </w:rPr>
      </w:pP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3"/>
        <w:snapToGrid w:val="0"/>
        <w:spacing w:line="360" w:lineRule="auto"/>
        <w:rPr>
          <w:rFonts w:hint="eastAsia" w:hAnsi="宋体"/>
          <w:b/>
          <w:color w:val="auto"/>
          <w:sz w:val="24"/>
          <w:szCs w:val="24"/>
          <w:highlight w:val="none"/>
        </w:rPr>
      </w:pPr>
    </w:p>
    <w:p>
      <w:pPr>
        <w:pStyle w:val="13"/>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3"/>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3"/>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spacing w:line="460" w:lineRule="exact"/>
        <w:rPr>
          <w:rFonts w:hint="eastAsia" w:eastAsia="隶书"/>
          <w:color w:val="auto"/>
          <w:sz w:val="44"/>
          <w:highlight w:val="none"/>
        </w:rPr>
      </w:pPr>
    </w:p>
    <w:p>
      <w:pPr>
        <w:spacing w:line="360" w:lineRule="auto"/>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4.投诉书（格式）</w:t>
      </w:r>
    </w:p>
    <w:p>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13"/>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13"/>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3"/>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pPr>
        <w:pStyle w:val="13"/>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13"/>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3"/>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pPr>
        <w:pStyle w:val="13"/>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pPr>
        <w:pStyle w:val="13"/>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13"/>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pPr>
        <w:pStyle w:val="13"/>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13"/>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13"/>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3"/>
        <w:spacing w:line="360" w:lineRule="auto"/>
        <w:ind w:left="25" w:leftChars="12" w:firstLine="352" w:firstLineChars="147"/>
        <w:rPr>
          <w:rFonts w:hint="eastAsia" w:hAnsi="宋体"/>
          <w:color w:val="auto"/>
          <w:sz w:val="24"/>
          <w:szCs w:val="24"/>
          <w:highlight w:val="none"/>
        </w:rPr>
      </w:pP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3"/>
        <w:spacing w:line="360" w:lineRule="auto"/>
        <w:ind w:left="25" w:leftChars="12" w:firstLine="352" w:firstLineChars="147"/>
        <w:rPr>
          <w:rFonts w:hint="eastAsia" w:hAnsi="宋体"/>
          <w:color w:val="auto"/>
          <w:sz w:val="24"/>
          <w:szCs w:val="24"/>
          <w:highlight w:val="none"/>
        </w:rPr>
      </w:pP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r>
        <w:rPr>
          <w:rFonts w:hint="eastAsia" w:hAnsi="宋体"/>
          <w:b/>
          <w:color w:val="auto"/>
          <w:sz w:val="24"/>
          <w:szCs w:val="24"/>
          <w:highlight w:val="none"/>
        </w:rPr>
        <w:t>说明：</w:t>
      </w:r>
    </w:p>
    <w:p>
      <w:pPr>
        <w:pStyle w:val="13"/>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pPr>
        <w:pStyle w:val="13"/>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rPr>
          <w:color w:val="auto"/>
          <w:highlight w:val="none"/>
        </w:rPr>
      </w:pPr>
    </w:p>
    <w:sectPr>
      <w:footerReference r:id="rId13" w:type="first"/>
      <w:headerReference r:id="rId10" w:type="default"/>
      <w:footerReference r:id="rId11" w:type="default"/>
      <w:footerReference r:id="rId12" w:type="even"/>
      <w:pgSz w:w="11910" w:h="16840"/>
      <w:pgMar w:top="1520" w:right="1503" w:bottom="278"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1FF" w:csb1="0000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rPr>
        <w:rFonts w:hint="eastAsia"/>
      </w:rPr>
      <w:t>7</w: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22</w:t>
                    </w:r>
                    <w: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2"/>
      </w:rPr>
    </w:pPr>
    <w:r>
      <w:fldChar w:fldCharType="begin"/>
    </w:r>
    <w:r>
      <w:rPr>
        <w:rStyle w:val="22"/>
      </w:rPr>
      <w:instrText xml:space="preserve">PAGE  </w:instrText>
    </w:r>
    <w:r>
      <w:fldChar w:fldCharType="separate"/>
    </w:r>
    <w:r>
      <w:rPr>
        <w:rStyle w:val="22"/>
      </w:rPr>
      <w:t>122</w:t>
    </w:r>
    <w:r>
      <w:fldChar w:fldCharType="end"/>
    </w:r>
  </w:p>
  <w:p>
    <w:pPr>
      <w:pStyle w:val="16"/>
      <w:ind w:right="360"/>
      <w:jc w:val="both"/>
      <w:rPr>
        <w:rFonts w:hint="eastAsia"/>
      </w:rPr>
    </w:pPr>
    <w:r>
      <w:rPr>
        <w:rFonts w:hint="eastAsia"/>
      </w:rPr>
      <w:t>121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78</w:t>
                    </w:r>
                    <w:r>
                      <w:fldChar w:fldCharType="end"/>
                    </w:r>
                  </w:p>
                </w:txbxContent>
              </v:textbox>
            </v:shape>
          </w:pict>
        </mc:Fallback>
      </mc:AlternateContent>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end"/>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27DE5"/>
    <w:multiLevelType w:val="multilevel"/>
    <w:tmpl w:val="03627DE5"/>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2405056"/>
    <w:multiLevelType w:val="multilevel"/>
    <w:tmpl w:val="42405056"/>
    <w:lvl w:ilvl="0" w:tentative="0">
      <w:start w:val="1"/>
      <w:numFmt w:val="decimal"/>
      <w:lvlText w:val="%1."/>
      <w:lvlJc w:val="left"/>
      <w:pPr>
        <w:ind w:left="990" w:hanging="360"/>
      </w:pPr>
      <w:rPr>
        <w:rFonts w:hint="default"/>
        <w:b/>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C601917"/>
    <w:multiLevelType w:val="singleLevel"/>
    <w:tmpl w:val="4C601917"/>
    <w:lvl w:ilvl="0" w:tentative="0">
      <w:start w:val="1"/>
      <w:numFmt w:val="decimal"/>
      <w:suff w:val="nothing"/>
      <w:lvlText w:val="（%1）"/>
      <w:lvlJc w:val="left"/>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72D60"/>
    <w:rsid w:val="385B091B"/>
    <w:rsid w:val="3D17145B"/>
    <w:rsid w:val="453E7122"/>
    <w:rsid w:val="4BC276A5"/>
    <w:rsid w:val="5765719A"/>
    <w:rsid w:val="75601535"/>
    <w:rsid w:val="76D06090"/>
    <w:rsid w:val="78AD5D0A"/>
    <w:rsid w:val="7C40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rPr>
      <w:szCs w:val="20"/>
    </w:r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qFormat/>
    <w:uiPriority w:val="99"/>
    <w:pPr>
      <w:spacing w:line="380" w:lineRule="exact"/>
    </w:pPr>
    <w:rPr>
      <w:kern w:val="0"/>
      <w:sz w:val="24"/>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Plain Text"/>
    <w:basedOn w:val="1"/>
    <w:next w:val="1"/>
    <w:qFormat/>
    <w:uiPriority w:val="0"/>
    <w:rPr>
      <w:rFonts w:ascii="宋体" w:hAnsi="Courier New"/>
      <w:kern w:val="0"/>
      <w:sz w:val="20"/>
      <w:szCs w:val="21"/>
    </w:rPr>
  </w:style>
  <w:style w:type="paragraph" w:styleId="14">
    <w:name w:val="Date"/>
    <w:basedOn w:val="1"/>
    <w:next w:val="1"/>
    <w:qFormat/>
    <w:uiPriority w:val="0"/>
    <w:pPr>
      <w:ind w:left="100" w:leftChars="2500"/>
    </w:pPr>
    <w:rPr>
      <w:rFonts w:ascii="宋体" w:hAnsi="Courier New"/>
      <w:kern w:val="0"/>
      <w:sz w:val="20"/>
      <w:szCs w:val="21"/>
    </w:rPr>
  </w:style>
  <w:style w:type="paragraph" w:styleId="15">
    <w:name w:val="Body Text Indent 2"/>
    <w:basedOn w:val="1"/>
    <w:qFormat/>
    <w:uiPriority w:val="0"/>
    <w:pPr>
      <w:ind w:firstLine="630"/>
    </w:pPr>
    <w:rPr>
      <w:kern w:val="0"/>
      <w:sz w:val="32"/>
      <w:szCs w:val="20"/>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9">
    <w:name w:val="List"/>
    <w:basedOn w:val="1"/>
    <w:qFormat/>
    <w:uiPriority w:val="0"/>
    <w:pPr>
      <w:ind w:left="200" w:hanging="200" w:hangingChars="200"/>
    </w:pPr>
    <w:rPr>
      <w:sz w:val="28"/>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样式 标题 2 + 宋体"/>
    <w:basedOn w:val="4"/>
    <w:qFormat/>
    <w:uiPriority w:val="99"/>
    <w:rPr>
      <w:rFonts w:ascii="宋体" w:hAnsi="宋体"/>
      <w:sz w:val="30"/>
    </w:rPr>
  </w:style>
  <w:style w:type="paragraph" w:customStyle="1" w:styleId="25">
    <w:name w:val="明显引用1"/>
    <w:basedOn w:val="1"/>
    <w:next w:val="1"/>
    <w:qFormat/>
    <w:uiPriority w:val="0"/>
    <w:pPr>
      <w:spacing w:line="360" w:lineRule="auto"/>
      <w:jc w:val="center"/>
    </w:pPr>
    <w:rPr>
      <w:rFonts w:ascii="宋体" w:hAnsi="华文细黑"/>
      <w:bCs/>
      <w:iCs/>
      <w:color w:val="000000"/>
      <w:szCs w:val="20"/>
    </w:rPr>
  </w:style>
  <w:style w:type="paragraph" w:customStyle="1" w:styleId="26">
    <w:name w:val="列表段落1"/>
    <w:basedOn w:val="1"/>
    <w:qFormat/>
    <w:uiPriority w:val="0"/>
    <w:pPr>
      <w:ind w:firstLine="420" w:firstLineChars="200"/>
    </w:pPr>
    <w:rPr>
      <w:rFonts w:ascii="Calibri" w:hAnsi="Calibri"/>
      <w:sz w:val="24"/>
      <w:szCs w:val="22"/>
    </w:rPr>
  </w:style>
  <w:style w:type="character" w:customStyle="1" w:styleId="2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2021-08-25T08:01:13Z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646274BED2F44F198E20A4A980432124</vt:lpwstr>
  </property>
</Properties>
</file>