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cs="宋体"/>
          <w:color w:val="auto"/>
          <w:sz w:val="28"/>
          <w:szCs w:val="24"/>
          <w:highlight w:val="none"/>
        </w:rPr>
      </w:pPr>
      <w:r>
        <w:rPr>
          <w:rFonts w:hint="eastAsia" w:ascii="宋体" w:hAnsi="宋体" w:cs="宋体"/>
          <w:color w:val="auto"/>
          <w:sz w:val="28"/>
          <w:szCs w:val="24"/>
          <w:highlight w:val="none"/>
        </w:rPr>
        <w:t xml:space="preserve">               </w:t>
      </w:r>
    </w:p>
    <w:p>
      <w:pPr>
        <w:spacing w:line="400" w:lineRule="exact"/>
        <w:rPr>
          <w:rFonts w:hint="eastAsia" w:ascii="宋体" w:hAnsi="宋体" w:cs="宋体"/>
          <w:color w:val="auto"/>
          <w:sz w:val="28"/>
          <w:szCs w:val="24"/>
          <w:highlight w:val="none"/>
        </w:rPr>
      </w:pPr>
    </w:p>
    <w:p>
      <w:pPr>
        <w:spacing w:line="400" w:lineRule="exact"/>
        <w:rPr>
          <w:rFonts w:hint="eastAsia" w:ascii="宋体" w:hAnsi="宋体" w:cs="宋体"/>
          <w:color w:val="auto"/>
          <w:sz w:val="28"/>
          <w:szCs w:val="24"/>
          <w:highlight w:val="none"/>
        </w:rPr>
      </w:pPr>
    </w:p>
    <w:p>
      <w:pPr>
        <w:spacing w:line="400" w:lineRule="exact"/>
        <w:rPr>
          <w:rFonts w:hint="eastAsia" w:ascii="宋体" w:hAnsi="宋体" w:cs="宋体"/>
          <w:color w:val="auto"/>
          <w:sz w:val="28"/>
          <w:szCs w:val="24"/>
          <w:highlight w:val="none"/>
        </w:rPr>
      </w:pPr>
    </w:p>
    <w:p>
      <w:pPr>
        <w:jc w:val="center"/>
        <w:rPr>
          <w:rFonts w:hint="eastAsia" w:ascii="宋体" w:hAnsi="宋体" w:cs="宋体"/>
          <w:color w:val="auto"/>
          <w:szCs w:val="24"/>
          <w:highlight w:val="none"/>
        </w:rPr>
      </w:pPr>
      <w:r>
        <w:rPr>
          <w:rFonts w:hint="eastAsia" w:ascii="宋体" w:hAnsi="宋体" w:cs="宋体"/>
          <w:b/>
          <w:bCs/>
          <w:color w:val="auto"/>
          <w:sz w:val="48"/>
          <w:szCs w:val="48"/>
          <w:highlight w:val="none"/>
        </w:rPr>
        <w:t>医用分子筛制氧系统采购及安装项目</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1000" w:lineRule="exact"/>
        <w:jc w:val="center"/>
        <w:rPr>
          <w:rFonts w:hint="eastAsia" w:ascii="宋体" w:hAnsi="宋体" w:cs="宋体"/>
          <w:b/>
          <w:color w:val="auto"/>
          <w:sz w:val="84"/>
          <w:szCs w:val="24"/>
          <w:highlight w:val="none"/>
        </w:rPr>
      </w:pPr>
      <w:r>
        <w:rPr>
          <w:rFonts w:hint="eastAsia" w:ascii="宋体" w:hAnsi="宋体" w:cs="宋体"/>
          <w:b/>
          <w:color w:val="auto"/>
          <w:sz w:val="84"/>
          <w:szCs w:val="24"/>
          <w:highlight w:val="none"/>
        </w:rPr>
        <w:t>招 标 文 件</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700" w:lineRule="exact"/>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项目采购编号：HZZC2020-G1-000367-BJCJ</w:t>
      </w:r>
    </w:p>
    <w:p>
      <w:pPr>
        <w:spacing w:line="400" w:lineRule="exact"/>
        <w:rPr>
          <w:rFonts w:hint="eastAsia" w:ascii="宋体" w:hAnsi="宋体" w:cs="宋体"/>
          <w:b/>
          <w:color w:val="auto"/>
          <w:sz w:val="32"/>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400" w:lineRule="exact"/>
        <w:rPr>
          <w:rFonts w:hint="eastAsia" w:ascii="宋体" w:hAnsi="宋体" w:cs="宋体"/>
          <w:b/>
          <w:color w:val="auto"/>
          <w:szCs w:val="24"/>
          <w:highlight w:val="none"/>
        </w:rPr>
      </w:pPr>
    </w:p>
    <w:p>
      <w:pPr>
        <w:spacing w:line="500" w:lineRule="exact"/>
        <w:ind w:firstLine="1606" w:firstLineChars="500"/>
        <w:rPr>
          <w:rFonts w:hint="eastAsia" w:ascii="宋体" w:hAnsi="宋体" w:cs="宋体"/>
          <w:b/>
          <w:color w:val="auto"/>
          <w:sz w:val="32"/>
          <w:szCs w:val="24"/>
          <w:highlight w:val="none"/>
        </w:rPr>
      </w:pPr>
      <w:r>
        <w:rPr>
          <w:rFonts w:hint="eastAsia" w:ascii="宋体" w:hAnsi="宋体" w:cs="宋体"/>
          <w:b/>
          <w:color w:val="auto"/>
          <w:sz w:val="32"/>
          <w:szCs w:val="24"/>
          <w:highlight w:val="none"/>
        </w:rPr>
        <w:t>采   购   人：广西壮族自治区桂东人民医院</w:t>
      </w:r>
    </w:p>
    <w:p>
      <w:pPr>
        <w:spacing w:line="500" w:lineRule="exact"/>
        <w:ind w:firstLine="1590" w:firstLineChars="495"/>
        <w:jc w:val="left"/>
        <w:rPr>
          <w:rFonts w:hint="eastAsia" w:ascii="宋体" w:hAnsi="宋体" w:cs="宋体"/>
          <w:b/>
          <w:color w:val="auto"/>
          <w:sz w:val="32"/>
          <w:szCs w:val="24"/>
          <w:highlight w:val="none"/>
        </w:rPr>
      </w:pPr>
      <w:r>
        <w:rPr>
          <w:rFonts w:hint="eastAsia" w:ascii="宋体" w:hAnsi="宋体" w:cs="宋体"/>
          <w:b/>
          <w:color w:val="auto"/>
          <w:sz w:val="32"/>
          <w:szCs w:val="24"/>
          <w:highlight w:val="none"/>
        </w:rPr>
        <w:t>采购代理机构：</w:t>
      </w:r>
      <w:r>
        <w:rPr>
          <w:rFonts w:hint="eastAsia" w:hAnsi="宋体"/>
          <w:b/>
          <w:color w:val="auto"/>
          <w:sz w:val="32"/>
          <w:szCs w:val="32"/>
          <w:highlight w:val="none"/>
        </w:rPr>
        <w:t>北京诚佳信工程管理有限公司</w:t>
      </w:r>
    </w:p>
    <w:p>
      <w:pPr>
        <w:spacing w:line="500" w:lineRule="exact"/>
        <w:ind w:firstLine="1606" w:firstLineChars="500"/>
        <w:rPr>
          <w:rFonts w:hint="eastAsia" w:ascii="宋体" w:hAnsi="宋体" w:cs="宋体"/>
          <w:b/>
          <w:color w:val="auto"/>
          <w:sz w:val="32"/>
          <w:szCs w:val="24"/>
          <w:highlight w:val="none"/>
        </w:rPr>
        <w:sectPr>
          <w:footerReference r:id="rId3" w:type="even"/>
          <w:pgSz w:w="11906" w:h="16838"/>
          <w:pgMar w:top="1134" w:right="851" w:bottom="1134" w:left="851" w:header="567" w:footer="567" w:gutter="0"/>
          <w:pgNumType w:start="0"/>
          <w:cols w:space="720" w:num="1"/>
          <w:docGrid w:type="lines" w:linePitch="331" w:charSpace="0"/>
        </w:sectPr>
      </w:pPr>
      <w:r>
        <w:rPr>
          <w:rFonts w:hint="eastAsia" w:ascii="宋体" w:hAnsi="宋体" w:cs="宋体"/>
          <w:b/>
          <w:color w:val="auto"/>
          <w:sz w:val="32"/>
          <w:szCs w:val="24"/>
          <w:highlight w:val="none"/>
        </w:rPr>
        <w:t>日        期：2020年8月  日</w:t>
      </w:r>
    </w:p>
    <w:p>
      <w:pPr>
        <w:spacing w:line="400" w:lineRule="exact"/>
        <w:rPr>
          <w:rFonts w:hint="eastAsia" w:ascii="宋体" w:hAnsi="宋体" w:cs="宋体"/>
          <w:b/>
          <w:color w:val="auto"/>
          <w:szCs w:val="24"/>
          <w:highlight w:val="none"/>
        </w:rPr>
      </w:pPr>
    </w:p>
    <w:p>
      <w:pPr>
        <w:spacing w:line="400" w:lineRule="exact"/>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目  录</w:t>
      </w:r>
    </w:p>
    <w:p>
      <w:pPr>
        <w:spacing w:line="600" w:lineRule="exact"/>
        <w:rPr>
          <w:rFonts w:hint="eastAsia" w:ascii="宋体" w:hAnsi="宋体" w:cs="宋体"/>
          <w:b/>
          <w:color w:val="auto"/>
          <w:szCs w:val="24"/>
          <w:highlight w:val="none"/>
        </w:rPr>
      </w:pP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TOC \o "1-1" \h \u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_Toc7145 </w:instrText>
      </w:r>
      <w:r>
        <w:rPr>
          <w:rFonts w:hint="eastAsia" w:ascii="宋体" w:hAnsi="宋体" w:cs="宋体"/>
          <w:color w:val="auto"/>
          <w:szCs w:val="24"/>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_Toc7145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4"/>
          <w:highlight w:val="none"/>
        </w:rPr>
        <w:fldChar w:fldCharType="end"/>
      </w: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_Toc23401 </w:instrText>
      </w:r>
      <w:r>
        <w:rPr>
          <w:rFonts w:hint="eastAsia" w:ascii="宋体" w:hAnsi="宋体" w:cs="宋体"/>
          <w:color w:val="auto"/>
          <w:szCs w:val="24"/>
          <w:highlight w:val="none"/>
        </w:rPr>
        <w:fldChar w:fldCharType="separate"/>
      </w:r>
      <w:r>
        <w:rPr>
          <w:rFonts w:hint="eastAsia"/>
          <w:color w:val="auto"/>
          <w:highlight w:val="none"/>
        </w:rPr>
        <w:t>第二章  投标供应商须知</w:t>
      </w:r>
      <w:r>
        <w:rPr>
          <w:color w:val="auto"/>
          <w:highlight w:val="none"/>
        </w:rPr>
        <w:tab/>
      </w:r>
      <w:r>
        <w:rPr>
          <w:color w:val="auto"/>
          <w:highlight w:val="none"/>
        </w:rPr>
        <w:fldChar w:fldCharType="begin"/>
      </w:r>
      <w:r>
        <w:rPr>
          <w:color w:val="auto"/>
          <w:highlight w:val="none"/>
        </w:rPr>
        <w:instrText xml:space="preserve"> PAGEREF _Toc23401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_Toc20603 </w:instrText>
      </w:r>
      <w:r>
        <w:rPr>
          <w:rFonts w:hint="eastAsia" w:ascii="宋体" w:hAnsi="宋体" w:cs="宋体"/>
          <w:color w:val="auto"/>
          <w:szCs w:val="24"/>
          <w:highlight w:val="none"/>
        </w:rPr>
        <w:fldChar w:fldCharType="separate"/>
      </w:r>
      <w:r>
        <w:rPr>
          <w:rFonts w:hint="eastAsia"/>
          <w:color w:val="auto"/>
          <w:highlight w:val="none"/>
        </w:rPr>
        <w:t>第三章  项目需求和说明</w:t>
      </w:r>
      <w:r>
        <w:rPr>
          <w:color w:val="auto"/>
          <w:highlight w:val="none"/>
        </w:rPr>
        <w:tab/>
      </w:r>
      <w:r>
        <w:rPr>
          <w:color w:val="auto"/>
          <w:highlight w:val="none"/>
        </w:rPr>
        <w:fldChar w:fldCharType="begin"/>
      </w:r>
      <w:r>
        <w:rPr>
          <w:color w:val="auto"/>
          <w:highlight w:val="none"/>
        </w:rPr>
        <w:instrText xml:space="preserve"> PAGEREF _Toc20603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_Toc24915 </w:instrText>
      </w:r>
      <w:r>
        <w:rPr>
          <w:rFonts w:hint="eastAsia" w:ascii="宋体" w:hAnsi="宋体" w:cs="宋体"/>
          <w:color w:val="auto"/>
          <w:szCs w:val="24"/>
          <w:highlight w:val="none"/>
        </w:rPr>
        <w:fldChar w:fldCharType="separate"/>
      </w:r>
      <w:r>
        <w:rPr>
          <w:rFonts w:hint="eastAsia"/>
          <w:color w:val="auto"/>
          <w:highlight w:val="none"/>
        </w:rPr>
        <w:t>第四章  政府采购合同（格式）</w:t>
      </w:r>
      <w:r>
        <w:rPr>
          <w:color w:val="auto"/>
          <w:highlight w:val="none"/>
        </w:rPr>
        <w:tab/>
      </w:r>
      <w:r>
        <w:rPr>
          <w:color w:val="auto"/>
          <w:highlight w:val="none"/>
        </w:rPr>
        <w:fldChar w:fldCharType="begin"/>
      </w:r>
      <w:r>
        <w:rPr>
          <w:color w:val="auto"/>
          <w:highlight w:val="none"/>
        </w:rPr>
        <w:instrText xml:space="preserve"> PAGEREF _Toc24915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4"/>
          <w:highlight w:val="none"/>
        </w:rPr>
        <w:fldChar w:fldCharType="end"/>
      </w: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_Toc16926 </w:instrText>
      </w:r>
      <w:r>
        <w:rPr>
          <w:rFonts w:hint="eastAsia" w:ascii="宋体" w:hAnsi="宋体" w:cs="宋体"/>
          <w:color w:val="auto"/>
          <w:szCs w:val="24"/>
          <w:highlight w:val="none"/>
        </w:rPr>
        <w:fldChar w:fldCharType="separate"/>
      </w:r>
      <w:r>
        <w:rPr>
          <w:rFonts w:hint="eastAsia"/>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_Toc16926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24"/>
          <w:highlight w:val="none"/>
        </w:rPr>
        <w:fldChar w:fldCharType="end"/>
      </w:r>
    </w:p>
    <w:p>
      <w:pPr>
        <w:pStyle w:val="2"/>
        <w:tabs>
          <w:tab w:val="right" w:leader="dot" w:pos="10204"/>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_Toc21565 </w:instrText>
      </w:r>
      <w:r>
        <w:rPr>
          <w:rFonts w:hint="eastAsia" w:ascii="宋体" w:hAnsi="宋体" w:cs="宋体"/>
          <w:color w:val="auto"/>
          <w:szCs w:val="24"/>
          <w:highlight w:val="none"/>
        </w:rPr>
        <w:fldChar w:fldCharType="separate"/>
      </w:r>
      <w:r>
        <w:rPr>
          <w:rFonts w:hint="eastAsia"/>
          <w:color w:val="auto"/>
          <w:highlight w:val="none"/>
        </w:rPr>
        <w:t>第六章  评标方法和评标标准</w:t>
      </w:r>
      <w:r>
        <w:rPr>
          <w:color w:val="auto"/>
          <w:highlight w:val="none"/>
        </w:rPr>
        <w:tab/>
      </w:r>
      <w:r>
        <w:rPr>
          <w:color w:val="auto"/>
          <w:highlight w:val="none"/>
        </w:rPr>
        <w:fldChar w:fldCharType="begin"/>
      </w:r>
      <w:r>
        <w:rPr>
          <w:color w:val="auto"/>
          <w:highlight w:val="none"/>
        </w:rPr>
        <w:instrText xml:space="preserve"> PAGEREF _Toc21565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24"/>
          <w:highlight w:val="none"/>
        </w:rPr>
        <w:fldChar w:fldCharType="end"/>
      </w:r>
    </w:p>
    <w:p>
      <w:pPr>
        <w:spacing w:line="600" w:lineRule="exact"/>
        <w:rPr>
          <w:rFonts w:hint="eastAsia" w:ascii="宋体" w:hAnsi="宋体" w:cs="宋体"/>
          <w:color w:val="auto"/>
          <w:szCs w:val="24"/>
          <w:highlight w:val="none"/>
        </w:rPr>
        <w:sectPr>
          <w:headerReference r:id="rId5" w:type="first"/>
          <w:footerReference r:id="rId7" w:type="first"/>
          <w:headerReference r:id="rId4" w:type="default"/>
          <w:footerReference r:id="rId6" w:type="default"/>
          <w:pgSz w:w="11906" w:h="16838"/>
          <w:pgMar w:top="1134" w:right="851" w:bottom="1134" w:left="851" w:header="567" w:footer="567" w:gutter="0"/>
          <w:pgNumType w:fmt="upperRoman" w:start="1"/>
          <w:cols w:space="720" w:num="1"/>
          <w:docGrid w:type="lines" w:linePitch="331" w:charSpace="0"/>
        </w:sectPr>
      </w:pPr>
      <w:r>
        <w:rPr>
          <w:rFonts w:hint="eastAsia" w:ascii="宋体" w:hAnsi="宋体" w:cs="宋体"/>
          <w:color w:val="auto"/>
          <w:szCs w:val="24"/>
          <w:highlight w:val="none"/>
        </w:rPr>
        <w:fldChar w:fldCharType="end"/>
      </w:r>
    </w:p>
    <w:p>
      <w:pPr>
        <w:pStyle w:val="3"/>
        <w:rPr>
          <w:rFonts w:hint="eastAsia" w:ascii="宋体" w:hAnsi="宋体" w:cs="宋体"/>
          <w:b w:val="0"/>
          <w:bCs/>
          <w:color w:val="auto"/>
          <w:szCs w:val="24"/>
          <w:highlight w:val="none"/>
        </w:rPr>
      </w:pPr>
      <w:bookmarkStart w:id="0" w:name="_Toc7145"/>
      <w:bookmarkStart w:id="1" w:name="_Toc305850708"/>
      <w:bookmarkStart w:id="2" w:name="_Toc5502"/>
      <w:r>
        <w:rPr>
          <w:rFonts w:hint="eastAsia"/>
          <w:color w:val="auto"/>
          <w:sz w:val="40"/>
          <w:szCs w:val="22"/>
          <w:highlight w:val="none"/>
        </w:rPr>
        <w:t>第一章  招标公告</w:t>
      </w:r>
      <w:bookmarkEnd w:id="0"/>
      <w:bookmarkEnd w:id="1"/>
      <w:bookmarkEnd w:id="2"/>
    </w:p>
    <w:p>
      <w:pPr>
        <w:jc w:val="center"/>
        <w:rPr>
          <w:rFonts w:hint="eastAsia" w:ascii="宋体" w:hAnsi="宋体" w:cs="宋体"/>
          <w:b/>
          <w:bCs/>
          <w:color w:val="auto"/>
          <w:sz w:val="32"/>
          <w:szCs w:val="24"/>
          <w:highlight w:val="none"/>
        </w:rPr>
      </w:pPr>
      <w:r>
        <w:rPr>
          <w:rFonts w:hint="eastAsia" w:ascii="宋体" w:hAnsi="宋体" w:cs="宋体"/>
          <w:b/>
          <w:bCs/>
          <w:color w:val="auto"/>
          <w:sz w:val="32"/>
          <w:szCs w:val="32"/>
          <w:highlight w:val="none"/>
        </w:rPr>
        <w:t>北京诚佳信工程管理有限公司</w:t>
      </w:r>
      <w:r>
        <w:rPr>
          <w:rFonts w:hint="eastAsia" w:ascii="宋体" w:hAnsi="宋体" w:cs="宋体"/>
          <w:b/>
          <w:bCs/>
          <w:color w:val="auto"/>
          <w:sz w:val="32"/>
          <w:szCs w:val="24"/>
          <w:highlight w:val="none"/>
        </w:rPr>
        <w:t>关于</w:t>
      </w:r>
      <w:bookmarkStart w:id="157" w:name="_GoBack"/>
      <w:r>
        <w:rPr>
          <w:rFonts w:hint="eastAsia" w:ascii="宋体" w:hAnsi="宋体" w:cs="宋体"/>
          <w:b/>
          <w:bCs/>
          <w:color w:val="auto"/>
          <w:sz w:val="32"/>
          <w:szCs w:val="24"/>
          <w:highlight w:val="none"/>
        </w:rPr>
        <w:t>医用分子筛制氧系统采购及安装项目（项目采购编号：HZZC2020-G1-000367-BJCJ）</w:t>
      </w:r>
      <w:bookmarkEnd w:id="157"/>
      <w:r>
        <w:rPr>
          <w:rFonts w:hint="eastAsia" w:ascii="宋体" w:hAnsi="宋体" w:cs="宋体"/>
          <w:b/>
          <w:bCs/>
          <w:color w:val="auto"/>
          <w:sz w:val="32"/>
          <w:szCs w:val="24"/>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color w:val="auto"/>
          <w:sz w:val="24"/>
          <w:szCs w:val="24"/>
          <w:highlight w:val="none"/>
        </w:rPr>
      </w:pPr>
      <w:r>
        <w:rPr>
          <w:rFonts w:hint="eastAsia" w:ascii="宋体" w:hAnsi="宋体" w:cs="宋体"/>
          <w:color w:val="auto"/>
          <w:sz w:val="24"/>
          <w:szCs w:val="24"/>
          <w:highlight w:val="none"/>
          <w:u w:val="single"/>
        </w:rPr>
        <w:t>医用分子筛制氧系统采购及安装项目</w:t>
      </w:r>
      <w:r>
        <w:rPr>
          <w:rFonts w:hint="eastAsia" w:ascii="宋体" w:hAnsi="宋体" w:cs="宋体"/>
          <w:color w:val="auto"/>
          <w:sz w:val="24"/>
          <w:szCs w:val="24"/>
          <w:highlight w:val="none"/>
        </w:rPr>
        <w:t>招标项目的潜在投标人应在</w:t>
      </w:r>
      <w:r>
        <w:rPr>
          <w:rFonts w:hint="eastAsia" w:ascii="宋体" w:hAnsi="宋体" w:cs="宋体"/>
          <w:color w:val="auto"/>
          <w:sz w:val="24"/>
          <w:szCs w:val="24"/>
          <w:highlight w:val="none"/>
          <w:u w:val="single"/>
        </w:rPr>
        <w:t>贺州市公共资源交易中心服务窗口【地址：广西贺州市鞍山西路83-1号4楼，联系电话：0774-5268001】</w:t>
      </w:r>
      <w:r>
        <w:rPr>
          <w:rFonts w:hint="eastAsia" w:ascii="宋体" w:hAnsi="宋体" w:cs="宋体"/>
          <w:color w:val="auto"/>
          <w:sz w:val="24"/>
          <w:szCs w:val="24"/>
          <w:highlight w:val="none"/>
        </w:rPr>
        <w:t>获取招标文件，并于</w:t>
      </w:r>
      <w:r>
        <w:rPr>
          <w:rFonts w:hint="eastAsia" w:ascii="宋体" w:hAnsi="宋体" w:cs="宋体"/>
          <w:color w:val="auto"/>
          <w:sz w:val="24"/>
          <w:szCs w:val="24"/>
          <w:highlight w:val="none"/>
          <w:u w:val="single"/>
        </w:rPr>
        <w:t>2020</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15</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pPr>
        <w:pStyle w:val="4"/>
        <w:spacing w:line="240" w:lineRule="auto"/>
        <w:ind w:firstLine="482" w:firstLineChars="200"/>
        <w:jc w:val="both"/>
        <w:rPr>
          <w:rFonts w:ascii="黑体" w:hAnsi="黑体" w:cs="宋体"/>
          <w:color w:val="auto"/>
          <w:sz w:val="24"/>
          <w:szCs w:val="24"/>
          <w:highlight w:val="none"/>
        </w:rPr>
      </w:pPr>
      <w:bookmarkStart w:id="3" w:name="_Toc28359002"/>
      <w:bookmarkStart w:id="4" w:name="_Toc35393621"/>
      <w:bookmarkStart w:id="5" w:name="_Toc35393790"/>
      <w:bookmarkStart w:id="6" w:name="_Toc28359079"/>
      <w:bookmarkStart w:id="7" w:name="_Hlk24379207"/>
      <w:r>
        <w:rPr>
          <w:rFonts w:hint="eastAsia" w:ascii="黑体" w:hAnsi="黑体" w:cs="宋体"/>
          <w:b/>
          <w:bCs/>
          <w:color w:val="auto"/>
          <w:sz w:val="24"/>
          <w:szCs w:val="24"/>
          <w:highlight w:val="none"/>
        </w:rPr>
        <w:t>一、项目基本情况</w:t>
      </w:r>
      <w:bookmarkEnd w:id="3"/>
      <w:bookmarkEnd w:id="4"/>
      <w:bookmarkEnd w:id="5"/>
      <w:bookmarkEnd w:id="6"/>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1、项目编号：HZZC2020-G1-000367-BJCJ</w:t>
      </w:r>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2、项目名称：医用分子筛制氧系统采购及安装项目</w:t>
      </w:r>
    </w:p>
    <w:bookmarkEnd w:id="7"/>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3、预算金额：人民币贰佰柒拾玖万伍仟元整（￥：2，795，000.00元）；</w:t>
      </w:r>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4、最高限价：人民币贰佰柒拾玖万伍仟元整（￥：2，795，000.00元）；</w:t>
      </w:r>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5、采购需求：采购医用分子筛制氧系统采购及安装项目壹套；</w:t>
      </w:r>
    </w:p>
    <w:p>
      <w:pPr>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6、合同履行期限：合同签订之日起至质保期届满之日止；</w:t>
      </w:r>
    </w:p>
    <w:p>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7、本项目不接受联合体投标。</w:t>
      </w:r>
    </w:p>
    <w:p>
      <w:pPr>
        <w:pStyle w:val="4"/>
        <w:spacing w:line="240" w:lineRule="auto"/>
        <w:ind w:firstLine="482" w:firstLineChars="200"/>
        <w:jc w:val="left"/>
        <w:rPr>
          <w:rFonts w:ascii="黑体" w:hAnsi="黑体" w:cs="宋体"/>
          <w:b/>
          <w:bCs/>
          <w:color w:val="auto"/>
          <w:sz w:val="24"/>
          <w:szCs w:val="24"/>
          <w:highlight w:val="none"/>
        </w:rPr>
      </w:pPr>
      <w:bookmarkStart w:id="8" w:name="_Toc28359003"/>
      <w:bookmarkStart w:id="9" w:name="_Toc28359080"/>
      <w:bookmarkStart w:id="10" w:name="_Toc35393622"/>
      <w:bookmarkStart w:id="11" w:name="_Toc35393791"/>
      <w:r>
        <w:rPr>
          <w:rFonts w:hint="eastAsia" w:ascii="黑体" w:hAnsi="黑体" w:cs="宋体"/>
          <w:b/>
          <w:bCs/>
          <w:color w:val="auto"/>
          <w:sz w:val="24"/>
          <w:szCs w:val="24"/>
          <w:highlight w:val="none"/>
        </w:rPr>
        <w:t>二、申请人的资格要求：</w:t>
      </w:r>
      <w:bookmarkEnd w:id="8"/>
      <w:bookmarkEnd w:id="9"/>
      <w:bookmarkEnd w:id="10"/>
      <w:bookmarkEnd w:id="11"/>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spacing w:line="400" w:lineRule="exact"/>
        <w:ind w:firstLine="480" w:firstLineChars="200"/>
        <w:rPr>
          <w:rFonts w:hint="eastAsia" w:ascii="宋体" w:hAnsi="宋体" w:cs="宋体"/>
          <w:color w:val="auto"/>
          <w:sz w:val="24"/>
          <w:szCs w:val="24"/>
          <w:highlight w:val="none"/>
          <w:u w:val="single"/>
        </w:rPr>
      </w:pPr>
      <w:bookmarkStart w:id="12" w:name="_Toc28359004"/>
      <w:bookmarkStart w:id="13" w:name="_Toc28359081"/>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u w:val="single"/>
        </w:rPr>
        <w:t>无</w:t>
      </w:r>
    </w:p>
    <w:p>
      <w:pPr>
        <w:pStyle w:val="16"/>
        <w:rPr>
          <w:color w:val="auto"/>
          <w:highlight w:val="none"/>
        </w:rPr>
      </w:pPr>
      <w:r>
        <w:rPr>
          <w:rFonts w:hint="eastAsia" w:ascii="宋体" w:hAnsi="宋体" w:cs="宋体"/>
          <w:color w:val="auto"/>
          <w:highlight w:val="none"/>
        </w:rPr>
        <w:t xml:space="preserve">    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4.本项目的特定资格要求：</w:t>
      </w:r>
      <w:bookmarkStart w:id="14" w:name="_Toc35393792"/>
      <w:bookmarkStart w:id="15" w:name="_Toc35393623"/>
    </w:p>
    <w:p>
      <w:pPr>
        <w:pStyle w:val="4"/>
        <w:spacing w:line="40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投标人或所投标设备生产企业需</w:t>
      </w:r>
      <w:r>
        <w:rPr>
          <w:rFonts w:hint="eastAsia" w:ascii="宋体" w:hAnsi="宋体" w:cs="宋体"/>
          <w:color w:val="auto"/>
          <w:sz w:val="24"/>
          <w:szCs w:val="24"/>
          <w:highlight w:val="none"/>
        </w:rPr>
        <w:t>具备机电设备安装专业承包贰级及以上资质；</w:t>
      </w:r>
    </w:p>
    <w:p>
      <w:pPr>
        <w:spacing w:line="4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（2）投标人或所投标设备生产企业需具备中华人民共和国特种设备安装改造维修许可证（压力管道GC2级及以上）；</w:t>
      </w:r>
    </w:p>
    <w:p>
      <w:pPr>
        <w:pStyle w:val="17"/>
        <w:spacing w:line="400" w:lineRule="exact"/>
        <w:ind w:firstLine="240" w:firstLineChars="100"/>
        <w:rPr>
          <w:rFonts w:hint="eastAsia" w:hAnsi="宋体" w:cs="宋体"/>
          <w:color w:val="auto"/>
          <w:szCs w:val="24"/>
          <w:highlight w:val="none"/>
        </w:rPr>
      </w:pPr>
      <w:r>
        <w:rPr>
          <w:rFonts w:hint="eastAsia" w:hAnsi="宋体" w:cs="宋体"/>
          <w:color w:val="auto"/>
          <w:szCs w:val="24"/>
          <w:highlight w:val="none"/>
        </w:rPr>
        <w:t>（3）投标人或所投标设备生产企业具备中华人民共和国特种设备安装改造维修许可证（压力容器）；</w:t>
      </w:r>
    </w:p>
    <w:p>
      <w:pPr>
        <w:pStyle w:val="17"/>
        <w:spacing w:line="400" w:lineRule="exact"/>
        <w:ind w:firstLine="240" w:firstLineChars="100"/>
        <w:rPr>
          <w:rFonts w:hint="eastAsia" w:hAnsi="宋体" w:cs="宋体"/>
          <w:color w:val="auto"/>
          <w:szCs w:val="24"/>
          <w:highlight w:val="none"/>
        </w:rPr>
      </w:pPr>
      <w:r>
        <w:rPr>
          <w:rFonts w:hint="eastAsia" w:hAnsi="宋体" w:cs="宋体"/>
          <w:color w:val="auto"/>
          <w:szCs w:val="24"/>
          <w:highlight w:val="none"/>
        </w:rPr>
        <w:t>（4）投标人或所投标设备生产企业需具备医用分子筛中心制氧系统设备《医疗器械注册证》；</w:t>
      </w:r>
    </w:p>
    <w:p>
      <w:pPr>
        <w:pStyle w:val="17"/>
        <w:spacing w:line="400" w:lineRule="exact"/>
        <w:ind w:firstLine="240" w:firstLineChars="100"/>
        <w:rPr>
          <w:rFonts w:hint="eastAsia" w:hAnsi="宋体" w:cs="宋体"/>
          <w:color w:val="auto"/>
          <w:szCs w:val="24"/>
          <w:highlight w:val="none"/>
        </w:rPr>
      </w:pPr>
      <w:r>
        <w:rPr>
          <w:rFonts w:hint="eastAsia" w:hAnsi="宋体" w:cs="宋体"/>
          <w:color w:val="auto"/>
          <w:szCs w:val="24"/>
          <w:highlight w:val="none"/>
        </w:rPr>
        <w:t>（5）投标人具备行业主管部门颁发的有效医疗器械经营许可证。</w:t>
      </w:r>
    </w:p>
    <w:p>
      <w:pPr>
        <w:pStyle w:val="17"/>
        <w:ind w:firstLine="241" w:firstLineChars="100"/>
        <w:rPr>
          <w:rFonts w:hint="eastAsia" w:ascii="黑体" w:hAnsi="黑体" w:cs="宋体"/>
          <w:b/>
          <w:bCs/>
          <w:color w:val="auto"/>
          <w:szCs w:val="24"/>
          <w:highlight w:val="none"/>
        </w:rPr>
      </w:pPr>
      <w:r>
        <w:rPr>
          <w:rFonts w:hint="eastAsia" w:ascii="黑体" w:hAnsi="黑体" w:cs="宋体"/>
          <w:b/>
          <w:bCs/>
          <w:color w:val="auto"/>
          <w:szCs w:val="24"/>
          <w:highlight w:val="none"/>
        </w:rPr>
        <w:t>三、获取招标文件</w:t>
      </w:r>
      <w:bookmarkEnd w:id="12"/>
      <w:bookmarkEnd w:id="13"/>
      <w:bookmarkEnd w:id="14"/>
      <w:bookmarkEnd w:id="15"/>
      <w:bookmarkStart w:id="16" w:name="_Toc28359005"/>
      <w:bookmarkStart w:id="17" w:name="_Toc28359082"/>
      <w:bookmarkStart w:id="18" w:name="_Toc35393793"/>
      <w:bookmarkStart w:id="19" w:name="_Toc35393624"/>
    </w:p>
    <w:p>
      <w:pPr>
        <w:pStyle w:val="17"/>
        <w:ind w:firstLine="240" w:firstLineChars="100"/>
        <w:rPr>
          <w:rFonts w:hint="eastAsia" w:hAnsi="宋体" w:cs="宋体"/>
          <w:color w:val="auto"/>
          <w:szCs w:val="24"/>
          <w:highlight w:val="none"/>
        </w:rPr>
      </w:pPr>
      <w:r>
        <w:rPr>
          <w:rFonts w:hint="eastAsia" w:hAnsi="宋体" w:cs="宋体"/>
          <w:color w:val="auto"/>
          <w:szCs w:val="24"/>
          <w:highlight w:val="none"/>
        </w:rPr>
        <w:t>1、时间：</w:t>
      </w:r>
      <w:r>
        <w:rPr>
          <w:rFonts w:hint="eastAsia" w:hAnsi="宋体" w:cs="宋体"/>
          <w:color w:val="auto"/>
          <w:szCs w:val="24"/>
          <w:highlight w:val="none"/>
          <w:u w:val="single"/>
        </w:rPr>
        <w:t>2020</w:t>
      </w:r>
      <w:r>
        <w:rPr>
          <w:rFonts w:hint="eastAsia" w:hAnsi="宋体" w:cs="宋体"/>
          <w:color w:val="auto"/>
          <w:szCs w:val="24"/>
          <w:highlight w:val="none"/>
        </w:rPr>
        <w:t>年</w:t>
      </w:r>
      <w:r>
        <w:rPr>
          <w:rFonts w:hint="eastAsia" w:hAnsi="宋体" w:cs="宋体"/>
          <w:color w:val="auto"/>
          <w:szCs w:val="24"/>
          <w:highlight w:val="none"/>
          <w:u w:val="single"/>
          <w:lang w:val="en-US" w:eastAsia="zh-CN"/>
        </w:rPr>
        <w:t xml:space="preserve"> 8 </w:t>
      </w:r>
      <w:r>
        <w:rPr>
          <w:rFonts w:hint="eastAsia" w:hAnsi="宋体" w:cs="宋体"/>
          <w:color w:val="auto"/>
          <w:szCs w:val="24"/>
          <w:highlight w:val="none"/>
        </w:rPr>
        <w:t>月</w:t>
      </w:r>
      <w:r>
        <w:rPr>
          <w:rFonts w:hint="eastAsia" w:hAnsi="宋体" w:cs="宋体"/>
          <w:color w:val="auto"/>
          <w:szCs w:val="24"/>
          <w:highlight w:val="none"/>
          <w:u w:val="single"/>
          <w:lang w:val="en-US" w:eastAsia="zh-CN"/>
        </w:rPr>
        <w:t xml:space="preserve"> 17 </w:t>
      </w:r>
      <w:r>
        <w:rPr>
          <w:rFonts w:hint="eastAsia" w:hAnsi="宋体" w:cs="宋体"/>
          <w:color w:val="auto"/>
          <w:szCs w:val="24"/>
          <w:highlight w:val="none"/>
        </w:rPr>
        <w:t>日至</w:t>
      </w:r>
      <w:r>
        <w:rPr>
          <w:rFonts w:hint="eastAsia" w:hAnsi="宋体" w:cs="宋体"/>
          <w:color w:val="auto"/>
          <w:szCs w:val="24"/>
          <w:highlight w:val="none"/>
          <w:u w:val="single"/>
        </w:rPr>
        <w:t>2020</w:t>
      </w:r>
      <w:r>
        <w:rPr>
          <w:rFonts w:hint="eastAsia" w:hAnsi="宋体" w:cs="宋体"/>
          <w:color w:val="auto"/>
          <w:szCs w:val="24"/>
          <w:highlight w:val="none"/>
        </w:rPr>
        <w:t>年</w:t>
      </w:r>
      <w:r>
        <w:rPr>
          <w:rFonts w:hint="eastAsia" w:hAnsi="宋体" w:cs="宋体"/>
          <w:color w:val="auto"/>
          <w:szCs w:val="24"/>
          <w:highlight w:val="none"/>
          <w:u w:val="single"/>
          <w:lang w:val="en-US" w:eastAsia="zh-CN"/>
        </w:rPr>
        <w:t xml:space="preserve"> 8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u w:val="single"/>
          <w:lang w:val="en-US" w:eastAsia="zh-CN"/>
        </w:rPr>
        <w:t>24</w:t>
      </w:r>
      <w:r>
        <w:rPr>
          <w:rFonts w:hint="eastAsia" w:hAnsi="宋体" w:cs="宋体"/>
          <w:color w:val="auto"/>
          <w:szCs w:val="24"/>
          <w:highlight w:val="none"/>
          <w:u w:val="single"/>
        </w:rPr>
        <w:t xml:space="preserve"> </w:t>
      </w:r>
      <w:r>
        <w:rPr>
          <w:rFonts w:hint="eastAsia" w:hAnsi="宋体" w:cs="宋体"/>
          <w:color w:val="auto"/>
          <w:szCs w:val="24"/>
          <w:highlight w:val="none"/>
        </w:rPr>
        <w:t>日，每天上午</w:t>
      </w:r>
      <w:r>
        <w:rPr>
          <w:rFonts w:hint="eastAsia" w:hAnsi="宋体" w:cs="宋体"/>
          <w:color w:val="auto"/>
          <w:szCs w:val="24"/>
          <w:highlight w:val="none"/>
          <w:u w:val="single"/>
        </w:rPr>
        <w:t>8:00</w:t>
      </w:r>
      <w:r>
        <w:rPr>
          <w:rFonts w:hint="eastAsia" w:hAnsi="宋体" w:cs="宋体"/>
          <w:color w:val="auto"/>
          <w:szCs w:val="24"/>
          <w:highlight w:val="none"/>
        </w:rPr>
        <w:t>至</w:t>
      </w:r>
      <w:r>
        <w:rPr>
          <w:rFonts w:hint="eastAsia" w:hAnsi="宋体" w:cs="宋体"/>
          <w:color w:val="auto"/>
          <w:szCs w:val="24"/>
          <w:highlight w:val="none"/>
          <w:u w:val="single"/>
        </w:rPr>
        <w:t>11:30</w:t>
      </w:r>
      <w:r>
        <w:rPr>
          <w:rFonts w:hint="eastAsia" w:hAnsi="宋体" w:cs="宋体"/>
          <w:color w:val="auto"/>
          <w:szCs w:val="24"/>
          <w:highlight w:val="none"/>
        </w:rPr>
        <w:t>，下午</w:t>
      </w:r>
      <w:r>
        <w:rPr>
          <w:rFonts w:hint="eastAsia" w:hAnsi="宋体" w:cs="宋体"/>
          <w:color w:val="auto"/>
          <w:szCs w:val="24"/>
          <w:highlight w:val="none"/>
          <w:u w:val="single"/>
        </w:rPr>
        <w:t>15:00</w:t>
      </w:r>
      <w:r>
        <w:rPr>
          <w:rFonts w:hint="eastAsia" w:hAnsi="宋体" w:cs="宋体"/>
          <w:color w:val="auto"/>
          <w:szCs w:val="24"/>
          <w:highlight w:val="none"/>
        </w:rPr>
        <w:t>至</w:t>
      </w:r>
      <w:r>
        <w:rPr>
          <w:rFonts w:hint="eastAsia" w:hAnsi="宋体" w:cs="宋体"/>
          <w:color w:val="auto"/>
          <w:szCs w:val="24"/>
          <w:highlight w:val="none"/>
          <w:u w:val="single"/>
        </w:rPr>
        <w:t>17:30</w:t>
      </w:r>
      <w:r>
        <w:rPr>
          <w:rFonts w:hint="eastAsia" w:hAnsi="宋体" w:cs="宋体"/>
          <w:color w:val="auto"/>
          <w:szCs w:val="24"/>
          <w:highlight w:val="none"/>
        </w:rPr>
        <w:t>（北京时间，法定节假日除外 ）</w:t>
      </w:r>
    </w:p>
    <w:p>
      <w:pPr>
        <w:pStyle w:val="17"/>
        <w:ind w:firstLine="240" w:firstLineChars="100"/>
        <w:rPr>
          <w:rFonts w:hint="eastAsia" w:hAnsi="宋体" w:cs="宋体"/>
          <w:color w:val="auto"/>
          <w:szCs w:val="24"/>
          <w:highlight w:val="none"/>
        </w:rPr>
      </w:pPr>
      <w:r>
        <w:rPr>
          <w:rFonts w:hint="eastAsia" w:hAnsi="宋体" w:cs="宋体"/>
          <w:color w:val="auto"/>
          <w:szCs w:val="24"/>
          <w:highlight w:val="none"/>
        </w:rPr>
        <w:t>2、地点：贺州市公共资源交易中心服务窗口【地址：广西贺州市鞍山西路83-1号4楼，联系电话：0774-5268001】</w:t>
      </w:r>
    </w:p>
    <w:p>
      <w:pPr>
        <w:pStyle w:val="17"/>
        <w:ind w:firstLine="240" w:firstLineChars="100"/>
        <w:rPr>
          <w:rFonts w:hint="eastAsia" w:hAnsi="宋体" w:cs="宋体"/>
          <w:color w:val="auto"/>
          <w:szCs w:val="24"/>
          <w:highlight w:val="none"/>
        </w:rPr>
      </w:pPr>
      <w:r>
        <w:rPr>
          <w:rFonts w:hint="eastAsia" w:hAnsi="宋体" w:cs="宋体"/>
          <w:color w:val="auto"/>
          <w:szCs w:val="24"/>
          <w:highlight w:val="none"/>
        </w:rPr>
        <w:t>3、方式：由潜在投标人的法定代表人（负责人）（持本人二代居民身份证原件）或其授权委托代理人持有效的法人（负责人）授权委托书原件及其本人二代居民身份证原件）携带加盖公章的企业营业执照副本复印件或事业单位法人证书副本复印件在贺州市公共资源交易中心服务窗口【地址：广西贺州市鞍山西路83-1号4楼，联系电话：0774-5268001】实地现场报名并购买招标文件。注：以上资料要求复印件并须加盖投标人单位公章。</w:t>
      </w:r>
    </w:p>
    <w:p>
      <w:pPr>
        <w:pStyle w:val="4"/>
        <w:spacing w:line="24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4、售价：招标文件工本费每本300元，售后不退。</w:t>
      </w:r>
    </w:p>
    <w:p>
      <w:pPr>
        <w:pStyle w:val="4"/>
        <w:spacing w:line="360" w:lineRule="auto"/>
        <w:ind w:firstLine="482" w:firstLineChars="200"/>
        <w:jc w:val="both"/>
        <w:rPr>
          <w:rFonts w:ascii="黑体" w:hAnsi="黑体" w:cs="宋体"/>
          <w:color w:val="auto"/>
          <w:sz w:val="24"/>
          <w:szCs w:val="24"/>
          <w:highlight w:val="none"/>
        </w:rPr>
      </w:pPr>
      <w:r>
        <w:rPr>
          <w:rFonts w:hint="eastAsia" w:ascii="黑体" w:hAnsi="黑体" w:cs="宋体"/>
          <w:b/>
          <w:bCs/>
          <w:color w:val="auto"/>
          <w:sz w:val="24"/>
          <w:szCs w:val="24"/>
          <w:highlight w:val="none"/>
        </w:rPr>
        <w:t>四、提交投标文件</w:t>
      </w:r>
      <w:bookmarkEnd w:id="16"/>
      <w:bookmarkEnd w:id="17"/>
      <w:r>
        <w:rPr>
          <w:rFonts w:hint="eastAsia" w:ascii="黑体" w:hAnsi="黑体" w:cs="宋体"/>
          <w:b/>
          <w:bCs/>
          <w:color w:val="auto"/>
          <w:sz w:val="24"/>
          <w:szCs w:val="24"/>
          <w:highlight w:val="none"/>
        </w:rPr>
        <w:t>截止时间、开标时间和地点</w:t>
      </w:r>
      <w:bookmarkEnd w:id="18"/>
      <w:bookmarkEnd w:id="19"/>
    </w:p>
    <w:p>
      <w:pPr>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u w:val="single"/>
        </w:rPr>
        <w:t>1、</w:t>
      </w:r>
      <w:r>
        <w:rPr>
          <w:rFonts w:hint="eastAsia" w:ascii="宋体" w:hAnsi="宋体" w:cs="宋体"/>
          <w:color w:val="auto"/>
          <w:sz w:val="24"/>
          <w:szCs w:val="24"/>
          <w:highlight w:val="none"/>
          <w:u w:val="single"/>
        </w:rPr>
        <w:t>2020</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15</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w:t>
      </w:r>
    </w:p>
    <w:p>
      <w:pPr>
        <w:ind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2、地点：贺州市公共资源交易中心交易大厅【广西贺州市鞍山西路83-1号4楼】具体号数以开标日当天贺州市公共资源交易中心电子显示屏公布大厅号数为准。</w:t>
      </w:r>
    </w:p>
    <w:p>
      <w:pPr>
        <w:pStyle w:val="4"/>
        <w:spacing w:line="240" w:lineRule="auto"/>
        <w:ind w:firstLine="482" w:firstLineChars="200"/>
        <w:jc w:val="left"/>
        <w:rPr>
          <w:rFonts w:hint="eastAsia" w:ascii="宋体" w:hAnsi="宋体" w:cs="宋体"/>
          <w:color w:val="auto"/>
          <w:kern w:val="0"/>
          <w:sz w:val="24"/>
          <w:szCs w:val="24"/>
          <w:highlight w:val="none"/>
        </w:rPr>
      </w:pPr>
      <w:bookmarkStart w:id="20" w:name="_Toc28359007"/>
      <w:bookmarkStart w:id="21" w:name="_Toc28359084"/>
      <w:bookmarkStart w:id="22" w:name="_Toc35393794"/>
      <w:bookmarkStart w:id="23" w:name="_Toc35393625"/>
      <w:r>
        <w:rPr>
          <w:rFonts w:hint="eastAsia" w:ascii="黑体" w:hAnsi="黑体" w:cs="宋体"/>
          <w:b/>
          <w:bCs/>
          <w:color w:val="auto"/>
          <w:sz w:val="24"/>
          <w:szCs w:val="24"/>
          <w:highlight w:val="none"/>
        </w:rPr>
        <w:t>五、公告期限</w:t>
      </w:r>
      <w:bookmarkEnd w:id="20"/>
      <w:bookmarkEnd w:id="21"/>
      <w:bookmarkEnd w:id="22"/>
      <w:bookmarkEnd w:id="23"/>
      <w:r>
        <w:rPr>
          <w:rFonts w:hint="eastAsia" w:ascii="黑体" w:hAnsi="黑体" w:cs="宋体"/>
          <w:b/>
          <w:bCs/>
          <w:color w:val="auto"/>
          <w:sz w:val="24"/>
          <w:szCs w:val="24"/>
          <w:highlight w:val="none"/>
        </w:rPr>
        <w:t>：</w:t>
      </w:r>
      <w:r>
        <w:rPr>
          <w:rFonts w:hint="eastAsia" w:ascii="宋体" w:hAnsi="宋体" w:cs="宋体"/>
          <w:color w:val="auto"/>
          <w:kern w:val="0"/>
          <w:sz w:val="24"/>
          <w:szCs w:val="24"/>
          <w:highlight w:val="none"/>
        </w:rPr>
        <w:t>自本公告发布之日起5个工作日。</w:t>
      </w:r>
      <w:bookmarkStart w:id="24" w:name="_Toc35393795"/>
      <w:bookmarkStart w:id="25" w:name="_Toc35393626"/>
    </w:p>
    <w:p>
      <w:pPr>
        <w:pStyle w:val="4"/>
        <w:spacing w:line="360" w:lineRule="auto"/>
        <w:ind w:firstLine="482" w:firstLineChars="200"/>
        <w:jc w:val="left"/>
        <w:rPr>
          <w:rFonts w:ascii="黑体" w:hAnsi="黑体" w:cs="宋体"/>
          <w:color w:val="auto"/>
          <w:sz w:val="24"/>
          <w:szCs w:val="24"/>
          <w:highlight w:val="none"/>
        </w:rPr>
      </w:pPr>
      <w:r>
        <w:rPr>
          <w:rFonts w:hint="eastAsia" w:ascii="黑体" w:hAnsi="黑体" w:cs="宋体"/>
          <w:b/>
          <w:bCs/>
          <w:color w:val="auto"/>
          <w:sz w:val="24"/>
          <w:szCs w:val="24"/>
          <w:highlight w:val="none"/>
        </w:rPr>
        <w:t>六、其他补充事宜</w:t>
      </w:r>
      <w:bookmarkEnd w:id="24"/>
      <w:bookmarkEnd w:id="25"/>
    </w:p>
    <w:p>
      <w:pPr>
        <w:pStyle w:val="18"/>
        <w:spacing w:line="360" w:lineRule="exact"/>
        <w:ind w:left="495"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1、投标保证金(人民币)：叁万元整（￥30，000.00元）</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递交方式：投标人应于投标截止时间前将投标保证金以电汇、转帐等非现金形式从基本账户交至以下账户。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开户名：贺州市公共资源交易中心</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帐  号：945009010008838888</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开户行：邮政储蓄银行贺州市分行</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（备注：投标人应在转账底单空白处备注所投标项目的项目名称或项目编号，因投标人未标注其项目信息所导致的有可能无法判定其所投标项目，导致的后果由投标人自行承担）</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2、落实的政府采购政策：</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（1）财政部、司法部关于政府采购支持监狱企业发展有关问题的通知（财库[2014]68号）；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（2）《政府采购促进中小企业发展暂行办法》（财库[2011]181号）；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（3）《关于促进残疾人就业政府采购政策的通知》（财库[2017]141号）；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（4）《节能产品政府采购实施意见》(财库[2004]185号)；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（5）《关于环境标志产品政府采购实施的意见》（财库[2006]90号）等相关法律法规。</w:t>
      </w:r>
    </w:p>
    <w:p>
      <w:pPr>
        <w:pStyle w:val="18"/>
        <w:spacing w:line="360" w:lineRule="exact"/>
        <w:ind w:left="495" w:firstLine="0" w:firstLineChars="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3、发布公告的媒介：</w:t>
      </w:r>
      <w:r>
        <w:rPr>
          <w:rFonts w:hint="eastAsia" w:ascii="宋体" w:hAnsi="宋体" w:cs="宋体"/>
          <w:color w:val="auto"/>
          <w:sz w:val="24"/>
          <w:szCs w:val="24"/>
          <w:highlight w:val="none"/>
        </w:rPr>
        <w:t>中国政府采购网、广西壮族自治区政府采购网及广西贺州市公共资源交易中心网。</w:t>
      </w:r>
    </w:p>
    <w:p>
      <w:pPr>
        <w:pStyle w:val="4"/>
        <w:spacing w:line="360" w:lineRule="auto"/>
        <w:ind w:firstLine="482" w:firstLineChars="200"/>
        <w:jc w:val="left"/>
        <w:rPr>
          <w:rFonts w:ascii="黑体" w:hAnsi="黑体" w:cs="宋体"/>
          <w:b/>
          <w:bCs/>
          <w:color w:val="auto"/>
          <w:sz w:val="24"/>
          <w:szCs w:val="24"/>
          <w:highlight w:val="none"/>
        </w:rPr>
      </w:pPr>
      <w:bookmarkStart w:id="26" w:name="_Toc28359008"/>
      <w:bookmarkStart w:id="27" w:name="_Toc35393627"/>
      <w:bookmarkStart w:id="28" w:name="_Toc35393796"/>
      <w:bookmarkStart w:id="29" w:name="_Toc28359085"/>
      <w:r>
        <w:rPr>
          <w:rFonts w:hint="eastAsia" w:ascii="黑体" w:hAnsi="黑体" w:cs="宋体"/>
          <w:b/>
          <w:bCs/>
          <w:color w:val="auto"/>
          <w:sz w:val="24"/>
          <w:szCs w:val="24"/>
          <w:highlight w:val="none"/>
        </w:rPr>
        <w:t>七、对本次招标提出询问，请按</w:t>
      </w:r>
      <w:r>
        <w:rPr>
          <w:rFonts w:ascii="黑体" w:hAnsi="黑体" w:cs="宋体"/>
          <w:b/>
          <w:bCs/>
          <w:color w:val="auto"/>
          <w:sz w:val="24"/>
          <w:szCs w:val="24"/>
          <w:highlight w:val="none"/>
        </w:rPr>
        <w:t>以下方式</w:t>
      </w:r>
      <w:r>
        <w:rPr>
          <w:rFonts w:hint="eastAsia" w:ascii="黑体" w:hAnsi="黑体" w:cs="宋体"/>
          <w:b/>
          <w:bCs/>
          <w:color w:val="auto"/>
          <w:sz w:val="24"/>
          <w:szCs w:val="24"/>
          <w:highlight w:val="none"/>
        </w:rPr>
        <w:t>联系。</w:t>
      </w:r>
      <w:bookmarkEnd w:id="26"/>
      <w:bookmarkEnd w:id="27"/>
      <w:bookmarkEnd w:id="28"/>
      <w:bookmarkEnd w:id="29"/>
    </w:p>
    <w:p>
      <w:pPr>
        <w:widowControl/>
        <w:jc w:val="left"/>
        <w:rPr>
          <w:rFonts w:hint="eastAsia" w:ascii="宋体" w:hAnsi="宋体" w:cs="宋体"/>
          <w:color w:val="auto"/>
          <w:sz w:val="24"/>
          <w:szCs w:val="24"/>
          <w:highlight w:val="none"/>
        </w:rPr>
      </w:pPr>
      <w:r>
        <w:rPr>
          <w:rFonts w:hint="eastAsia" w:ascii="仿宋" w:hAnsi="仿宋" w:eastAsia="仿宋" w:cs="宋体"/>
          <w:color w:val="auto"/>
          <w:sz w:val="24"/>
          <w:szCs w:val="24"/>
          <w:highlight w:val="none"/>
        </w:rPr>
        <w:t>　　</w:t>
      </w:r>
      <w:r>
        <w:rPr>
          <w:rFonts w:hint="eastAsia" w:ascii="宋体" w:hAnsi="宋体" w:cs="宋体"/>
          <w:color w:val="auto"/>
          <w:sz w:val="24"/>
          <w:szCs w:val="24"/>
          <w:highlight w:val="none"/>
        </w:rPr>
        <w:t>　1.采购人信息</w:t>
      </w:r>
    </w:p>
    <w:p>
      <w:pPr>
        <w:ind w:left="1079" w:leftChars="371" w:hanging="300" w:hangingChars="125"/>
        <w:jc w:val="left"/>
        <w:rPr>
          <w:rFonts w:hint="eastAsia" w:ascii="宋体" w:hAnsi="宋体" w:cs="宋体"/>
          <w:color w:val="auto"/>
          <w:sz w:val="24"/>
          <w:szCs w:val="24"/>
          <w:highlight w:val="none"/>
        </w:rPr>
      </w:pPr>
      <w:bookmarkStart w:id="30" w:name="_Toc28359009"/>
      <w:bookmarkStart w:id="31" w:name="_Toc28359086"/>
      <w:r>
        <w:rPr>
          <w:rFonts w:hint="eastAsia" w:ascii="宋体" w:hAnsi="宋体" w:cs="宋体"/>
          <w:color w:val="auto"/>
          <w:sz w:val="24"/>
          <w:szCs w:val="24"/>
          <w:highlight w:val="none"/>
        </w:rPr>
        <w:t xml:space="preserve">名    称：广西壮族自治区桂东人民医院             </w:t>
      </w:r>
    </w:p>
    <w:p>
      <w:pPr>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址：广西梧州万秀区西江四路金鸡冲1号</w:t>
      </w:r>
    </w:p>
    <w:p>
      <w:pPr>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联系方式：董科长， 0774-2817563</w:t>
      </w:r>
    </w:p>
    <w:p>
      <w:pPr>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0"/>
      <w:bookmarkEnd w:id="31"/>
    </w:p>
    <w:p>
      <w:pPr>
        <w:ind w:firstLine="720" w:firstLineChars="300"/>
        <w:rPr>
          <w:rFonts w:hint="eastAsia" w:ascii="宋体" w:hAnsi="宋体" w:cs="宋体"/>
          <w:color w:val="auto"/>
          <w:sz w:val="24"/>
          <w:szCs w:val="24"/>
          <w:highlight w:val="none"/>
        </w:rPr>
      </w:pPr>
      <w:bookmarkStart w:id="32" w:name="_Toc28359010"/>
      <w:bookmarkStart w:id="33" w:name="_Toc28359087"/>
      <w:r>
        <w:rPr>
          <w:rFonts w:hint="eastAsia" w:ascii="宋体" w:hAnsi="宋体" w:cs="宋体"/>
          <w:color w:val="auto"/>
          <w:sz w:val="24"/>
          <w:szCs w:val="24"/>
          <w:highlight w:val="none"/>
        </w:rPr>
        <w:t>名    称：北京诚佳信工程管理有限公司</w:t>
      </w:r>
    </w:p>
    <w:p>
      <w:pPr>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　　址：贺州市八步区翔云街76号</w:t>
      </w:r>
    </w:p>
    <w:p>
      <w:pPr>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联系方式：0774-5128338</w:t>
      </w:r>
    </w:p>
    <w:p>
      <w:pPr>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bookmarkEnd w:id="32"/>
      <w:bookmarkEnd w:id="33"/>
    </w:p>
    <w:p>
      <w:pPr>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项目联系人：郑工</w:t>
      </w:r>
    </w:p>
    <w:p>
      <w:pPr>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电　　 话：0774-5128338</w:t>
      </w:r>
    </w:p>
    <w:p>
      <w:pPr>
        <w:spacing w:line="360" w:lineRule="auto"/>
        <w:ind w:firstLine="720" w:firstLineChars="300"/>
        <w:jc w:val="right"/>
        <w:rPr>
          <w:rFonts w:hint="eastAsia"/>
          <w:color w:val="auto"/>
          <w:highlight w:val="none"/>
        </w:rPr>
      </w:pPr>
      <w:r>
        <w:rPr>
          <w:rFonts w:hint="eastAsia" w:ascii="宋体" w:hAnsi="宋体" w:cs="宋体"/>
          <w:color w:val="auto"/>
          <w:sz w:val="24"/>
          <w:szCs w:val="24"/>
          <w:highlight w:val="none"/>
        </w:rPr>
        <w:t>广西壮族自治区桂东人民医院</w:t>
      </w:r>
    </w:p>
    <w:p>
      <w:pPr>
        <w:pStyle w:val="16"/>
        <w:ind w:firstLine="780" w:firstLineChars="300"/>
        <w:jc w:val="right"/>
        <w:rPr>
          <w:rFonts w:hint="eastAsia" w:ascii="宋体" w:hAnsi="宋体" w:cs="宋体"/>
          <w:color w:val="auto"/>
          <w:szCs w:val="24"/>
          <w:highlight w:val="none"/>
        </w:rPr>
      </w:pPr>
      <w:r>
        <w:rPr>
          <w:rFonts w:hint="eastAsia" w:ascii="宋体" w:hAnsi="宋体" w:cs="宋体"/>
          <w:color w:val="auto"/>
          <w:szCs w:val="24"/>
          <w:highlight w:val="none"/>
        </w:rPr>
        <w:t>北京诚佳信工程管理有限公司</w:t>
      </w:r>
    </w:p>
    <w:p>
      <w:pPr>
        <w:pStyle w:val="16"/>
        <w:ind w:firstLine="780" w:firstLineChars="3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2020年 </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p>
    <w:p>
      <w:pPr>
        <w:pStyle w:val="3"/>
        <w:rPr>
          <w:rFonts w:hint="eastAsia"/>
          <w:color w:val="auto"/>
          <w:highlight w:val="none"/>
        </w:rPr>
      </w:pPr>
      <w:bookmarkStart w:id="34" w:name="_Toc305850709"/>
      <w:bookmarkStart w:id="35" w:name="_Toc755"/>
      <w:bookmarkStart w:id="36" w:name="_Toc23401"/>
      <w:r>
        <w:rPr>
          <w:rFonts w:hint="eastAsia"/>
          <w:color w:val="auto"/>
          <w:highlight w:val="none"/>
        </w:rPr>
        <w:t>第二章  投标供应商须知</w:t>
      </w:r>
      <w:bookmarkEnd w:id="34"/>
      <w:bookmarkEnd w:id="35"/>
      <w:bookmarkEnd w:id="36"/>
      <w:bookmarkStart w:id="37" w:name="_Toc305850710"/>
    </w:p>
    <w:p>
      <w:pPr>
        <w:pStyle w:val="7"/>
        <w:spacing w:line="400" w:lineRule="exact"/>
        <w:outlineLvl w:val="1"/>
        <w:rPr>
          <w:rFonts w:hint="eastAsia" w:hAnsi="宋体" w:cs="宋体"/>
          <w:b/>
          <w:color w:val="auto"/>
          <w:sz w:val="28"/>
          <w:szCs w:val="24"/>
          <w:highlight w:val="none"/>
        </w:rPr>
      </w:pPr>
    </w:p>
    <w:p>
      <w:pPr>
        <w:pStyle w:val="7"/>
        <w:spacing w:line="400" w:lineRule="exact"/>
        <w:jc w:val="center"/>
        <w:outlineLvl w:val="1"/>
        <w:rPr>
          <w:rFonts w:hint="eastAsia" w:hAnsi="宋体" w:cs="宋体"/>
          <w:b/>
          <w:color w:val="auto"/>
          <w:sz w:val="28"/>
          <w:szCs w:val="24"/>
          <w:highlight w:val="none"/>
        </w:rPr>
      </w:pPr>
      <w:bookmarkStart w:id="38" w:name="_Toc487451024"/>
      <w:bookmarkStart w:id="39" w:name="_Toc487451112"/>
      <w:bookmarkStart w:id="40" w:name="_Toc517168537"/>
      <w:bookmarkStart w:id="41" w:name="_Toc18814"/>
      <w:bookmarkStart w:id="42" w:name="_Toc32123"/>
      <w:bookmarkStart w:id="43" w:name="_Toc22279"/>
      <w:r>
        <w:rPr>
          <w:rFonts w:hint="eastAsia" w:hAnsi="宋体" w:cs="宋体"/>
          <w:b/>
          <w:color w:val="auto"/>
          <w:sz w:val="28"/>
          <w:szCs w:val="24"/>
          <w:highlight w:val="none"/>
        </w:rPr>
        <w:t>投标供应商须知前附表</w:t>
      </w:r>
      <w:bookmarkEnd w:id="37"/>
      <w:bookmarkEnd w:id="38"/>
      <w:bookmarkEnd w:id="39"/>
      <w:bookmarkEnd w:id="40"/>
      <w:bookmarkEnd w:id="41"/>
      <w:bookmarkEnd w:id="42"/>
      <w:bookmarkEnd w:id="4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245"/>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b/>
                <w:color w:val="auto"/>
                <w:sz w:val="24"/>
                <w:szCs w:val="24"/>
                <w:highlight w:val="none"/>
              </w:rPr>
            </w:pPr>
            <w:r>
              <w:rPr>
                <w:rFonts w:hint="eastAsia" w:hAnsi="宋体" w:cs="宋体"/>
                <w:b/>
                <w:color w:val="auto"/>
                <w:sz w:val="24"/>
                <w:szCs w:val="24"/>
                <w:highlight w:val="none"/>
              </w:rPr>
              <w:t>序号</w:t>
            </w:r>
          </w:p>
        </w:tc>
        <w:tc>
          <w:tcPr>
            <w:tcW w:w="2245" w:type="dxa"/>
            <w:noWrap w:val="0"/>
            <w:vAlign w:val="center"/>
          </w:tcPr>
          <w:p>
            <w:pPr>
              <w:pStyle w:val="19"/>
              <w:spacing w:line="300" w:lineRule="exact"/>
              <w:jc w:val="center"/>
              <w:rPr>
                <w:rFonts w:hint="eastAsia" w:hAnsi="宋体" w:cs="宋体"/>
                <w:b/>
                <w:color w:val="auto"/>
                <w:sz w:val="24"/>
                <w:szCs w:val="24"/>
                <w:highlight w:val="none"/>
              </w:rPr>
            </w:pPr>
            <w:r>
              <w:rPr>
                <w:rFonts w:hint="eastAsia" w:hAnsi="宋体" w:cs="宋体"/>
                <w:b/>
                <w:color w:val="auto"/>
                <w:sz w:val="24"/>
                <w:szCs w:val="24"/>
                <w:highlight w:val="none"/>
              </w:rPr>
              <w:t>条款名称</w:t>
            </w:r>
          </w:p>
        </w:tc>
        <w:tc>
          <w:tcPr>
            <w:tcW w:w="7387" w:type="dxa"/>
            <w:noWrap w:val="0"/>
            <w:vAlign w:val="center"/>
          </w:tcPr>
          <w:p>
            <w:pPr>
              <w:pStyle w:val="19"/>
              <w:spacing w:line="300" w:lineRule="exact"/>
              <w:jc w:val="center"/>
              <w:rPr>
                <w:rFonts w:hint="eastAsia" w:hAnsi="宋体" w:cs="宋体"/>
                <w:b/>
                <w:color w:val="auto"/>
                <w:sz w:val="24"/>
                <w:szCs w:val="24"/>
                <w:highlight w:val="none"/>
              </w:rPr>
            </w:pPr>
            <w:r>
              <w:rPr>
                <w:rFonts w:hint="eastAsia" w:hAnsi="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采购项目名称及</w:t>
            </w:r>
          </w:p>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项目采购编号</w:t>
            </w:r>
          </w:p>
        </w:tc>
        <w:tc>
          <w:tcPr>
            <w:tcW w:w="7387" w:type="dxa"/>
            <w:noWrap w:val="0"/>
            <w:vAlign w:val="center"/>
          </w:tcPr>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采购项目名称：医用分子筛制氧系统采购及安装项目</w:t>
            </w:r>
          </w:p>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项目采购编号：HZZC2020-G1-000367-BJCJ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387" w:type="dxa"/>
            <w:noWrap w:val="0"/>
            <w:vAlign w:val="center"/>
          </w:tcPr>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采购人：广西壮族自治区桂东人民医院             </w:t>
            </w:r>
          </w:p>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地址：广西梧州万秀区西江四路金鸡冲1号         </w:t>
            </w:r>
          </w:p>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联系人：董科长   0774-2817563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387" w:type="dxa"/>
            <w:noWrap w:val="0"/>
            <w:vAlign w:val="center"/>
          </w:tcPr>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采购代理机构：北京诚佳信工程管理有限公司</w:t>
            </w:r>
          </w:p>
          <w:p>
            <w:pPr>
              <w:widowControl/>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本项目联系地址：贺州市八步区翔云街76号</w:t>
            </w:r>
          </w:p>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联系人及电话：郑工，0774-5128338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资金来源及</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落实情况</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自筹资金，已落实到位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采购范围</w:t>
            </w:r>
          </w:p>
        </w:tc>
        <w:tc>
          <w:tcPr>
            <w:tcW w:w="7387" w:type="dxa"/>
            <w:noWrap w:val="0"/>
            <w:vAlign w:val="center"/>
          </w:tcPr>
          <w:p>
            <w:pPr>
              <w:spacing w:line="400" w:lineRule="exact"/>
              <w:rPr>
                <w:rFonts w:hint="eastAsia" w:ascii="宋体" w:hAnsi="宋体" w:cs="宋体"/>
                <w:color w:val="auto"/>
                <w:sz w:val="24"/>
                <w:szCs w:val="24"/>
                <w:highlight w:val="none"/>
              </w:rPr>
            </w:pPr>
            <w:r>
              <w:rPr>
                <w:rFonts w:hint="eastAsia" w:ascii="宋体" w:hAnsi="宋体" w:cs="宋体"/>
                <w:color w:val="auto"/>
                <w:sz w:val="24"/>
                <w:highlight w:val="none"/>
              </w:rPr>
              <w:t>采购医用分子筛制氧系统采购及安装项目壹套。（如需进一步了解详细内容，详见招标文件）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6</w:t>
            </w: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投标供应商资质要求</w:t>
            </w:r>
          </w:p>
        </w:tc>
        <w:tc>
          <w:tcPr>
            <w:tcW w:w="7387" w:type="dxa"/>
            <w:noWrap w:val="0"/>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pacing w:line="24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u w:val="single"/>
              </w:rPr>
              <w:t>无</w:t>
            </w:r>
          </w:p>
          <w:p>
            <w:pPr>
              <w:pStyle w:val="16"/>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p>
          <w:p>
            <w:pPr>
              <w:pStyle w:val="4"/>
              <w:spacing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投标人或所投标设备生产企业需</w:t>
            </w:r>
            <w:r>
              <w:rPr>
                <w:rFonts w:hint="eastAsia" w:ascii="宋体" w:hAnsi="宋体" w:eastAsia="宋体" w:cs="宋体"/>
                <w:color w:val="auto"/>
                <w:sz w:val="24"/>
                <w:szCs w:val="24"/>
                <w:highlight w:val="none"/>
              </w:rPr>
              <w:t>具备机电设备安装专业承包贰级及以上资质；</w:t>
            </w:r>
          </w:p>
          <w:p>
            <w:pPr>
              <w:spacing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（2）投标人或所投标设备生产企业需具备中华人民共和国特种设备安装改造维修许可证（压力管道GC2级及以上）；</w:t>
            </w:r>
          </w:p>
          <w:p>
            <w:pPr>
              <w:pStyle w:val="17"/>
              <w:spacing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（3）投标人或所投标设备生产企业具备中华人民共和国特种设备安装改造维修许可证（压力容器）；</w:t>
            </w:r>
          </w:p>
          <w:p>
            <w:pPr>
              <w:pStyle w:val="17"/>
              <w:spacing w:line="24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（4）投标人或所投标设备生产企业需具备医用分子筛中心制氧系统设备《医疗器械注册证》；</w:t>
            </w:r>
          </w:p>
          <w:p>
            <w:pPr>
              <w:pStyle w:val="20"/>
              <w:widowControl w:val="0"/>
              <w:autoSpaceDE w:val="0"/>
              <w:autoSpaceDN w:val="0"/>
              <w:spacing w:before="209" w:after="0" w:line="240" w:lineRule="auto"/>
              <w:jc w:val="lef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（5）投标人具备行业主管部门颁发的有效医疗器械经营许可证。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7</w:t>
            </w: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交货地点</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构成招标文件的其他材料</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6" w:type="dxa"/>
            <w:noWrap w:val="0"/>
            <w:vAlign w:val="center"/>
          </w:tcPr>
          <w:p>
            <w:pPr>
              <w:spacing w:line="300" w:lineRule="exact"/>
              <w:ind w:left="105" w:leftChars="5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2245"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w:t>
            </w:r>
          </w:p>
          <w:p>
            <w:pPr>
              <w:spacing w:line="3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要求对招标文件的澄清</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已经预公示期满，若未预览招标文件的潜在投标人或对采购代理机构答复不满意的已预览招标文件的潜在投标人对招标文件任意条款仍保有异议的，为保证已预览招标文件的各潜在投标人利益以及保证未预览招标文件的潜在投标人仍对招标文件任意条款保有异议的权益，采购代理机构本着遵循“公开、公平、公正、诚实信用”的原则，如投标人仍对本项目有任何质疑，可以在本项目招标文件发售截止之日起或者招标文件公告期限届满之日止七个工作日内，以书面形式向采购人提出质疑。投标人不按上述规定提出的异议，采购人有权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2020年9月7日15点30分（北京时间，下同）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7387" w:type="dxa"/>
            <w:noWrap w:val="0"/>
            <w:vAlign w:val="center"/>
          </w:tcPr>
          <w:p>
            <w:pPr>
              <w:pStyle w:val="18"/>
              <w:spacing w:line="360" w:lineRule="exact"/>
              <w:ind w:firstLine="0" w:firstLineChars="0"/>
              <w:jc w:val="left"/>
              <w:rPr>
                <w:rFonts w:ascii="宋体" w:hAnsi="宋体" w:cs="宋体"/>
                <w:color w:val="auto"/>
                <w:sz w:val="24"/>
                <w:szCs w:val="24"/>
                <w:highlight w:val="none"/>
              </w:rPr>
            </w:pPr>
            <w:r>
              <w:rPr>
                <w:rFonts w:hint="eastAsia" w:ascii="宋体" w:hAnsi="宋体" w:cs="宋体"/>
                <w:b/>
                <w:bCs/>
                <w:color w:val="auto"/>
                <w:sz w:val="24"/>
                <w:szCs w:val="24"/>
                <w:highlight w:val="none"/>
              </w:rPr>
              <w:t>投标保证金(人民币)：叁万元整（￥30，000.00元）</w:t>
            </w:r>
          </w:p>
          <w:p>
            <w:pPr>
              <w:pStyle w:val="18"/>
              <w:spacing w:line="360" w:lineRule="exact"/>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递交方式：投标人应于投标截止时间前将投标保证金以电汇、转帐等非现金形式从基本账户交至以下账户：</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开户名：贺州市公共资源交易中心</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帐  号：945009010008838888</w:t>
            </w:r>
          </w:p>
          <w:p>
            <w:pPr>
              <w:pStyle w:val="18"/>
              <w:spacing w:line="360" w:lineRule="exact"/>
              <w:ind w:left="495"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开户行：邮政储蓄银行贺州市分行</w:t>
            </w:r>
          </w:p>
          <w:p>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（备注：投标人应在转账底单空白处备注所投标项目的项目名称或项目编号，因投标人未标注其项目信息所导致的有可能无法判定其所投标项目，导致的后果由投标人自行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p>
            <w:pPr>
              <w:pStyle w:val="19"/>
              <w:spacing w:line="300" w:lineRule="exact"/>
              <w:jc w:val="center"/>
              <w:rPr>
                <w:rFonts w:hint="eastAsia" w:hAnsi="宋体" w:cs="宋体"/>
                <w:color w:val="auto"/>
                <w:sz w:val="24"/>
                <w:szCs w:val="24"/>
                <w:highlight w:val="none"/>
              </w:rPr>
            </w:pP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投标文件份数</w:t>
            </w:r>
          </w:p>
        </w:tc>
        <w:tc>
          <w:tcPr>
            <w:tcW w:w="7387" w:type="dxa"/>
            <w:noWrap w:val="0"/>
            <w:vAlign w:val="center"/>
          </w:tcPr>
          <w:p>
            <w:pPr>
              <w:pStyle w:val="7"/>
              <w:spacing w:line="300" w:lineRule="exact"/>
              <w:rPr>
                <w:rFonts w:hint="eastAsia" w:hAnsi="宋体" w:cs="宋体"/>
                <w:color w:val="auto"/>
                <w:sz w:val="24"/>
                <w:szCs w:val="24"/>
                <w:highlight w:val="none"/>
              </w:rPr>
            </w:pPr>
            <w:r>
              <w:rPr>
                <w:rFonts w:hint="eastAsia" w:hAnsi="宋体" w:cs="宋体"/>
                <w:color w:val="auto"/>
                <w:sz w:val="24"/>
                <w:szCs w:val="24"/>
                <w:highlight w:val="none"/>
              </w:rPr>
              <w:t>每套投标文件纸质文本</w:t>
            </w:r>
            <w:r>
              <w:rPr>
                <w:rFonts w:hint="eastAsia" w:hAnsi="宋体" w:cs="宋体"/>
                <w:b/>
                <w:color w:val="auto"/>
                <w:sz w:val="24"/>
                <w:szCs w:val="24"/>
                <w:highlight w:val="none"/>
              </w:rPr>
              <w:t>正本：壹份；副本：肆份</w:t>
            </w:r>
            <w:r>
              <w:rPr>
                <w:rFonts w:hint="eastAsia" w:hAnsi="宋体" w:cs="宋体"/>
                <w:color w:val="auto"/>
                <w:sz w:val="24"/>
                <w:szCs w:val="24"/>
                <w:highlight w:val="none"/>
              </w:rPr>
              <w:t>。（副本可用正本复印件） (封面请注明项目名称及所投标段、项目编号及投标人名称)。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15</w:t>
            </w: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投标文件装订</w:t>
            </w:r>
          </w:p>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要求</w:t>
            </w:r>
          </w:p>
        </w:tc>
        <w:tc>
          <w:tcPr>
            <w:tcW w:w="7387" w:type="dxa"/>
            <w:noWrap w:val="0"/>
            <w:vAlign w:val="center"/>
          </w:tcPr>
          <w:p>
            <w:pPr>
              <w:pStyle w:val="7"/>
              <w:spacing w:line="300" w:lineRule="exact"/>
              <w:rPr>
                <w:rFonts w:hint="eastAsia" w:hAnsi="宋体" w:cs="宋体"/>
                <w:color w:val="auto"/>
                <w:sz w:val="24"/>
                <w:szCs w:val="24"/>
                <w:highlight w:val="none"/>
              </w:rPr>
            </w:pPr>
            <w:r>
              <w:rPr>
                <w:rFonts w:hint="eastAsia" w:hAnsi="宋体" w:cs="宋体"/>
                <w:b/>
                <w:color w:val="auto"/>
                <w:sz w:val="24"/>
                <w:szCs w:val="24"/>
                <w:highlight w:val="none"/>
              </w:rPr>
              <w:t>投标供应商必须按招标文件第五章《投标文件格式》要求顺序自编目录及逐页标注连续页码装订成册，且投标文件装订位置必须封边，不允许使用活页夹、拉杆夹、夹条等可能导致投标文件散落或脱页的装订方式，否则，其投标文件（投标）作否决（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hAnsi="宋体" w:cs="宋体"/>
                <w:color w:val="auto"/>
                <w:sz w:val="24"/>
                <w:szCs w:val="24"/>
                <w:highlight w:val="none"/>
              </w:rPr>
              <w:t>16</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包装、密封</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◆投标文件正本、副本一并密封一个密封袋中。封口处须加盖投标供应商单位公章。</w:t>
            </w:r>
          </w:p>
          <w:p>
            <w:pPr>
              <w:spacing w:line="30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◆未按上述要求包装或密封的投标文件经监督小组确认、采购代理机构拍照作为存档记录文件并形成书面记录后交予评标委员</w:t>
            </w:r>
            <w:r>
              <w:rPr>
                <w:rFonts w:hint="eastAsia" w:ascii="宋体" w:hAnsi="宋体" w:cs="宋体"/>
                <w:b/>
                <w:color w:val="auto"/>
                <w:sz w:val="24"/>
                <w:szCs w:val="24"/>
                <w:highlight w:val="none"/>
              </w:rPr>
              <w:t>将其投标文件（投标）作否决（废标）处理。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封套上</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写明内容</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single"/>
              </w:rPr>
              <w:t xml:space="preserve">                           </w:t>
            </w:r>
          </w:p>
          <w:p>
            <w:pPr>
              <w:spacing w:line="3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采购人地址：</w:t>
            </w:r>
            <w:r>
              <w:rPr>
                <w:rFonts w:hint="eastAsia" w:ascii="宋体" w:hAnsi="宋体" w:cs="宋体"/>
                <w:color w:val="auto"/>
                <w:sz w:val="24"/>
                <w:szCs w:val="24"/>
                <w:highlight w:val="none"/>
                <w:u w:val="single"/>
              </w:rPr>
              <w:t xml:space="preserve">                           </w:t>
            </w:r>
          </w:p>
          <w:p>
            <w:pPr>
              <w:spacing w:line="3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投标供应商名称：</w:t>
            </w:r>
            <w:r>
              <w:rPr>
                <w:rFonts w:hint="eastAsia" w:ascii="宋体" w:hAnsi="宋体" w:cs="宋体"/>
                <w:color w:val="auto"/>
                <w:sz w:val="24"/>
                <w:szCs w:val="24"/>
                <w:highlight w:val="none"/>
                <w:u w:val="single"/>
              </w:rPr>
              <w:t xml:space="preserve">                       </w:t>
            </w:r>
          </w:p>
          <w:p>
            <w:pPr>
              <w:spacing w:line="3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投标供应商地址：</w:t>
            </w:r>
            <w:r>
              <w:rPr>
                <w:rFonts w:hint="eastAsia" w:ascii="宋体" w:hAnsi="宋体" w:cs="宋体"/>
                <w:color w:val="auto"/>
                <w:sz w:val="24"/>
                <w:szCs w:val="24"/>
                <w:highlight w:val="none"/>
                <w:u w:val="single"/>
              </w:rPr>
              <w:t xml:space="preserve">                       </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采购项目名称及项目采购编号</w:t>
            </w:r>
            <w:r>
              <w:rPr>
                <w:rFonts w:hint="eastAsia" w:ascii="宋体" w:hAnsi="宋体" w:cs="宋体"/>
                <w:color w:val="auto"/>
                <w:sz w:val="24"/>
                <w:szCs w:val="24"/>
                <w:highlight w:val="none"/>
              </w:rPr>
              <w:t>）投标文件</w:t>
            </w:r>
          </w:p>
          <w:p>
            <w:pPr>
              <w:spacing w:line="3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所投标段：</w:t>
            </w:r>
            <w:r>
              <w:rPr>
                <w:rFonts w:hint="eastAsia" w:ascii="宋体" w:hAnsi="宋体" w:cs="宋体"/>
                <w:color w:val="auto"/>
                <w:sz w:val="24"/>
                <w:szCs w:val="24"/>
                <w:highlight w:val="none"/>
                <w:u w:val="single"/>
              </w:rPr>
              <w:t xml:space="preserve">                         </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递交和签收</w:t>
            </w:r>
          </w:p>
        </w:tc>
        <w:tc>
          <w:tcPr>
            <w:tcW w:w="7387" w:type="dxa"/>
            <w:noWrap w:val="0"/>
            <w:vAlign w:val="center"/>
          </w:tcPr>
          <w:p>
            <w:pPr>
              <w:spacing w:line="300" w:lineRule="exact"/>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地址：</w:t>
            </w:r>
            <w:r>
              <w:rPr>
                <w:rFonts w:hint="eastAsia" w:ascii="宋体" w:hAnsi="宋体" w:cs="宋体"/>
                <w:color w:val="auto"/>
                <w:sz w:val="24"/>
                <w:szCs w:val="24"/>
                <w:highlight w:val="none"/>
              </w:rPr>
              <w:t>贺州市公共资源交易中心交易大厅</w:t>
            </w:r>
            <w:r>
              <w:rPr>
                <w:rFonts w:hint="eastAsia" w:ascii="宋体" w:hAnsi="宋体" w:cs="宋体"/>
                <w:color w:val="auto"/>
                <w:kern w:val="0"/>
                <w:sz w:val="24"/>
                <w:szCs w:val="24"/>
                <w:highlight w:val="none"/>
              </w:rPr>
              <w:t>（贺州市鞍山西路83-1号（城投集团）4楼），具体开标厅以开标日当天贺州市公共资源交易中心电子显示屏公布大厅号数为准</w:t>
            </w:r>
            <w:r>
              <w:rPr>
                <w:rFonts w:hint="eastAsia" w:ascii="宋体" w:hAnsi="宋体" w:cs="宋体"/>
                <w:color w:val="auto"/>
                <w:sz w:val="24"/>
                <w:szCs w:val="24"/>
                <w:highlight w:val="none"/>
              </w:rPr>
              <w:t>。</w:t>
            </w:r>
          </w:p>
          <w:p>
            <w:pPr>
              <w:spacing w:line="3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是否退还投标文件：</w:t>
            </w:r>
            <w:r>
              <w:rPr>
                <w:rFonts w:hint="eastAsia" w:ascii="宋体" w:hAnsi="宋体" w:cs="宋体"/>
                <w:color w:val="auto"/>
                <w:sz w:val="24"/>
                <w:szCs w:val="24"/>
                <w:highlight w:val="none"/>
              </w:rPr>
              <w:t>否</w:t>
            </w:r>
          </w:p>
          <w:p>
            <w:pPr>
              <w:spacing w:line="3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投标文件签收：</w:t>
            </w:r>
          </w:p>
          <w:p>
            <w:pPr>
              <w:spacing w:line="30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投标供应商递交投标文件存在以下情形之一的，其投标文件不予接收，由采购代理机构将其情况形成书面记录后交由现场监督人员或评标委员会确定签字后做否决（废标）处理。</w:t>
            </w:r>
            <w:r>
              <w:rPr>
                <w:rFonts w:hint="eastAsia" w:ascii="宋体" w:hAnsi="宋体" w:cs="宋体"/>
                <w:color w:val="auto"/>
                <w:sz w:val="24"/>
                <w:szCs w:val="24"/>
                <w:highlight w:val="none"/>
              </w:rPr>
              <w:t>为保障投标供应商投标文件的专有信息，投标供应商对书面记录情况进行签字确认后，可领回其投标文件退场，采购代理机构在规定时效内退回其投标保证金：</w:t>
            </w:r>
          </w:p>
          <w:p>
            <w:pPr>
              <w:spacing w:line="300" w:lineRule="exact"/>
              <w:ind w:firstLine="420"/>
              <w:rPr>
                <w:rFonts w:hint="eastAsia" w:ascii="宋体" w:hAnsi="宋体" w:cs="宋体"/>
                <w:b/>
                <w:color w:val="auto"/>
                <w:sz w:val="24"/>
                <w:szCs w:val="24"/>
                <w:highlight w:val="none"/>
              </w:rPr>
            </w:pPr>
            <w:r>
              <w:rPr>
                <w:rFonts w:hint="eastAsia" w:ascii="宋体" w:hAnsi="宋体" w:cs="宋体"/>
                <w:b/>
                <w:color w:val="auto"/>
                <w:sz w:val="24"/>
                <w:szCs w:val="24"/>
                <w:highlight w:val="none"/>
              </w:rPr>
              <w:t>1.投标文件逾期送达的或者未送达指定地点的；</w:t>
            </w:r>
          </w:p>
          <w:p>
            <w:pPr>
              <w:spacing w:line="3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2.投标文件未按照招标文件要求包装或密封的。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开标时间和</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地点</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开标时间：2020年9月7日15点30分（同投标截止时间）</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开标地点：贺州市公共资源交易中心交易大厅</w:t>
            </w:r>
            <w:r>
              <w:rPr>
                <w:rFonts w:hint="eastAsia" w:ascii="宋体" w:hAnsi="宋体" w:cs="宋体"/>
                <w:color w:val="auto"/>
                <w:kern w:val="0"/>
                <w:sz w:val="24"/>
                <w:szCs w:val="24"/>
                <w:highlight w:val="none"/>
              </w:rPr>
              <w:t>（贺州市鞍山西路83-1号（城投集团）4楼），具体开标厅以开标日当天贺州市公共资源交易中心电子显示屏公布大厅号数为准</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7387"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2.公布在投标截止时间前递交投标文件的投标供应商名称，并点名确认投标供应商是否派人到场；</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3.宣布代理机构、采购单位等有关人员到场情况；</w:t>
            </w:r>
          </w:p>
          <w:p>
            <w:pPr>
              <w:spacing w:line="300" w:lineRule="exact"/>
              <w:rPr>
                <w:rFonts w:hint="eastAsia" w:ascii="宋体" w:hAnsi="宋体" w:cs="宋体"/>
                <w:color w:val="auto"/>
                <w:sz w:val="24"/>
                <w:szCs w:val="24"/>
                <w:highlight w:val="none"/>
              </w:rPr>
            </w:pPr>
            <w:bookmarkStart w:id="44" w:name="_Toc251051540"/>
            <w:r>
              <w:rPr>
                <w:rFonts w:hint="eastAsia" w:ascii="宋体" w:hAnsi="宋体" w:cs="宋体"/>
                <w:color w:val="auto"/>
                <w:sz w:val="24"/>
                <w:szCs w:val="24"/>
                <w:highlight w:val="none"/>
              </w:rPr>
              <w:t>4.核验投标供应商代表携带的相关资格证件材料是否合格；</w:t>
            </w:r>
            <w:bookmarkEnd w:id="44"/>
            <w:r>
              <w:rPr>
                <w:rFonts w:hint="eastAsia" w:ascii="宋体" w:hAnsi="宋体" w:cs="宋体"/>
                <w:color w:val="auto"/>
                <w:sz w:val="24"/>
                <w:szCs w:val="24"/>
                <w:highlight w:val="none"/>
              </w:rPr>
              <w:t>相关资格证件材料必须加盖投标单位公章，并在相应需要法定代表人或委托人签字或盖章。</w:t>
            </w:r>
          </w:p>
          <w:p>
            <w:pPr>
              <w:widowControl/>
              <w:spacing w:line="300" w:lineRule="exact"/>
              <w:ind w:firstLine="470" w:firstLineChars="196"/>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开标会须核验以下证件材料（以下资料需在开标截至时间前额外提供），不按要求提供或提供不齐全的，</w:t>
            </w:r>
            <w:r>
              <w:rPr>
                <w:rFonts w:hint="eastAsia" w:ascii="宋体" w:hAnsi="宋体" w:cs="宋体"/>
                <w:b/>
                <w:color w:val="auto"/>
                <w:sz w:val="24"/>
                <w:szCs w:val="24"/>
                <w:highlight w:val="none"/>
              </w:rPr>
              <w:t>其投标文件（投标）作否决（废标）处理：</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❶法定代表人持本人身份证原件、法人资格证明书原件、投标保证金银行转账底单复印件、企业基本账户开户许可证复印件或银行出具的基本开户信息证明复印件（法人参加时提供）</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❷委托代理人持法人授权委托书原件、本人身份证原件、投标保证金银行转账底单复印件、企业基本账户开户许可证复印件或银行出具的基本开户信息证明复印件签到参加开标会并接受验证，否则其投标文件不予接收（委托人参加时提供）</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❸营业执照副本复印件</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5.密封情况检查：各投标供应商及监督人员、采购单位代表交叉检验，确认后签字通过；</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6.开标顺序：按随机的顺序拆封投标文件；</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7.公布投标供应商名称、投标报价以及采购人认为有必要宣读的其他内容，并记录在案；</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8.投标供应商代表、采购人代表、监标人、记录人等有关人员在开标记录上签字确认；</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9.开标结束，投标供应商递交招标文件第六章评标办法和评标标准中所涉及的须投标供应商提供原件核查的材料（如有）。并在外场等候，直至评标结束后资料退回给投标人。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21</w:t>
            </w:r>
          </w:p>
        </w:tc>
        <w:tc>
          <w:tcPr>
            <w:tcW w:w="2245" w:type="dxa"/>
            <w:noWrap w:val="0"/>
            <w:vAlign w:val="center"/>
          </w:tcPr>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评标办法和</w:t>
            </w:r>
          </w:p>
          <w:p>
            <w:pPr>
              <w:pStyle w:val="19"/>
              <w:spacing w:line="300" w:lineRule="exact"/>
              <w:jc w:val="center"/>
              <w:rPr>
                <w:rFonts w:hint="eastAsia" w:hAnsi="宋体" w:cs="宋体"/>
                <w:color w:val="auto"/>
                <w:sz w:val="24"/>
                <w:szCs w:val="24"/>
                <w:highlight w:val="none"/>
              </w:rPr>
            </w:pPr>
            <w:r>
              <w:rPr>
                <w:rFonts w:hint="eastAsia" w:hAnsi="宋体" w:cs="宋体"/>
                <w:color w:val="auto"/>
                <w:sz w:val="24"/>
                <w:szCs w:val="24"/>
                <w:highlight w:val="none"/>
              </w:rPr>
              <w:t xml:space="preserve">评标标准 </w:t>
            </w:r>
          </w:p>
        </w:tc>
        <w:tc>
          <w:tcPr>
            <w:tcW w:w="7387" w:type="dxa"/>
            <w:noWrap w:val="0"/>
            <w:vAlign w:val="center"/>
          </w:tcPr>
          <w:p>
            <w:pPr>
              <w:pStyle w:val="19"/>
              <w:spacing w:line="300" w:lineRule="exact"/>
              <w:rPr>
                <w:rFonts w:hint="eastAsia" w:hAnsi="宋体" w:cs="宋体"/>
                <w:color w:val="auto"/>
                <w:sz w:val="24"/>
                <w:szCs w:val="24"/>
                <w:highlight w:val="none"/>
              </w:rPr>
            </w:pPr>
            <w:r>
              <w:rPr>
                <w:rFonts w:hint="eastAsia"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组建与授权</w:t>
            </w:r>
          </w:p>
        </w:tc>
        <w:tc>
          <w:tcPr>
            <w:tcW w:w="7387" w:type="dxa"/>
            <w:noWrap w:val="0"/>
            <w:vAlign w:val="top"/>
          </w:tcPr>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评标委员会构成：</w:t>
            </w:r>
          </w:p>
          <w:p>
            <w:pPr>
              <w:pStyle w:val="21"/>
              <w:widowControl w:val="0"/>
              <w:autoSpaceDE w:val="0"/>
              <w:autoSpaceDN w:val="0"/>
              <w:spacing w:before="0" w:after="0" w:line="400" w:lineRule="exact"/>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rPr>
              <w:t>评标委员会构成：</w:t>
            </w:r>
            <w:r>
              <w:rPr>
                <w:rFonts w:hint="eastAsia" w:ascii="宋体" w:hAnsi="宋体" w:eastAsia="宋体" w:cs="宋体"/>
                <w:color w:val="auto"/>
                <w:spacing w:val="51"/>
                <w:sz w:val="24"/>
                <w:szCs w:val="24"/>
                <w:highlight w:val="none"/>
                <w:lang w:eastAsia="zh-CN"/>
              </w:rPr>
              <w:t>5</w:t>
            </w:r>
            <w:r>
              <w:rPr>
                <w:rFonts w:hint="eastAsia" w:ascii="宋体" w:hAnsi="宋体" w:eastAsia="宋体" w:cs="宋体"/>
                <w:color w:val="auto"/>
                <w:sz w:val="24"/>
                <w:szCs w:val="24"/>
                <w:highlight w:val="none"/>
                <w:lang w:eastAsia="zh-CN"/>
              </w:rPr>
              <w:t>人，其中采购人代表</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53"/>
                <w:sz w:val="24"/>
                <w:szCs w:val="24"/>
                <w:highlight w:val="none"/>
                <w:lang w:eastAsia="zh-CN"/>
              </w:rPr>
              <w:t>1</w:t>
            </w:r>
            <w:r>
              <w:rPr>
                <w:rFonts w:hint="eastAsia" w:ascii="宋体" w:hAnsi="宋体" w:eastAsia="宋体" w:cs="宋体"/>
                <w:color w:val="auto"/>
                <w:sz w:val="24"/>
                <w:szCs w:val="24"/>
                <w:highlight w:val="none"/>
                <w:lang w:eastAsia="zh-CN"/>
              </w:rPr>
              <w:t>人，专家</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53"/>
                <w:sz w:val="24"/>
                <w:szCs w:val="24"/>
                <w:highlight w:val="none"/>
                <w:lang w:eastAsia="zh-CN"/>
              </w:rPr>
              <w:t>4</w:t>
            </w:r>
            <w:r>
              <w:rPr>
                <w:rFonts w:hint="eastAsia" w:ascii="宋体" w:hAnsi="宋体" w:eastAsia="宋体" w:cs="宋体"/>
                <w:color w:val="auto"/>
                <w:spacing w:val="-1"/>
                <w:sz w:val="24"/>
                <w:szCs w:val="24"/>
                <w:highlight w:val="none"/>
                <w:lang w:eastAsia="zh-CN"/>
              </w:rPr>
              <w:t>人。</w:t>
            </w:r>
          </w:p>
          <w:p>
            <w:pPr>
              <w:pStyle w:val="21"/>
              <w:widowControl w:val="0"/>
              <w:autoSpaceDE w:val="0"/>
              <w:autoSpaceDN w:val="0"/>
              <w:spacing w:before="0" w:after="0" w:line="400" w:lineRule="exact"/>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rPr>
              <w:t>评标专家分工：不分工</w:t>
            </w:r>
          </w:p>
          <w:p>
            <w:pPr>
              <w:spacing w:line="46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评标专家确定方式：</w:t>
            </w:r>
            <w:r>
              <w:rPr>
                <w:rFonts w:hint="eastAsia" w:ascii="宋体" w:hAnsi="宋体" w:cs="宋体"/>
                <w:color w:val="auto"/>
                <w:sz w:val="24"/>
                <w:szCs w:val="24"/>
                <w:highlight w:val="none"/>
              </w:rPr>
              <w:t>在政彩云专家库随机抽取确定。</w:t>
            </w:r>
          </w:p>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是否授权评标委员会确定拟中标供应商：否。</w:t>
            </w:r>
          </w:p>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授权评标委员会推荐中标候选人人数：3名。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7387" w:type="dxa"/>
            <w:noWrap w:val="0"/>
            <w:vAlign w:val="center"/>
          </w:tcPr>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24</w:t>
            </w:r>
          </w:p>
        </w:tc>
        <w:tc>
          <w:tcPr>
            <w:tcW w:w="2245" w:type="dxa"/>
            <w:noWrap w:val="0"/>
            <w:vAlign w:val="center"/>
          </w:tcPr>
          <w:p>
            <w:pPr>
              <w:spacing w:line="3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投标价格</w:t>
            </w:r>
          </w:p>
        </w:tc>
        <w:tc>
          <w:tcPr>
            <w:tcW w:w="7387" w:type="dxa"/>
            <w:noWrap w:val="0"/>
            <w:vAlign w:val="center"/>
          </w:tcPr>
          <w:p>
            <w:pPr>
              <w:pStyle w:val="7"/>
              <w:spacing w:line="300" w:lineRule="exact"/>
              <w:rPr>
                <w:rFonts w:hint="eastAsia" w:hAnsi="宋体" w:cs="宋体"/>
                <w:b/>
                <w:color w:val="auto"/>
                <w:sz w:val="24"/>
                <w:szCs w:val="24"/>
                <w:highlight w:val="none"/>
              </w:rPr>
            </w:pPr>
            <w:r>
              <w:rPr>
                <w:rFonts w:hint="eastAsia" w:hAnsi="宋体" w:cs="宋体"/>
                <w:b/>
                <w:color w:val="auto"/>
                <w:sz w:val="24"/>
                <w:szCs w:val="24"/>
                <w:highlight w:val="none"/>
              </w:rPr>
              <w:t>1.投标报价：</w:t>
            </w:r>
          </w:p>
          <w:p>
            <w:pPr>
              <w:spacing w:line="3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（1）投标报价形式：金额报价。</w:t>
            </w:r>
          </w:p>
          <w:p>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（2）采购预算价（上限控制价）：人民币贰佰柒拾玖万伍仟元整（￥：2，795，000.00元）</w:t>
            </w:r>
          </w:p>
          <w:p>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投标供应商报价高于的采购预算价（上限控制价）的，其投标文件（投标）作否决（废标）处理。</w:t>
            </w:r>
          </w:p>
          <w:p>
            <w:pPr>
              <w:spacing w:line="3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（3）报价唯一。</w:t>
            </w:r>
            <w:r>
              <w:rPr>
                <w:rFonts w:hint="eastAsia" w:ascii="宋体" w:hAnsi="宋体" w:cs="宋体"/>
                <w:color w:val="auto"/>
                <w:sz w:val="24"/>
                <w:szCs w:val="24"/>
                <w:highlight w:val="none"/>
              </w:rPr>
              <w:t>只能有一个有效报价。即：只允许有一个报价，任何有选择和保留的报价将不予接受。</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（4）企业成本分析：</w:t>
            </w:r>
            <w:r>
              <w:rPr>
                <w:rFonts w:hint="eastAsia" w:ascii="宋体" w:hAnsi="宋体" w:cs="宋体"/>
                <w:bCs/>
                <w:color w:val="auto"/>
                <w:sz w:val="24"/>
                <w:szCs w:val="24"/>
                <w:highlight w:val="none"/>
              </w:rPr>
              <w:t>根据《政府采购货物和服务招标投标管理办法》（中华人民共和国财政部令第87号）第六十条指导精神：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上款书面说明系指企业对本采购项目的成本分析，包括其完成本项目的货物（包括项目整体服务的价格；必要的保险费用和各项税金；安装、调试、培训、技术支持、售后服务、更新升级等等费用；项目验收产生的费用。）和所有工作量及其相关配套内容的全套文件（检测文件、项目跟踪文件、项目设备使用解析文件和服务项目成果资料汇编文件等）编制）以及税金等其它所有成本的全部费用。当本项目分标段的某投标供应商投标报价与采购预算价（上限控制价）相比较的让利幅度≥15%时，由评标委员会要求该投标供应商作出书面说明并提供相应的证明材料，如不提供或评委认定其资料不能详尽合理说明其成本的，或评标委员会针对其提交证明材料进行核算后仍认为其材料不能合理说明或者所提供证明材料不齐全的，不再接受投标供应商补充材料，视其以低于企业成本报价恶意竞标，其投标文件（投标）作否决（废标）处理。上款证明材料系指：2018 年度~2019年度经第三方具备审计资质的机构出具的审计报告（包括其固定资产成本及折旧、管理成本、人工费成本（如人员工资、奖金、福利及差旅等费用）、税收等所有成本及利润）复印件（原件现场核查）。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c>
          <w:tcPr>
            <w:tcW w:w="2245" w:type="dxa"/>
            <w:noWrap w:val="0"/>
            <w:vAlign w:val="center"/>
          </w:tcPr>
          <w:p>
            <w:pPr>
              <w:spacing w:line="320" w:lineRule="exact"/>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合同备案存档</w:t>
            </w:r>
          </w:p>
        </w:tc>
        <w:tc>
          <w:tcPr>
            <w:tcW w:w="7387" w:type="dxa"/>
            <w:noWrap w:val="0"/>
            <w:vAlign w:val="center"/>
          </w:tcPr>
          <w:p>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政府采购合同公告</w:t>
            </w:r>
          </w:p>
          <w:p>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2.中标供应商应就政府采购合同双方自签订之日起1个工作日内将合同原件一份交采购代理机构。采购代理机构将政府采购合同在省级以上人民政府财政部门指定媒体上公告。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26</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中标供应商</w:t>
            </w:r>
          </w:p>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相关费用</w:t>
            </w:r>
          </w:p>
        </w:tc>
        <w:tc>
          <w:tcPr>
            <w:tcW w:w="7387" w:type="dxa"/>
            <w:noWrap w:val="0"/>
            <w:vAlign w:val="center"/>
          </w:tcPr>
          <w:p>
            <w:pPr>
              <w:spacing w:line="3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1.采购代理费：</w:t>
            </w:r>
          </w:p>
          <w:p>
            <w:pPr>
              <w:spacing w:line="3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本项目采购代理服务费按代理合同约定由中标供应商支付。参照国家计委《招标代理服务收费管理暂行办法》（计价格［2002］1980号）以及国家发展和改革委员会办公厅《关于招标代理服务收费有关问题的通知》(发改办价格[2003]857号)的规定，收费标准以中标价为计算基数，按差额定率累进法计取，即100万元以下—1.5%，100万元—500万元—1.1%。由中标供应商领取中标通知书时一次性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27</w:t>
            </w:r>
          </w:p>
        </w:tc>
        <w:tc>
          <w:tcPr>
            <w:tcW w:w="2245"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c>
          <w:tcPr>
            <w:tcW w:w="7387" w:type="dxa"/>
            <w:noWrap w:val="0"/>
            <w:vAlign w:val="center"/>
          </w:tcPr>
          <w:p>
            <w:pPr>
              <w:spacing w:line="3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1.重新招标：有下列情形之一的，采购人将重新招标：</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（1）截标后整个招标项目的投标供应商不足三家的；</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（2）对招标文件作响应的投标供应商不足三家的；</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（3）出现影响采购公正的违法、违规行为的；</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（4）投标供应商的报价均超过了采购预算价（上限控制价），采购人不能支付的。</w:t>
            </w:r>
          </w:p>
          <w:p>
            <w:pPr>
              <w:spacing w:line="3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2.中标公告的媒介：</w:t>
            </w:r>
          </w:p>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自收到评标报告之日起2日内，本采购代理机构在发布本项目招标公告的同一媒介上公示中标供应商，公示期为1个工作日。投标供应商或者其他利害关系人对中标供应商有异议的，须在中标公告期届满7个工作日内提出。采购人或本采购代理机构自收到异议之日起7个工作日内作出答复。采购人或本采购代理机构未在规定时限内答复的，投标供应商或者其他利害关系人可在答复期满15个工作日内向当地政府采购监督管理部门提出投诉。</w:t>
            </w:r>
          </w:p>
          <w:p>
            <w:pPr>
              <w:spacing w:line="300" w:lineRule="exact"/>
              <w:ind w:firstLine="480" w:firstLineChars="200"/>
              <w:rPr>
                <w:rFonts w:hint="eastAsia" w:ascii="宋体" w:hAnsi="宋体" w:cs="宋体"/>
                <w:color w:val="auto"/>
                <w:sz w:val="24"/>
                <w:szCs w:val="24"/>
                <w:highlight w:val="none"/>
              </w:rPr>
            </w:pPr>
          </w:p>
        </w:tc>
      </w:tr>
    </w:tbl>
    <w:p>
      <w:pPr>
        <w:pStyle w:val="7"/>
        <w:spacing w:line="400" w:lineRule="exact"/>
        <w:rPr>
          <w:rFonts w:hint="eastAsia" w:hAnsi="宋体" w:cs="宋体"/>
          <w:color w:val="auto"/>
          <w:szCs w:val="24"/>
          <w:highlight w:val="none"/>
        </w:rPr>
      </w:pPr>
    </w:p>
    <w:p>
      <w:pPr>
        <w:pStyle w:val="7"/>
        <w:spacing w:line="400" w:lineRule="exact"/>
        <w:jc w:val="center"/>
        <w:outlineLvl w:val="1"/>
        <w:rPr>
          <w:rFonts w:hint="eastAsia" w:hAnsi="宋体" w:cs="宋体"/>
          <w:b/>
          <w:color w:val="auto"/>
          <w:sz w:val="28"/>
          <w:szCs w:val="24"/>
          <w:highlight w:val="none"/>
        </w:rPr>
      </w:pPr>
      <w:bookmarkStart w:id="45" w:name="_Toc7797"/>
      <w:bookmarkStart w:id="46" w:name="_Toc14917"/>
      <w:bookmarkStart w:id="47" w:name="_Toc517168538"/>
    </w:p>
    <w:p>
      <w:pPr>
        <w:pStyle w:val="7"/>
        <w:spacing w:line="400" w:lineRule="exact"/>
        <w:jc w:val="center"/>
        <w:outlineLvl w:val="1"/>
        <w:rPr>
          <w:rFonts w:hint="eastAsia" w:hAnsi="宋体" w:cs="宋体"/>
          <w:b/>
          <w:color w:val="auto"/>
          <w:sz w:val="28"/>
          <w:szCs w:val="24"/>
          <w:highlight w:val="none"/>
        </w:rPr>
      </w:pPr>
    </w:p>
    <w:p>
      <w:pPr>
        <w:pStyle w:val="7"/>
        <w:spacing w:line="400" w:lineRule="exact"/>
        <w:jc w:val="center"/>
        <w:outlineLvl w:val="1"/>
        <w:rPr>
          <w:rFonts w:hint="eastAsia" w:hAnsi="宋体" w:cs="宋体"/>
          <w:b/>
          <w:color w:val="auto"/>
          <w:sz w:val="28"/>
          <w:szCs w:val="24"/>
          <w:highlight w:val="none"/>
        </w:rPr>
      </w:pPr>
    </w:p>
    <w:p>
      <w:pPr>
        <w:pStyle w:val="7"/>
        <w:spacing w:line="400" w:lineRule="exact"/>
        <w:jc w:val="center"/>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7"/>
        <w:spacing w:line="400" w:lineRule="exact"/>
        <w:outlineLvl w:val="1"/>
        <w:rPr>
          <w:rFonts w:hint="eastAsia" w:hAnsi="宋体" w:cs="宋体"/>
          <w:b/>
          <w:color w:val="auto"/>
          <w:sz w:val="28"/>
          <w:szCs w:val="24"/>
          <w:highlight w:val="none"/>
        </w:rPr>
      </w:pPr>
    </w:p>
    <w:p>
      <w:pPr>
        <w:pStyle w:val="3"/>
        <w:rPr>
          <w:rFonts w:hint="eastAsia"/>
          <w:color w:val="auto"/>
          <w:highlight w:val="none"/>
        </w:rPr>
      </w:pPr>
      <w:bookmarkStart w:id="48" w:name="_Toc30027"/>
      <w:bookmarkStart w:id="49" w:name="_Toc19652"/>
      <w:r>
        <w:rPr>
          <w:rFonts w:hint="eastAsia"/>
          <w:color w:val="auto"/>
          <w:highlight w:val="none"/>
        </w:rPr>
        <w:t>投标供应商须知正文部分</w:t>
      </w:r>
      <w:bookmarkEnd w:id="45"/>
      <w:bookmarkEnd w:id="46"/>
      <w:bookmarkEnd w:id="47"/>
      <w:bookmarkEnd w:id="48"/>
      <w:bookmarkEnd w:id="49"/>
    </w:p>
    <w:p>
      <w:pPr>
        <w:pStyle w:val="7"/>
        <w:spacing w:line="400" w:lineRule="exact"/>
        <w:rPr>
          <w:rFonts w:hint="eastAsia" w:hAnsi="宋体" w:cs="宋体"/>
          <w:color w:val="auto"/>
          <w:szCs w:val="24"/>
          <w:highlight w:val="none"/>
        </w:rPr>
      </w:pPr>
    </w:p>
    <w:p>
      <w:pPr>
        <w:spacing w:line="400" w:lineRule="exact"/>
        <w:rPr>
          <w:rFonts w:hint="eastAsia" w:ascii="宋体" w:hAnsi="宋体" w:cs="宋体"/>
          <w:b/>
          <w:color w:val="auto"/>
          <w:sz w:val="24"/>
          <w:szCs w:val="24"/>
          <w:highlight w:val="none"/>
        </w:rPr>
      </w:pPr>
      <w:r>
        <w:rPr>
          <w:rFonts w:hint="eastAsia" w:ascii="宋体" w:hAnsi="宋体" w:cs="宋体"/>
          <w:b/>
          <w:color w:val="auto"/>
          <w:szCs w:val="24"/>
          <w:highlight w:val="none"/>
        </w:rPr>
        <w:t>1</w:t>
      </w:r>
      <w:r>
        <w:rPr>
          <w:rFonts w:hint="eastAsia" w:ascii="宋体" w:hAnsi="宋体" w:cs="宋体"/>
          <w:b/>
          <w:color w:val="auto"/>
          <w:sz w:val="24"/>
          <w:szCs w:val="24"/>
          <w:highlight w:val="none"/>
        </w:rPr>
        <w:t>.项目概况</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见投标供应商须知前附表。</w:t>
      </w:r>
    </w:p>
    <w:p>
      <w:pPr>
        <w:spacing w:line="400" w:lineRule="exact"/>
        <w:rPr>
          <w:rFonts w:hint="eastAsia" w:ascii="宋体" w:hAnsi="宋体" w:cs="宋体"/>
          <w:b/>
          <w:color w:val="auto"/>
          <w:sz w:val="24"/>
          <w:szCs w:val="24"/>
          <w:highlight w:val="none"/>
        </w:rPr>
      </w:pPr>
      <w:bookmarkStart w:id="50" w:name="_Toc295204426"/>
      <w:bookmarkStart w:id="51" w:name="_Toc114303702"/>
      <w:bookmarkStart w:id="52" w:name="_Toc114052415"/>
      <w:bookmarkStart w:id="53" w:name="_Toc114052341"/>
      <w:r>
        <w:rPr>
          <w:rFonts w:hint="eastAsia" w:ascii="宋体" w:hAnsi="宋体" w:cs="宋体"/>
          <w:b/>
          <w:color w:val="auto"/>
          <w:sz w:val="24"/>
          <w:szCs w:val="24"/>
          <w:highlight w:val="none"/>
        </w:rPr>
        <w:t>2.资金来源</w:t>
      </w:r>
      <w:bookmarkEnd w:id="50"/>
      <w:bookmarkEnd w:id="51"/>
      <w:bookmarkEnd w:id="52"/>
      <w:bookmarkEnd w:id="53"/>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见投标供应商须知前附表。</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3.</w:t>
      </w:r>
      <w:r>
        <w:rPr>
          <w:rFonts w:hint="eastAsia" w:ascii="宋体" w:hAnsi="宋体" w:cs="宋体"/>
          <w:b/>
          <w:color w:val="auto"/>
          <w:kern w:val="20"/>
          <w:sz w:val="24"/>
          <w:szCs w:val="24"/>
          <w:highlight w:val="none"/>
        </w:rPr>
        <w:t>投标供应商资格条件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投标供应商资格：见投标供应商须知前附表。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排除投标供应商的准则如下：</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投标供应商不符合《投标须知前附表》或者法律法规规定的资格条件；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3.2.2投标供应商以往与本项目采购人有纠纷且尚未解决；</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 投标供应商为本项目采购人、采购代理机构或者与上述单位有隶属关系、关联关系或者其他利害关系；</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 投标供应商已收到破产申请或已明显无力清偿债务；</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投标供应商由于商业或职业行为已判决为触犯刑法；</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3.2.5 投标供应商在商业或职业过程中具有严重渎职行径；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3.2.6 投标供应商没有履行法律规定的缴税义务及关于社会保障体系规定的支付义务。 </w:t>
      </w:r>
    </w:p>
    <w:p>
      <w:pPr>
        <w:spacing w:line="400" w:lineRule="exact"/>
        <w:rPr>
          <w:rFonts w:hint="eastAsia" w:ascii="宋体" w:hAnsi="宋体" w:cs="宋体"/>
          <w:b/>
          <w:color w:val="auto"/>
          <w:sz w:val="24"/>
          <w:szCs w:val="24"/>
          <w:highlight w:val="none"/>
        </w:rPr>
      </w:pPr>
      <w:bookmarkStart w:id="54" w:name="_Toc114052343"/>
      <w:bookmarkStart w:id="55" w:name="_Toc114052417"/>
      <w:bookmarkStart w:id="56" w:name="_Toc114303704"/>
      <w:bookmarkStart w:id="57" w:name="_Toc295204428"/>
      <w:r>
        <w:rPr>
          <w:rFonts w:hint="eastAsia" w:ascii="宋体" w:hAnsi="宋体" w:cs="宋体"/>
          <w:b/>
          <w:color w:val="auto"/>
          <w:sz w:val="24"/>
          <w:szCs w:val="24"/>
          <w:highlight w:val="none"/>
        </w:rPr>
        <w:t>4.投标费用</w:t>
      </w:r>
      <w:bookmarkEnd w:id="54"/>
      <w:bookmarkEnd w:id="55"/>
      <w:bookmarkEnd w:id="56"/>
      <w:bookmarkEnd w:id="57"/>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投标供应商应承担其编制投标文件与递交投标文件所涉及的一切费用。不管投标结果如何，采购人对上述费用不负任何责任。</w:t>
      </w:r>
    </w:p>
    <w:p>
      <w:pPr>
        <w:spacing w:line="400" w:lineRule="exact"/>
        <w:rPr>
          <w:rFonts w:hint="eastAsia" w:ascii="宋体" w:hAnsi="宋体" w:cs="宋体"/>
          <w:b/>
          <w:color w:val="auto"/>
          <w:sz w:val="24"/>
          <w:szCs w:val="24"/>
          <w:highlight w:val="none"/>
        </w:rPr>
      </w:pPr>
      <w:bookmarkStart w:id="58" w:name="_Toc295204430"/>
      <w:bookmarkStart w:id="59" w:name="_Toc114303706"/>
      <w:bookmarkStart w:id="60" w:name="_Toc114052419"/>
      <w:bookmarkStart w:id="61" w:name="_Toc114052345"/>
      <w:r>
        <w:rPr>
          <w:rFonts w:hint="eastAsia" w:ascii="宋体" w:hAnsi="宋体" w:cs="宋体"/>
          <w:b/>
          <w:color w:val="auto"/>
          <w:sz w:val="24"/>
          <w:szCs w:val="24"/>
          <w:highlight w:val="none"/>
        </w:rPr>
        <w:t>5.招标文件的组成</w:t>
      </w:r>
      <w:bookmarkEnd w:id="58"/>
      <w:bookmarkEnd w:id="59"/>
      <w:bookmarkEnd w:id="60"/>
      <w:bookmarkEnd w:id="61"/>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招标文件包括：招标公告、投标供应商须知、评标办法及评标标准、合同条款、投标文件格式及所有按本须知前附表第9条发出的澄清答复或补充、更改通知和补遗文件等。</w:t>
      </w:r>
    </w:p>
    <w:p>
      <w:pPr>
        <w:spacing w:line="400" w:lineRule="exact"/>
        <w:rPr>
          <w:rFonts w:hint="eastAsia" w:ascii="宋体" w:hAnsi="宋体" w:cs="宋体"/>
          <w:b/>
          <w:color w:val="auto"/>
          <w:sz w:val="24"/>
          <w:szCs w:val="24"/>
          <w:highlight w:val="none"/>
        </w:rPr>
      </w:pPr>
      <w:bookmarkStart w:id="62" w:name="_Toc295204431"/>
      <w:bookmarkStart w:id="63" w:name="_Toc114303708"/>
      <w:bookmarkStart w:id="64" w:name="_Toc114052421"/>
      <w:bookmarkStart w:id="65" w:name="_Toc114052347"/>
      <w:r>
        <w:rPr>
          <w:rFonts w:hint="eastAsia" w:ascii="宋体" w:hAnsi="宋体" w:cs="宋体"/>
          <w:b/>
          <w:color w:val="auto"/>
          <w:sz w:val="24"/>
          <w:szCs w:val="24"/>
          <w:highlight w:val="none"/>
        </w:rPr>
        <w:t>6.招标文件的澄清和修改</w:t>
      </w:r>
      <w:bookmarkEnd w:id="62"/>
      <w:bookmarkEnd w:id="63"/>
      <w:bookmarkEnd w:id="64"/>
      <w:bookmarkEnd w:id="65"/>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6.1投标供应商要求对招标文件的澄清按投标供应商须知前附表载列程序进行，未按招标文件要求提出的异议，采购人不予答复。</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采购人对招标文件的澄清和修改将统一在发布本项目招标公告的媒介上公布。招标文件的澄清和修改且该澄清修改实质性影响投标文件编制的，开标时间（投标截止时间）顺延至澄清和修改通知在本项目发布招标公告的媒介上发布之日起15天。</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6.3采购代理机构可视具体情况，延长投标截止日期和开标时间，至少于投标截止时间3天前在发布本项目招标公告的媒介上发布变更通知。</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7.投标价格</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7.1若本招标文件第五章“投标文件格式”投标报价表要求投标供应商分别填写单价和总价的，投标供应商须在投标报价表上相应标明单价和总价。修正错误的原则如下：</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（1）投标文件的大写金额和小写金额不一致的，以大写金额为准；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（2）总价金额与按单价汇总金额不一致的，以单价金额计算结果为准；单价金额小数点或者百分比有明显错位的，以投标函的总价为准，并修改单价。</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按上述修正错误的原则及方法调整或修正投标文件的投标报价，投标供应商同意并签字确认后，调整后的投标报价对投标供应商具有约束作用。</w:t>
      </w:r>
      <w:r>
        <w:rPr>
          <w:rFonts w:hint="eastAsia" w:ascii="宋体" w:hAnsi="宋体" w:cs="宋体"/>
          <w:b/>
          <w:color w:val="auto"/>
          <w:sz w:val="24"/>
          <w:szCs w:val="24"/>
          <w:highlight w:val="none"/>
        </w:rPr>
        <w:t>如果投标供应商不接受修正后的报价，其投标文件（投标）作否决（废标）处理。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本项目按金额报价。投标须以人民币报价。投标供应商就《项目需求和说明》中所有的货物和服务内容作完整唯一报价。投标报价依据采购人要求，在保证成果质量的前提下，投标供应商应根据自身企业情况进行报价。本次投标报价包括完成本项目的货物</w:t>
      </w:r>
      <w:r>
        <w:rPr>
          <w:rFonts w:hint="eastAsia" w:ascii="宋体" w:hAnsi="宋体" w:cs="宋体"/>
          <w:bCs/>
          <w:color w:val="auto"/>
          <w:sz w:val="24"/>
          <w:szCs w:val="24"/>
          <w:highlight w:val="none"/>
        </w:rPr>
        <w:t>（包括项目整体服务的价格；必要的保险费用和各项税金</w:t>
      </w:r>
      <w:r>
        <w:rPr>
          <w:rFonts w:hint="eastAsia" w:ascii="宋体" w:hAnsi="宋体" w:cs="宋体"/>
          <w:color w:val="auto"/>
          <w:sz w:val="24"/>
          <w:szCs w:val="24"/>
          <w:highlight w:val="none"/>
        </w:rPr>
        <w:t>以及税金等其它所有成本的全部费用。合同价款在合同实施期间不因市场价格变化因素而变动。投标供应商在报价时应考虑各方面因素、各种风险和自己的承受能力。</w:t>
      </w:r>
    </w:p>
    <w:p>
      <w:pPr>
        <w:spacing w:line="400" w:lineRule="exact"/>
        <w:ind w:firstLine="241" w:firstLineChars="100"/>
        <w:rPr>
          <w:rFonts w:hint="eastAsia" w:ascii="宋体" w:hAnsi="宋体" w:cs="宋体"/>
          <w:color w:val="auto"/>
          <w:sz w:val="24"/>
          <w:szCs w:val="24"/>
          <w:highlight w:val="none"/>
        </w:rPr>
      </w:pPr>
      <w:r>
        <w:rPr>
          <w:rFonts w:hint="eastAsia" w:ascii="宋体" w:hAnsi="宋体" w:cs="宋体"/>
          <w:b/>
          <w:color w:val="auto"/>
          <w:sz w:val="24"/>
          <w:szCs w:val="24"/>
          <w:highlight w:val="none"/>
        </w:rPr>
        <w:t>7.3采购预算价（上限控制价）：</w:t>
      </w:r>
      <w:r>
        <w:rPr>
          <w:rFonts w:hint="eastAsia" w:ascii="宋体" w:hAnsi="宋体" w:cs="宋体"/>
          <w:bCs/>
          <w:color w:val="auto"/>
          <w:sz w:val="24"/>
          <w:szCs w:val="24"/>
          <w:highlight w:val="none"/>
        </w:rPr>
        <w:t>人民币贰佰柒拾玖万伍仟元整（￥：2，795，000.00元）。</w:t>
      </w:r>
      <w:r>
        <w:rPr>
          <w:rFonts w:hint="eastAsia" w:ascii="宋体" w:hAnsi="宋体" w:cs="宋体"/>
          <w:color w:val="auto"/>
          <w:sz w:val="24"/>
          <w:szCs w:val="24"/>
          <w:highlight w:val="none"/>
        </w:rPr>
        <w:t>投标供应商报价高于的采购预算价（上限控制价）的，</w:t>
      </w:r>
      <w:r>
        <w:rPr>
          <w:rFonts w:hint="eastAsia" w:ascii="宋体" w:hAnsi="宋体" w:cs="宋体"/>
          <w:b/>
          <w:color w:val="auto"/>
          <w:sz w:val="24"/>
          <w:szCs w:val="24"/>
          <w:highlight w:val="none"/>
        </w:rPr>
        <w:t>其投标文件（投标）作否决（废标）处理。</w:t>
      </w:r>
    </w:p>
    <w:p>
      <w:pPr>
        <w:spacing w:line="400" w:lineRule="exact"/>
        <w:ind w:firstLine="241" w:firstLineChars="100"/>
        <w:rPr>
          <w:rFonts w:hint="eastAsia" w:ascii="宋体" w:hAnsi="宋体" w:cs="宋体"/>
          <w:color w:val="auto"/>
          <w:sz w:val="24"/>
          <w:szCs w:val="24"/>
          <w:highlight w:val="none"/>
        </w:rPr>
      </w:pPr>
      <w:r>
        <w:rPr>
          <w:rFonts w:hint="eastAsia" w:ascii="宋体" w:hAnsi="宋体" w:cs="宋体"/>
          <w:b/>
          <w:color w:val="auto"/>
          <w:sz w:val="24"/>
          <w:szCs w:val="24"/>
          <w:highlight w:val="none"/>
        </w:rPr>
        <w:t>7.4企业成本分析</w:t>
      </w:r>
      <w:r>
        <w:rPr>
          <w:rFonts w:hint="eastAsia" w:ascii="宋体" w:hAnsi="宋体" w:cs="宋体"/>
          <w:bCs/>
          <w:color w:val="auto"/>
          <w:sz w:val="24"/>
          <w:szCs w:val="24"/>
          <w:highlight w:val="none"/>
        </w:rPr>
        <w:t>：根据《政府采购货物和服务招标投标管理办法》（中华人民共和国财政部令第87号）第六十条指导精神：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上款书面说明系指企业对本采购项目的成本分析，包括其完成本项目的货物（包括项目整体服务的价格；必要的保险费用和各项税金；安装、调试、培训、技术支持、售后服务、更新升级等等费用；项目验收产生的费用。）和所有工作量及其相关配套内容的全套文件（检测文件、项目跟踪文件、项目设备使用解析文件和服务项目成果资料汇编文件等）编制）以及税金等其它所有成本的全部费用。当本项目分标段的某投标供应商投标报价与采购预算价（上限控制价）相比较的让利幅度≥15%时，由评标委员会要求该投标供应商作出书面说明并提供相应的证明材料，如不提供或评委认定其资料不能详尽合理说明其成本的，或评标委员会针对其提交证明材料进行核算后仍认为其材料不能合理说明或者所提供证明材料不齐全的，不再接受投标供应商补充材料，视其以低于企业成本报价恶意竞标，其投标文件（投标）作否决（废标）处理。上款证明材料系指：2018 年度~2019年度经第三方具备审计资质的机构出具的审计报告（包括其固定资产成本及折旧、管理成本、人工费成本（如人员工资、奖金、福利及差旅等费用）、税收等所有成本及利润）复印件（原件现场核查）。</w:t>
      </w:r>
    </w:p>
    <w:p>
      <w:pPr>
        <w:spacing w:line="400" w:lineRule="exact"/>
        <w:rPr>
          <w:rFonts w:hint="eastAsia" w:ascii="宋体" w:hAnsi="宋体" w:cs="宋体"/>
          <w:b/>
          <w:color w:val="auto"/>
          <w:sz w:val="24"/>
          <w:szCs w:val="24"/>
          <w:highlight w:val="none"/>
        </w:rPr>
      </w:pPr>
      <w:bookmarkStart w:id="66" w:name="_Toc114052352"/>
      <w:bookmarkStart w:id="67" w:name="_Toc114052426"/>
      <w:bookmarkStart w:id="68" w:name="_Toc114303713"/>
      <w:bookmarkStart w:id="69" w:name="_Toc295204436"/>
      <w:r>
        <w:rPr>
          <w:rFonts w:hint="eastAsia" w:ascii="宋体" w:hAnsi="宋体" w:cs="宋体"/>
          <w:b/>
          <w:color w:val="auto"/>
          <w:sz w:val="24"/>
          <w:szCs w:val="24"/>
          <w:highlight w:val="none"/>
        </w:rPr>
        <w:t>8.投标文件编写注意事项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8.1投标供应商须认真阅读招标文件，按照招标文件的要求编制投标文件。没有按照招标文件提出的要求作出响应的，</w:t>
      </w:r>
      <w:r>
        <w:rPr>
          <w:rFonts w:hint="eastAsia" w:ascii="宋体" w:hAnsi="宋体" w:cs="宋体"/>
          <w:b/>
          <w:color w:val="auto"/>
          <w:sz w:val="24"/>
          <w:szCs w:val="24"/>
          <w:highlight w:val="none"/>
        </w:rPr>
        <w:t>其投标文件（投标）作否决（废标）处理。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8.2投标供应商的投标文件以及投标供应商与采购代理机构所有来往函电统一使用中文(特别规定除外)。</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投标文件中使用的计量单位除招标文件中有特殊规定外，一律使用法定计量单位。</w:t>
      </w:r>
    </w:p>
    <w:bookmarkEnd w:id="66"/>
    <w:bookmarkEnd w:id="67"/>
    <w:bookmarkEnd w:id="68"/>
    <w:bookmarkEnd w:id="69"/>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9.投标文件的组成</w:t>
      </w:r>
    </w:p>
    <w:p>
      <w:pPr>
        <w:spacing w:line="400" w:lineRule="exact"/>
        <w:ind w:firstLine="482" w:firstLineChars="200"/>
        <w:rPr>
          <w:rFonts w:hint="eastAsia" w:ascii="宋体" w:hAnsi="宋体" w:cs="宋体"/>
          <w:color w:val="auto"/>
          <w:sz w:val="24"/>
          <w:szCs w:val="24"/>
          <w:highlight w:val="none"/>
        </w:rPr>
      </w:pPr>
      <w:bookmarkStart w:id="70" w:name="_Toc295204447"/>
      <w:r>
        <w:rPr>
          <w:rFonts w:hint="eastAsia" w:ascii="宋体" w:hAnsi="宋体" w:cs="宋体"/>
          <w:b/>
          <w:bCs/>
          <w:color w:val="auto"/>
          <w:sz w:val="24"/>
          <w:szCs w:val="24"/>
          <w:highlight w:val="none"/>
        </w:rPr>
        <w:t>一、资格资信证明文件</w:t>
      </w:r>
      <w:r>
        <w:rPr>
          <w:rFonts w:hint="eastAsia" w:ascii="宋体" w:hAnsi="宋体" w:cs="宋体"/>
          <w:color w:val="auto"/>
          <w:sz w:val="24"/>
          <w:szCs w:val="24"/>
          <w:highlight w:val="none"/>
        </w:rPr>
        <w:t>（第1～14项必须提供，其中第5项委托代理时必须提供且按要求签字盖章）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1、投标声明书</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2、投标保证金声明原件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3、购买招标文件证明复印件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4、法定代表人身份证明原件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5、法定代表人授权委托书原件（如委托代理人参加投标时）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6、投标人有效的营业执照正本或副本复印件（须清晰反映经营期限和经营范围）</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截止之日前半年内连续三个月的依法缴纳社保费的缴费凭证（格式自拟，复印件，必须提供）；无缴费记录的，应提供由投标人所在地社保部门出具的《依法缴纳或依法免缴社保费证明》（格式自拟，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8、投标截止之日前半年内连续三个月的依法纳税的缴费凭证（格式自拟，复印件，必须提供）；无纳税记录的，应提供由投标人所在地的税务部门出具的《依法纳税或依法免税证明》（格式自拟，复印件）。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建筑机电安装工程专业承包资质证书（贰级及以上）及安全生产许可证；</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10、投标人必须提供有效的行业主管部门颁发的有效医疗器械经营许可证；</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医用分子筛中心制氧系统设备《医疗器械注册证》；</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特种设备安装改造维修许可证（压力管道，GC2级及以上）；</w:t>
      </w:r>
    </w:p>
    <w:p>
      <w:pPr>
        <w:pStyle w:val="2"/>
        <w:rPr>
          <w:rFonts w:hint="eastAsia"/>
          <w:color w:val="auto"/>
          <w:highlight w:val="none"/>
        </w:rPr>
      </w:pPr>
      <w:r>
        <w:rPr>
          <w:rFonts w:hint="eastAsia" w:ascii="宋体" w:hAnsi="宋体" w:cs="宋体"/>
          <w:color w:val="auto"/>
          <w:sz w:val="24"/>
          <w:szCs w:val="24"/>
          <w:highlight w:val="none"/>
        </w:rPr>
        <w:t xml:space="preserve">    13、投标人必须提供有效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特种设备制造许可证或特种设备安装改造维修许可证（压力容器）；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14、投标人提供信用记录书面声明；</w:t>
      </w:r>
    </w:p>
    <w:p>
      <w:pPr>
        <w:pStyle w:val="2"/>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15、近年类似项目业绩情况（如有，请提供）；</w:t>
      </w:r>
    </w:p>
    <w:p>
      <w:pPr>
        <w:rPr>
          <w:rFonts w:hint="eastAsia"/>
          <w:color w:val="auto"/>
          <w:highlight w:val="none"/>
        </w:rPr>
      </w:pPr>
      <w:r>
        <w:rPr>
          <w:rFonts w:hint="eastAsia"/>
          <w:color w:val="auto"/>
          <w:highlight w:val="none"/>
        </w:rPr>
        <w:t>　　16、</w:t>
      </w:r>
      <w:r>
        <w:rPr>
          <w:rFonts w:hint="eastAsia" w:ascii="宋体" w:hAnsi="宋体" w:cs="宋体"/>
          <w:color w:val="auto"/>
          <w:sz w:val="24"/>
          <w:szCs w:val="24"/>
          <w:highlight w:val="none"/>
        </w:rPr>
        <w:t>信誉、实力情况（如有，请提供）。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二、报价文件</w:t>
      </w:r>
      <w:r>
        <w:rPr>
          <w:rFonts w:hint="eastAsia" w:ascii="宋体" w:hAnsi="宋体" w:cs="宋体"/>
          <w:color w:val="auto"/>
          <w:sz w:val="24"/>
          <w:szCs w:val="24"/>
          <w:highlight w:val="none"/>
        </w:rPr>
        <w:t>（第1～3项为必须提供）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3、投标报价明细表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4、投标人符合政府采购政策价格扣除证明材料</w:t>
      </w:r>
      <w:r>
        <w:rPr>
          <w:rFonts w:hint="eastAsia" w:ascii="宋体" w:hAnsi="宋体" w:cs="宋体"/>
          <w:color w:val="auto"/>
          <w:sz w:val="24"/>
          <w:szCs w:val="24"/>
          <w:highlight w:val="none"/>
          <w:u w:val="single"/>
        </w:rPr>
        <w:t>（如有，由投标人根据实际情况真实提供）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三、商务文件</w:t>
      </w:r>
      <w:r>
        <w:rPr>
          <w:rFonts w:hint="eastAsia" w:ascii="宋体" w:hAnsi="宋体" w:cs="宋体"/>
          <w:color w:val="auto"/>
          <w:sz w:val="24"/>
          <w:szCs w:val="24"/>
          <w:highlight w:val="none"/>
        </w:rPr>
        <w:t>（第1～2项为必须提供）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1、商务条款响应表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2、售后服务方案（投标人根据本项目要求及自己的实际情况自行编写）</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3、投标人认为需要提供的其它资料（如有，由投标人根据自己实际情况提供）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四、技术文件</w:t>
      </w:r>
      <w:r>
        <w:rPr>
          <w:rFonts w:hint="eastAsia" w:ascii="宋体" w:hAnsi="宋体" w:cs="宋体"/>
          <w:color w:val="auto"/>
          <w:sz w:val="24"/>
          <w:szCs w:val="24"/>
          <w:highlight w:val="none"/>
        </w:rPr>
        <w:t>（第1～3项为必须提供，第4项根据采购要求提供）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1、技术要求响应表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2、技术方案（需</w:t>
      </w:r>
      <w:r>
        <w:rPr>
          <w:rFonts w:hint="eastAsia" w:ascii="宋体" w:hAnsi="宋体"/>
          <w:color w:val="auto"/>
          <w:kern w:val="0"/>
          <w:sz w:val="24"/>
          <w:highlight w:val="none"/>
        </w:rPr>
        <w:t>附上所投产品的“技术参数”产品说明书或仪器彩页，</w:t>
      </w:r>
      <w:r>
        <w:rPr>
          <w:rFonts w:hint="eastAsia" w:ascii="宋体" w:hAnsi="宋体" w:cs="宋体"/>
          <w:color w:val="auto"/>
          <w:sz w:val="24"/>
          <w:szCs w:val="24"/>
          <w:highlight w:val="none"/>
        </w:rPr>
        <w:t>由投标人自行拟写）</w:t>
      </w:r>
    </w:p>
    <w:p>
      <w:pPr>
        <w:pStyle w:val="2"/>
        <w:ind w:firstLine="480" w:firstLineChars="200"/>
        <w:rPr>
          <w:rFonts w:hint="eastAsia"/>
          <w:color w:val="auto"/>
          <w:highlight w:val="none"/>
        </w:rPr>
      </w:pPr>
      <w:r>
        <w:rPr>
          <w:rFonts w:hint="eastAsia" w:ascii="宋体" w:hAnsi="宋体" w:cs="宋体"/>
          <w:color w:val="auto"/>
          <w:sz w:val="24"/>
          <w:szCs w:val="24"/>
          <w:highlight w:val="none"/>
        </w:rPr>
        <w:t>3、售后服务及培训方案</w:t>
      </w:r>
    </w:p>
    <w:p>
      <w:pPr>
        <w:ind w:firstLine="480" w:firstLineChars="200"/>
        <w:rPr>
          <w:color w:val="auto"/>
          <w:highlight w:val="none"/>
        </w:rPr>
      </w:pPr>
      <w:r>
        <w:rPr>
          <w:rFonts w:hint="eastAsia" w:ascii="宋体" w:hAnsi="宋体" w:cs="宋体"/>
          <w:color w:val="auto"/>
          <w:sz w:val="24"/>
          <w:szCs w:val="24"/>
          <w:highlight w:val="none"/>
        </w:rPr>
        <w:t>4、投标人认为需要提供的其它资料（如有，由投标人根据自己实际情况提供）</w:t>
      </w:r>
    </w:p>
    <w:p>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9.2投标供应商须使用采购文件第五章中所提供的投标文件格式填写，表格如不够用时，投标供应商可按同样格式展开。无格式的自行设计编制。</w:t>
      </w:r>
    </w:p>
    <w:p>
      <w:pPr>
        <w:spacing w:line="40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9.3投标供应商必须按招标文件第五章《投标文件格式》要求顺序自编目录及逐页标注连续页码装订成册，且投标文件装订位置必须封边，不允许使用活页夹、拉杆夹、夹条等可能导致投标文件散落或脱页的装订方式，否则，其投标文件（投标）作否决（废标）处理。</w:t>
      </w:r>
    </w:p>
    <w:p>
      <w:pPr>
        <w:spacing w:line="4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10.投标有效期</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 投标文件在60日历天内有效。</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 在原定投标有效期满之前，如果出现特殊情况，采购人可以以书面形式向投标供应商提出延长投标有效期的要求。投标供应商须以书面形式予以答复。同意延长投标有效期的投标供应商不允许修改其投标文件。在延长的投标有效期内，本须知第11条仍然适用。</w:t>
      </w:r>
    </w:p>
    <w:p>
      <w:pPr>
        <w:spacing w:line="400" w:lineRule="exact"/>
        <w:rPr>
          <w:rFonts w:hint="eastAsia" w:ascii="宋体" w:hAnsi="宋体" w:cs="宋体"/>
          <w:b/>
          <w:color w:val="auto"/>
          <w:sz w:val="24"/>
          <w:szCs w:val="24"/>
          <w:highlight w:val="none"/>
        </w:rPr>
      </w:pPr>
      <w:bookmarkStart w:id="71" w:name="_Toc295204438"/>
      <w:bookmarkStart w:id="72" w:name="_Toc114052364"/>
      <w:bookmarkStart w:id="73" w:name="_Toc114052428"/>
      <w:bookmarkStart w:id="74" w:name="_Toc114303715"/>
      <w:r>
        <w:rPr>
          <w:rFonts w:hint="eastAsia" w:ascii="宋体" w:hAnsi="宋体" w:cs="宋体"/>
          <w:b/>
          <w:color w:val="auto"/>
          <w:sz w:val="24"/>
          <w:szCs w:val="24"/>
          <w:highlight w:val="none"/>
        </w:rPr>
        <w:t>11.投标保证金</w:t>
      </w:r>
      <w:bookmarkEnd w:id="71"/>
      <w:bookmarkEnd w:id="72"/>
      <w:bookmarkEnd w:id="73"/>
      <w:bookmarkEnd w:id="74"/>
    </w:p>
    <w:p>
      <w:pP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11.1投标供应商应按前附表的规定提交投标保证金，此投标保证金作为投标文件的一个组成部分。</w:t>
      </w:r>
      <w:r>
        <w:rPr>
          <w:rFonts w:hint="eastAsia" w:ascii="宋体" w:hAnsi="宋体" w:cs="宋体"/>
          <w:b/>
          <w:color w:val="auto"/>
          <w:sz w:val="24"/>
          <w:szCs w:val="24"/>
          <w:highlight w:val="none"/>
        </w:rPr>
        <w:t>对于未能按要求提交投标保证金的投标供应商，其投标文件（投标）作否决（废标）处理。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11.2未中标的投标供应商的投标保证金将在中标通知书发出之日起5个工作日内退还，中标供应商的投标保证金在合同签署并生效之日起5个工作日内退还。</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11.3如投标供应商有下列情况，其投标保证金将不予以退还：</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（1）中标的投标供应商未能在中标通知书发出之日起30日历日的规定期限内签署合同协议；</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（2）投标供应商在投标有效期内撤回投标文件的。</w:t>
      </w:r>
    </w:p>
    <w:p>
      <w:pPr>
        <w:spacing w:line="400" w:lineRule="exact"/>
        <w:rPr>
          <w:rFonts w:hint="eastAsia" w:ascii="宋体" w:hAnsi="宋体" w:cs="宋体"/>
          <w:b/>
          <w:color w:val="auto"/>
          <w:sz w:val="24"/>
          <w:szCs w:val="24"/>
          <w:highlight w:val="none"/>
        </w:rPr>
      </w:pPr>
      <w:bookmarkStart w:id="75" w:name="_Toc114052429"/>
      <w:bookmarkStart w:id="76" w:name="_Toc295204440"/>
      <w:bookmarkStart w:id="77" w:name="_Toc114303716"/>
      <w:bookmarkStart w:id="78" w:name="_Toc114052365"/>
      <w:r>
        <w:rPr>
          <w:rFonts w:hint="eastAsia" w:ascii="宋体" w:hAnsi="宋体" w:cs="宋体"/>
          <w:b/>
          <w:color w:val="auto"/>
          <w:sz w:val="24"/>
          <w:szCs w:val="24"/>
          <w:highlight w:val="none"/>
        </w:rPr>
        <w:t>12.踏勘现场</w:t>
      </w:r>
      <w:bookmarkEnd w:id="75"/>
      <w:bookmarkEnd w:id="76"/>
      <w:bookmarkEnd w:id="77"/>
      <w:bookmarkEnd w:id="78"/>
    </w:p>
    <w:p>
      <w:pPr>
        <w:spacing w:line="4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不组织。</w:t>
      </w:r>
    </w:p>
    <w:p>
      <w:pPr>
        <w:spacing w:line="400" w:lineRule="exact"/>
        <w:rPr>
          <w:rFonts w:hint="eastAsia" w:ascii="宋体" w:hAnsi="宋体" w:cs="宋体"/>
          <w:b/>
          <w:color w:val="auto"/>
          <w:sz w:val="24"/>
          <w:szCs w:val="24"/>
          <w:highlight w:val="none"/>
        </w:rPr>
      </w:pPr>
      <w:bookmarkStart w:id="79" w:name="_Toc114303717"/>
      <w:bookmarkStart w:id="80" w:name="_Toc295204441"/>
      <w:bookmarkStart w:id="81" w:name="_Toc114052366"/>
      <w:bookmarkStart w:id="82" w:name="_Toc114052430"/>
      <w:r>
        <w:rPr>
          <w:rFonts w:hint="eastAsia" w:ascii="宋体" w:hAnsi="宋体" w:cs="宋体"/>
          <w:b/>
          <w:color w:val="auto"/>
          <w:sz w:val="24"/>
          <w:szCs w:val="24"/>
          <w:highlight w:val="none"/>
        </w:rPr>
        <w:t>13.投标文件的份数和签署</w:t>
      </w:r>
      <w:bookmarkEnd w:id="79"/>
      <w:bookmarkEnd w:id="80"/>
      <w:bookmarkEnd w:id="81"/>
      <w:bookmarkEnd w:id="82"/>
    </w:p>
    <w:p>
      <w:pPr>
        <w:spacing w:line="400" w:lineRule="exact"/>
        <w:ind w:firstLine="480" w:firstLineChars="200"/>
        <w:rPr>
          <w:rFonts w:hint="eastAsia" w:ascii="宋体" w:hAnsi="宋体" w:cs="宋体"/>
          <w:color w:val="auto"/>
          <w:sz w:val="24"/>
          <w:szCs w:val="24"/>
          <w:highlight w:val="none"/>
        </w:rPr>
      </w:pPr>
      <w:bookmarkStart w:id="83" w:name="_Toc114303719"/>
      <w:bookmarkStart w:id="84" w:name="_Toc114052368"/>
      <w:bookmarkStart w:id="85" w:name="_Toc114052432"/>
      <w:bookmarkStart w:id="86" w:name="_Toc295204443"/>
      <w:r>
        <w:rPr>
          <w:rFonts w:hint="eastAsia" w:ascii="宋体" w:hAnsi="宋体" w:cs="宋体"/>
          <w:color w:val="auto"/>
          <w:sz w:val="24"/>
          <w:szCs w:val="24"/>
          <w:highlight w:val="none"/>
        </w:rPr>
        <w:t>13.1 投标供应商按投标供应商须知前附表所述份数编制正本和副本，并在封面处标明“正本”和“副本”。投标文件正本和副本如有不一致之处，以正本为准。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投标文件正本与副本均须使用不褪色的墨水打印或书写，装订成册。封面须加盖投标供应商单位公章。</w:t>
      </w:r>
    </w:p>
    <w:p>
      <w:pP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13.3 全套投标文件应无涂改和行间插字，如有修改的修改处须由法定代表人或其授权委托代理人签字证明并加盖单位公章，</w:t>
      </w:r>
      <w:r>
        <w:rPr>
          <w:rFonts w:hint="eastAsia" w:ascii="宋体" w:hAnsi="宋体" w:cs="宋体"/>
          <w:b/>
          <w:color w:val="auto"/>
          <w:sz w:val="24"/>
          <w:szCs w:val="24"/>
          <w:highlight w:val="none"/>
        </w:rPr>
        <w:t>否则修改无效，其投标文件（投标）作否决（废标）处理。</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14.投标文件的</w:t>
      </w:r>
      <w:bookmarkEnd w:id="83"/>
      <w:bookmarkEnd w:id="84"/>
      <w:bookmarkEnd w:id="85"/>
      <w:bookmarkEnd w:id="86"/>
      <w:r>
        <w:rPr>
          <w:rFonts w:hint="eastAsia" w:ascii="宋体" w:hAnsi="宋体" w:cs="宋体"/>
          <w:b/>
          <w:color w:val="auto"/>
          <w:sz w:val="24"/>
          <w:szCs w:val="24"/>
          <w:highlight w:val="none"/>
        </w:rPr>
        <w:t>密封与标识</w:t>
      </w:r>
    </w:p>
    <w:p>
      <w:pPr>
        <w:spacing w:line="400" w:lineRule="exact"/>
        <w:ind w:firstLine="480" w:firstLineChars="200"/>
        <w:rPr>
          <w:rFonts w:hint="eastAsia" w:ascii="宋体" w:hAnsi="宋体" w:cs="宋体"/>
          <w:color w:val="auto"/>
          <w:sz w:val="24"/>
          <w:szCs w:val="24"/>
          <w:highlight w:val="none"/>
        </w:rPr>
      </w:pPr>
      <w:bookmarkStart w:id="87" w:name="_Toc295204444"/>
      <w:bookmarkStart w:id="88" w:name="_Toc114303720"/>
      <w:bookmarkStart w:id="89" w:name="_Toc114052369"/>
      <w:bookmarkStart w:id="90" w:name="_Toc114052433"/>
      <w:r>
        <w:rPr>
          <w:rFonts w:hint="eastAsia" w:ascii="宋体" w:hAnsi="宋体" w:cs="宋体"/>
          <w:color w:val="auto"/>
          <w:sz w:val="24"/>
          <w:szCs w:val="24"/>
          <w:highlight w:val="none"/>
        </w:rPr>
        <w:t>14.1投标供应商应将投标文件按正、副本分别装订成册，在每个文本封面上标明“正本”或“副本”。</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14.2投标供应商应将投标文件正、副本一并装入一个投标文件袋中加以密封，并在封口处加盖投标供应商单位公章。投标文件的密封以投标文件袋无缝隙露出袋内文件且封口处有加盖投标供应商单位公章为合格。</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14.3投标文件封套上写明的内容见投标供应商须知前附表。</w:t>
      </w:r>
    </w:p>
    <w:p>
      <w:pP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14.4</w:t>
      </w:r>
      <w:r>
        <w:rPr>
          <w:rFonts w:hint="eastAsia" w:ascii="宋体" w:hAnsi="宋体" w:cs="宋体"/>
          <w:b/>
          <w:color w:val="auto"/>
          <w:sz w:val="24"/>
          <w:szCs w:val="24"/>
          <w:highlight w:val="none"/>
        </w:rPr>
        <w:t>投标文件未按本须知要求密封、标记的，经监督小组确认后，投标文件（投标）作无效标处理，其投标文件不予接收。</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15.投标截止期</w:t>
      </w:r>
      <w:bookmarkEnd w:id="87"/>
      <w:bookmarkEnd w:id="88"/>
      <w:bookmarkEnd w:id="89"/>
      <w:bookmarkEnd w:id="90"/>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15.1投标供应商应在前附表规定的日期和时间之前将投标文件递交给采购代理机构。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 采购代理机构可以按本须知第6条规定的以补充通知方式，酌情延长递交投标文件的截止日期。在上述情况下，采购代理机构与投标供应商在投标截止期以前的全部权力、责任和义务，将适用于延长后新的投标截止期。</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采购代理机构将拒收在投标截止期以后送到的投标文件。</w:t>
      </w:r>
    </w:p>
    <w:p>
      <w:pPr>
        <w:spacing w:line="400" w:lineRule="exact"/>
        <w:rPr>
          <w:rFonts w:hint="eastAsia" w:ascii="宋体" w:hAnsi="宋体" w:cs="宋体"/>
          <w:b/>
          <w:color w:val="auto"/>
          <w:sz w:val="24"/>
          <w:szCs w:val="24"/>
          <w:highlight w:val="none"/>
        </w:rPr>
      </w:pPr>
      <w:bookmarkStart w:id="91" w:name="_Toc114303721"/>
      <w:bookmarkStart w:id="92" w:name="_Toc295204445"/>
      <w:bookmarkStart w:id="93" w:name="_Toc114052370"/>
      <w:bookmarkStart w:id="94" w:name="_Toc114052434"/>
      <w:r>
        <w:rPr>
          <w:rFonts w:hint="eastAsia" w:ascii="宋体" w:hAnsi="宋体" w:cs="宋体"/>
          <w:b/>
          <w:color w:val="auto"/>
          <w:sz w:val="24"/>
          <w:szCs w:val="24"/>
          <w:highlight w:val="none"/>
        </w:rPr>
        <w:t>16.投标文件的修改与撤回</w:t>
      </w:r>
      <w:bookmarkEnd w:id="91"/>
      <w:bookmarkEnd w:id="92"/>
      <w:bookmarkEnd w:id="93"/>
      <w:bookmarkEnd w:id="94"/>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投标供应商可以在递交投标文件以后，在规定的投标截止时间之前，以书面形式向采购代理机构递交修改或撤回其投标文件的通知，但在投标截止时间以后，不能更改其投标文件。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16.2 投标供应商的修改通知，应按本须知第14条规定编制、密封、标志和递交（在包封标明“修改”或“撤回”字样）。 </w:t>
      </w:r>
    </w:p>
    <w:bookmarkEnd w:id="70"/>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17.开标</w:t>
      </w:r>
    </w:p>
    <w:p>
      <w:pP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17.1采购代理机构将在投标供应商须知前附表规定的时间和地点举行开标会议，投标供应商代表（即投标供应商的法定代表人或其授权委托代理人须按时参加开标会议并由本人递交投标文件，在投标文件签收表上签名表示签到并在开标会议期间按投标供应商须知前附表相关要求出示相关资格证件材料接受验证。</w:t>
      </w:r>
      <w:r>
        <w:rPr>
          <w:rFonts w:hint="eastAsia" w:ascii="宋体" w:hAnsi="宋体" w:cs="宋体"/>
          <w:b/>
          <w:color w:val="auto"/>
          <w:sz w:val="24"/>
          <w:szCs w:val="24"/>
          <w:highlight w:val="none"/>
        </w:rPr>
        <w:t>未通过验证或投标供应商的法定代表人或其授权代理人未出席开标会议的，其投标文件（投标）作无效标处理。</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由采购代理机构组织并主持。对投标文件进行检查，确认文件是否密封，文件签署是否正确，以及是否按本招标文件要求编制。但按规定提交了合格撤回通知的投标文件不予开封。</w:t>
      </w:r>
    </w:p>
    <w:p>
      <w:pPr>
        <w:spacing w:line="40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17.3 投标供应商的法定代表人或授权代表未参加开标会议的视为自动弃权。投标文件有下列情况之一者将，其投标文件（投标）作无效标处理。</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（1）未按招标文件要求缴纳投标保证金的；</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（2）未按招标文件规定要求装订或密封或标识或签署或盖章的；</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（3）不具备招标文件中规定要求的；</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4）投标文件递交人未满足招标文件载明要求（必须由企事业法定代表人（持有效的法定代表人身份证明书原件及其本人二代居民身份证原件）或其授权的委托代理人（持有效的授权委托书原件及其本人二代居民身份证原件）递交）的；</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（5）某投标供应商投标报价超出采购预算价（上限控制价）的；</w:t>
      </w:r>
    </w:p>
    <w:p>
      <w:pPr>
        <w:pStyle w:val="7"/>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（6）不符合法律、法规的。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采购代理机构当众宣布核查结果，并宣读有效投标的投标供应商名称以及采购代理机构认为需要的其他内容。</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17.5 开标会议程序</w:t>
      </w:r>
      <w:bookmarkStart w:id="95" w:name="_Toc114052374"/>
      <w:bookmarkStart w:id="96" w:name="_Toc114052438"/>
      <w:bookmarkStart w:id="97" w:name="_Toc114303725"/>
      <w:bookmarkStart w:id="98" w:name="_Toc295204449"/>
      <w:r>
        <w:rPr>
          <w:rFonts w:hint="eastAsia" w:ascii="宋体" w:hAnsi="宋体" w:cs="宋体"/>
          <w:color w:val="auto"/>
          <w:sz w:val="24"/>
          <w:szCs w:val="24"/>
          <w:highlight w:val="none"/>
        </w:rPr>
        <w:t>：见投标供应商须知前附表。</w:t>
      </w:r>
    </w:p>
    <w:p>
      <w:pPr>
        <w:spacing w:line="4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18.评标机构</w:t>
      </w:r>
      <w:bookmarkEnd w:id="95"/>
      <w:bookmarkEnd w:id="96"/>
      <w:bookmarkEnd w:id="97"/>
      <w:bookmarkEnd w:id="98"/>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18.1评标工作由评标委员组成的评标委员会负责。</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18.2 评标委员会应独立、公正 、公平地工作，任何单位和个人不得干预其正常工作。</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 开标、评标全过程由相关监督部门组成的监督小组进行监督。</w:t>
      </w:r>
    </w:p>
    <w:p>
      <w:pPr>
        <w:spacing w:line="400" w:lineRule="exact"/>
        <w:rPr>
          <w:rFonts w:hint="eastAsia" w:ascii="宋体" w:hAnsi="宋体" w:cs="宋体"/>
          <w:b/>
          <w:color w:val="auto"/>
          <w:sz w:val="24"/>
          <w:szCs w:val="24"/>
          <w:highlight w:val="none"/>
        </w:rPr>
      </w:pPr>
      <w:bookmarkStart w:id="99" w:name="_Toc487451027"/>
      <w:bookmarkStart w:id="100" w:name="_Toc487451115"/>
      <w:bookmarkStart w:id="101" w:name="_Toc494129408"/>
      <w:r>
        <w:rPr>
          <w:rFonts w:hint="eastAsia" w:ascii="宋体" w:hAnsi="宋体" w:cs="宋体"/>
          <w:b/>
          <w:color w:val="auto"/>
          <w:sz w:val="24"/>
          <w:szCs w:val="24"/>
          <w:highlight w:val="none"/>
        </w:rPr>
        <w:t>19.评标</w:t>
      </w:r>
      <w:bookmarkEnd w:id="99"/>
      <w:bookmarkEnd w:id="100"/>
      <w:bookmarkEnd w:id="101"/>
    </w:p>
    <w:p>
      <w:pPr>
        <w:spacing w:line="400" w:lineRule="exact"/>
        <w:ind w:firstLine="480" w:firstLineChars="200"/>
        <w:rPr>
          <w:rFonts w:hint="eastAsia" w:ascii="宋体" w:hAnsi="宋体" w:cs="宋体"/>
          <w:color w:val="auto"/>
          <w:sz w:val="24"/>
          <w:szCs w:val="24"/>
          <w:highlight w:val="none"/>
        </w:rPr>
      </w:pPr>
      <w:bookmarkStart w:id="102" w:name="_Toc487451028"/>
      <w:bookmarkStart w:id="103" w:name="_Toc487451116"/>
      <w:bookmarkStart w:id="104" w:name="_Toc494129409"/>
      <w:r>
        <w:rPr>
          <w:rFonts w:hint="eastAsia" w:ascii="宋体" w:hAnsi="宋体" w:cs="宋体"/>
          <w:color w:val="auto"/>
          <w:sz w:val="24"/>
          <w:szCs w:val="24"/>
          <w:highlight w:val="none"/>
        </w:rPr>
        <w:t>19.1采购代理机构根据招标项目的特点组建评标委员会，评标委员会组成见投标供应商须知前附表。</w:t>
      </w:r>
      <w:bookmarkEnd w:id="102"/>
      <w:bookmarkEnd w:id="103"/>
      <w:bookmarkEnd w:id="104"/>
    </w:p>
    <w:p>
      <w:pPr>
        <w:spacing w:line="400" w:lineRule="exact"/>
        <w:ind w:firstLine="480" w:firstLineChars="200"/>
        <w:rPr>
          <w:rFonts w:hint="eastAsia" w:ascii="宋体" w:hAnsi="宋体" w:cs="宋体"/>
          <w:color w:val="auto"/>
          <w:sz w:val="24"/>
          <w:szCs w:val="24"/>
          <w:highlight w:val="none"/>
        </w:rPr>
      </w:pPr>
      <w:bookmarkStart w:id="105" w:name="_Toc487451029"/>
      <w:bookmarkStart w:id="106" w:name="_Toc487451117"/>
      <w:bookmarkStart w:id="107" w:name="_Toc494129410"/>
      <w:r>
        <w:rPr>
          <w:rFonts w:hint="eastAsia" w:ascii="宋体" w:hAnsi="宋体" w:cs="宋体"/>
          <w:color w:val="auto"/>
          <w:sz w:val="24"/>
          <w:szCs w:val="24"/>
          <w:highlight w:val="none"/>
        </w:rPr>
        <w:t>19.2本招标项目的评标采用的评标办法和评标标准为综合评分法。评标的依据为招标文件和投标文件。</w:t>
      </w:r>
      <w:bookmarkEnd w:id="105"/>
      <w:bookmarkEnd w:id="106"/>
      <w:bookmarkEnd w:id="107"/>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19.3合同将授予被确定为实质上响应招标文件要求，评标认为具备履行合同能力，综合评分最高的投标供应商。经评审的得分分值相等时，评标价低的优先，评标价也相等的，由采购人自行确定。</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19.4采购人</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授权评标委员会直接确定中标供应商。</w:t>
      </w:r>
    </w:p>
    <w:p>
      <w:pPr>
        <w:spacing w:line="400" w:lineRule="exact"/>
        <w:ind w:firstLine="480" w:firstLineChars="200"/>
        <w:rPr>
          <w:rFonts w:hint="eastAsia" w:ascii="宋体" w:hAnsi="宋体" w:cs="宋体"/>
          <w:color w:val="auto"/>
          <w:sz w:val="24"/>
          <w:szCs w:val="24"/>
          <w:highlight w:val="none"/>
        </w:rPr>
      </w:pPr>
      <w:bookmarkStart w:id="108" w:name="_Toc487451030"/>
      <w:bookmarkStart w:id="109" w:name="_Toc487451118"/>
      <w:bookmarkStart w:id="110" w:name="_Toc494129411"/>
      <w:r>
        <w:rPr>
          <w:rFonts w:hint="eastAsia" w:ascii="宋体" w:hAnsi="宋体" w:cs="宋体"/>
          <w:color w:val="auto"/>
          <w:sz w:val="24"/>
          <w:szCs w:val="24"/>
          <w:highlight w:val="none"/>
        </w:rPr>
        <w:t>19.5评标过程的保密性。评标委员会成员和参与评标的有关工作人员不得透露对投标文件的评审和比较、中标候选人的推荐情况以及与评标有关的其他情况。</w:t>
      </w:r>
      <w:bookmarkEnd w:id="108"/>
      <w:bookmarkEnd w:id="109"/>
      <w:bookmarkEnd w:id="110"/>
    </w:p>
    <w:p>
      <w:pPr>
        <w:spacing w:line="400" w:lineRule="exact"/>
        <w:ind w:firstLine="480" w:firstLineChars="200"/>
        <w:rPr>
          <w:rFonts w:hint="eastAsia" w:ascii="宋体" w:hAnsi="宋体" w:cs="宋体"/>
          <w:color w:val="auto"/>
          <w:sz w:val="24"/>
          <w:szCs w:val="24"/>
          <w:highlight w:val="none"/>
        </w:rPr>
      </w:pPr>
      <w:bookmarkStart w:id="111" w:name="_Toc487451031"/>
      <w:bookmarkStart w:id="112" w:name="_Toc487451119"/>
      <w:bookmarkStart w:id="113" w:name="_Toc494129412"/>
      <w:r>
        <w:rPr>
          <w:rFonts w:hint="eastAsia" w:ascii="宋体" w:hAnsi="宋体" w:cs="宋体"/>
          <w:color w:val="auto"/>
          <w:sz w:val="24"/>
          <w:szCs w:val="24"/>
          <w:highlight w:val="none"/>
        </w:rPr>
        <w:t>19.6投标供应商在评标过程中所进行的力图影响评标公正性的活动，其投标文件（投标）作否决（废标）处理。</w:t>
      </w:r>
      <w:bookmarkEnd w:id="111"/>
      <w:bookmarkEnd w:id="112"/>
      <w:bookmarkEnd w:id="113"/>
    </w:p>
    <w:p>
      <w:pPr>
        <w:spacing w:line="400" w:lineRule="exact"/>
        <w:rPr>
          <w:rFonts w:hint="eastAsia" w:ascii="宋体" w:hAnsi="宋体" w:cs="宋体"/>
          <w:b/>
          <w:color w:val="auto"/>
          <w:sz w:val="24"/>
          <w:szCs w:val="24"/>
          <w:highlight w:val="none"/>
        </w:rPr>
      </w:pPr>
      <w:bookmarkStart w:id="114" w:name="_Toc487451032"/>
      <w:bookmarkStart w:id="115" w:name="_Toc487451120"/>
      <w:bookmarkStart w:id="116" w:name="_Toc494129413"/>
      <w:r>
        <w:rPr>
          <w:rFonts w:hint="eastAsia" w:ascii="宋体" w:hAnsi="宋体" w:cs="宋体"/>
          <w:b/>
          <w:color w:val="auto"/>
          <w:sz w:val="24"/>
          <w:szCs w:val="24"/>
          <w:highlight w:val="none"/>
        </w:rPr>
        <w:t>20.废标</w:t>
      </w:r>
      <w:bookmarkEnd w:id="114"/>
      <w:bookmarkEnd w:id="115"/>
      <w:bookmarkEnd w:id="116"/>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20.1招标采购项目出现下列情形之一的，采购代理机构将予废标：</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（1）截标后整个招标项目的投标供应商不足三家的；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（2）对招标文件作响应的投标供应商不足三家的；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（3）出现影响采购公正的违法、违规行为的；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（4）投标供应商的报价均超过了采购预算价（上限控制价），采购人不能支付的；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20.2如本次项目废标后，采购代理机构把废标理由通知所有投标供应商。</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21.中标公告及中标通知</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采购人应当确定排名第一的中标候选人为中标人。自收到评标报告之日起2日内，采购代理机构在发布本项目招标公告的同一媒介上公示中标供应商并同时向该中标供应商发出中标通知书，公示期为1个工作日。投标供应商或者其他利害关系人对中标供应商有异议的，须在中标公告期满起7个工作日内提出。采购人或本采购代理机构自收到异议之日起7个工作日内作出答复。采购人或本采购代理机构未在规定时限内答复的，投标供应商或者其他利害关系人可在答复期满15个工作日内向当地政府采购监督管理部门提出投诉。中标供应商放弃成交，或因不可抗力提出不能履行合同，或者被查实存在影响成交结果的违法行为等情形，不符合中标条件的，采购人应依据《政府采购质疑和投诉办法》（中华人民共和国财政部令94号）相应适用情形规定按照评标委员会提出的中标候选人名单排序（或者评标结果排序）依次确定其他中标候选人为中标供应商或重新采购。</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21.2采购代理机构无义务向未中标的投标供应商解释落标原因和退还其投标文件。</w:t>
      </w:r>
    </w:p>
    <w:p>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22.履约保证金</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在签订合同前，中标供应商应按“投标供应商须知前附表”规定的金额、担保形式向采购人提交履约保证金。联合体中标的，其履约保证金由牵头人递交，并应符合“投标供应商须知前附表”规定的金额、担保形式和招标文件第四章“合同条款及格式”规定的履约担保格式要求。</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 中标供应商不能按要求提交履约保证金的，视为放弃中标，其投标保证金不予退还，给采购人造成的损失超过投标保证金数额的，中标供应商还应当对超过部分予以赔偿。</w:t>
      </w:r>
    </w:p>
    <w:p>
      <w:pPr>
        <w:spacing w:line="400" w:lineRule="exact"/>
        <w:rPr>
          <w:rFonts w:hint="eastAsia" w:ascii="宋体" w:hAnsi="宋体" w:cs="宋体"/>
          <w:b/>
          <w:color w:val="auto"/>
          <w:sz w:val="24"/>
          <w:szCs w:val="24"/>
          <w:highlight w:val="none"/>
        </w:rPr>
      </w:pPr>
      <w:bookmarkStart w:id="117" w:name="_Toc487451033"/>
      <w:bookmarkStart w:id="118" w:name="_Toc487451121"/>
      <w:bookmarkStart w:id="119" w:name="_Toc494129414"/>
      <w:r>
        <w:rPr>
          <w:rFonts w:hint="eastAsia" w:ascii="宋体" w:hAnsi="宋体" w:cs="宋体"/>
          <w:b/>
          <w:color w:val="auto"/>
          <w:sz w:val="24"/>
          <w:szCs w:val="24"/>
          <w:highlight w:val="none"/>
        </w:rPr>
        <w:t>23.签订合同</w:t>
      </w:r>
      <w:bookmarkEnd w:id="117"/>
      <w:bookmarkEnd w:id="118"/>
      <w:bookmarkEnd w:id="119"/>
    </w:p>
    <w:p>
      <w:pPr>
        <w:spacing w:line="400" w:lineRule="exact"/>
        <w:ind w:firstLine="480" w:firstLineChars="200"/>
        <w:rPr>
          <w:rFonts w:hint="eastAsia" w:ascii="宋体" w:hAnsi="宋体" w:cs="宋体"/>
          <w:color w:val="auto"/>
          <w:sz w:val="24"/>
          <w:szCs w:val="24"/>
          <w:highlight w:val="none"/>
        </w:rPr>
      </w:pPr>
      <w:bookmarkStart w:id="120" w:name="_Toc487451034"/>
      <w:bookmarkStart w:id="121" w:name="_Toc487451122"/>
      <w:bookmarkStart w:id="122" w:name="_Toc494129415"/>
      <w:r>
        <w:rPr>
          <w:rFonts w:hint="eastAsia" w:ascii="宋体" w:hAnsi="宋体" w:cs="宋体"/>
          <w:color w:val="auto"/>
          <w:sz w:val="24"/>
          <w:szCs w:val="24"/>
          <w:highlight w:val="none"/>
        </w:rPr>
        <w:t>23.1采购人和中标供应商应当在中标通知书发出之日起</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内，最迟不超过</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根据招标文件和中标供应商的投标文件订立书面合同。中标供应商无正当理由拒签合同的，采购人取消其中标资格，其投标保证金不予退还；给采购人造成的损失超过投标保证金数额的，中标供应商还应当对超过部分予以赔偿。对依法必须进行招标的项目的中标供应商，由有关行政监督部门责令改正。</w:t>
      </w:r>
      <w:bookmarkEnd w:id="120"/>
      <w:bookmarkEnd w:id="121"/>
      <w:bookmarkEnd w:id="122"/>
    </w:p>
    <w:p>
      <w:pPr>
        <w:spacing w:line="400" w:lineRule="exact"/>
        <w:ind w:firstLine="480" w:firstLineChars="200"/>
        <w:rPr>
          <w:rFonts w:hint="eastAsia" w:ascii="宋体" w:hAnsi="宋体" w:cs="宋体"/>
          <w:color w:val="auto"/>
          <w:sz w:val="24"/>
          <w:szCs w:val="24"/>
          <w:highlight w:val="none"/>
        </w:rPr>
      </w:pPr>
      <w:bookmarkStart w:id="123" w:name="_Toc487451036"/>
      <w:bookmarkStart w:id="124" w:name="_Toc487451124"/>
      <w:bookmarkStart w:id="125" w:name="_Toc494129417"/>
      <w:r>
        <w:rPr>
          <w:rFonts w:hint="eastAsia" w:ascii="宋体" w:hAnsi="宋体" w:cs="宋体"/>
          <w:color w:val="auto"/>
          <w:sz w:val="24"/>
          <w:szCs w:val="24"/>
          <w:highlight w:val="none"/>
        </w:rPr>
        <w:t>23.2发出中标通知书后，采购人无正当理由拒签合同的，由有关行政监督部门给予警告，责令改正。同时采购人向中标供应商退还投标保证金；给中标供应商造成损失的，还应当赔偿损失。</w:t>
      </w:r>
      <w:bookmarkEnd w:id="123"/>
      <w:bookmarkEnd w:id="124"/>
      <w:bookmarkEnd w:id="125"/>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23.3政府采购合同履行中，采购单位需追加与合同标的相同的货物、工程和服务的，经同级政府采购监督管理部门同意，在不改变合同其他条款的前提下，可以与中标供应商协商签订补充的合同。但补充的合同涉及的采购金额不得超过原合同采购金额的10%。</w:t>
      </w:r>
    </w:p>
    <w:p>
      <w:pPr>
        <w:spacing w:line="400" w:lineRule="exact"/>
        <w:rPr>
          <w:rFonts w:hint="eastAsia" w:ascii="宋体" w:hAnsi="宋体" w:cs="宋体"/>
          <w:b/>
          <w:color w:val="auto"/>
          <w:sz w:val="24"/>
          <w:szCs w:val="24"/>
          <w:highlight w:val="none"/>
        </w:rPr>
      </w:pPr>
      <w:bookmarkStart w:id="126" w:name="_Toc487451038"/>
      <w:bookmarkStart w:id="127" w:name="_Toc487451126"/>
      <w:bookmarkStart w:id="128" w:name="_Toc494129419"/>
      <w:r>
        <w:rPr>
          <w:rFonts w:hint="eastAsia" w:ascii="宋体" w:hAnsi="宋体" w:cs="宋体"/>
          <w:b/>
          <w:color w:val="auto"/>
          <w:sz w:val="24"/>
          <w:szCs w:val="24"/>
          <w:highlight w:val="none"/>
        </w:rPr>
        <w:t>24.相关费用</w:t>
      </w:r>
      <w:bookmarkEnd w:id="126"/>
      <w:bookmarkEnd w:id="127"/>
      <w:bookmarkEnd w:id="128"/>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见投标供应商须知前附表。</w:t>
      </w:r>
    </w:p>
    <w:p>
      <w:pPr>
        <w:spacing w:line="400" w:lineRule="exact"/>
        <w:rPr>
          <w:rFonts w:hint="eastAsia" w:ascii="宋体" w:hAnsi="宋体" w:cs="宋体"/>
          <w:b/>
          <w:color w:val="auto"/>
          <w:sz w:val="24"/>
          <w:szCs w:val="24"/>
          <w:highlight w:val="none"/>
        </w:rPr>
      </w:pPr>
      <w:bookmarkStart w:id="129" w:name="_Toc487451039"/>
      <w:bookmarkStart w:id="130" w:name="_Toc487451127"/>
      <w:bookmarkStart w:id="131" w:name="_Toc494129420"/>
      <w:r>
        <w:rPr>
          <w:rFonts w:hint="eastAsia" w:ascii="宋体" w:hAnsi="宋体" w:cs="宋体"/>
          <w:b/>
          <w:color w:val="auto"/>
          <w:sz w:val="24"/>
          <w:szCs w:val="24"/>
          <w:highlight w:val="none"/>
        </w:rPr>
        <w:t>25.违约等行为公示</w:t>
      </w:r>
      <w:bookmarkEnd w:id="129"/>
      <w:bookmarkEnd w:id="130"/>
      <w:bookmarkEnd w:id="131"/>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采购代理机构有权将中标供应商的违法、违规、违约行为公布并报告本级政府采购监督管理部门。</w:t>
      </w:r>
    </w:p>
    <w:p>
      <w:pPr>
        <w:spacing w:line="400" w:lineRule="exact"/>
        <w:rPr>
          <w:rFonts w:hint="eastAsia" w:ascii="宋体" w:hAnsi="宋体" w:cs="宋体"/>
          <w:b/>
          <w:color w:val="auto"/>
          <w:sz w:val="24"/>
          <w:szCs w:val="24"/>
          <w:highlight w:val="none"/>
        </w:rPr>
      </w:pPr>
      <w:bookmarkStart w:id="132" w:name="_Toc487451040"/>
      <w:bookmarkStart w:id="133" w:name="_Toc487451128"/>
      <w:bookmarkStart w:id="134" w:name="_Toc494129421"/>
      <w:r>
        <w:rPr>
          <w:rFonts w:hint="eastAsia" w:ascii="宋体" w:hAnsi="宋体" w:cs="宋体"/>
          <w:b/>
          <w:color w:val="auto"/>
          <w:sz w:val="24"/>
          <w:szCs w:val="24"/>
          <w:highlight w:val="none"/>
        </w:rPr>
        <w:t>26.解释权</w:t>
      </w:r>
      <w:bookmarkEnd w:id="132"/>
      <w:bookmarkEnd w:id="133"/>
      <w:bookmarkEnd w:id="134"/>
    </w:p>
    <w:p>
      <w:pPr>
        <w:pStyle w:val="7"/>
        <w:spacing w:line="400" w:lineRule="exact"/>
        <w:ind w:firstLine="480" w:firstLineChars="200"/>
        <w:rPr>
          <w:rFonts w:hint="eastAsia" w:hAnsi="宋体" w:cs="宋体"/>
          <w:b/>
          <w:color w:val="auto"/>
          <w:sz w:val="32"/>
          <w:szCs w:val="24"/>
          <w:highlight w:val="none"/>
        </w:rPr>
      </w:pPr>
      <w:r>
        <w:rPr>
          <w:rFonts w:hint="eastAsia" w:hAnsi="宋体" w:cs="宋体"/>
          <w:color w:val="auto"/>
          <w:sz w:val="24"/>
          <w:szCs w:val="24"/>
          <w:highlight w:val="none"/>
        </w:rPr>
        <w:t>本采购文件是根据《中华人民共和国政府采购法》、《中华人民共和国政府采购法实施条例》和政府采购管理有关规定编制，本采购文件的解释权属于采购代理机构。</w:t>
      </w:r>
      <w:r>
        <w:rPr>
          <w:rFonts w:hint="eastAsia" w:hAnsi="宋体" w:cs="宋体"/>
          <w:color w:val="auto"/>
          <w:sz w:val="24"/>
          <w:szCs w:val="24"/>
          <w:highlight w:val="none"/>
        </w:rPr>
        <w:br w:type="page"/>
      </w:r>
    </w:p>
    <w:p>
      <w:pPr>
        <w:pStyle w:val="3"/>
        <w:numPr>
          <w:ilvl w:val="0"/>
          <w:numId w:val="1"/>
        </w:numPr>
        <w:rPr>
          <w:rFonts w:hint="eastAsia"/>
          <w:color w:val="auto"/>
          <w:sz w:val="40"/>
          <w:szCs w:val="22"/>
          <w:highlight w:val="none"/>
        </w:rPr>
      </w:pPr>
      <w:bookmarkStart w:id="135" w:name="_Toc305850724"/>
      <w:bookmarkStart w:id="136" w:name="_Toc28982"/>
      <w:bookmarkStart w:id="137" w:name="_Toc20603"/>
      <w:r>
        <w:rPr>
          <w:rFonts w:hint="eastAsia"/>
          <w:color w:val="auto"/>
          <w:sz w:val="40"/>
          <w:szCs w:val="22"/>
          <w:highlight w:val="none"/>
        </w:rPr>
        <w:t xml:space="preserve"> 项目需求和说明</w:t>
      </w:r>
      <w:bookmarkEnd w:id="135"/>
      <w:bookmarkEnd w:id="136"/>
      <w:bookmarkEnd w:id="137"/>
    </w:p>
    <w:p>
      <w:pPr>
        <w:numPr>
          <w:ilvl w:val="0"/>
          <w:numId w:val="2"/>
        </w:numPr>
        <w:spacing w:line="360" w:lineRule="exact"/>
        <w:ind w:left="567" w:hanging="567"/>
        <w:jc w:val="left"/>
        <w:rPr>
          <w:rFonts w:hint="eastAsia" w:ascii="宋体" w:hAnsi="宋体" w:cs="Arial"/>
          <w:bCs/>
          <w:color w:val="auto"/>
          <w:kern w:val="0"/>
          <w:sz w:val="24"/>
          <w:szCs w:val="24"/>
          <w:highlight w:val="none"/>
        </w:rPr>
      </w:pPr>
      <w:r>
        <w:rPr>
          <w:rFonts w:hint="eastAsia" w:ascii="宋体" w:hAnsi="宋体"/>
          <w:b/>
          <w:color w:val="auto"/>
          <w:kern w:val="0"/>
          <w:sz w:val="24"/>
          <w:szCs w:val="24"/>
          <w:highlight w:val="none"/>
        </w:rPr>
        <w:t>项目名称：</w:t>
      </w:r>
      <w:r>
        <w:rPr>
          <w:rFonts w:hint="eastAsia"/>
          <w:color w:val="auto"/>
          <w:spacing w:val="14"/>
          <w:sz w:val="24"/>
          <w:szCs w:val="24"/>
          <w:highlight w:val="none"/>
        </w:rPr>
        <w:t>医用分子筛制氧设备壹套</w:t>
      </w:r>
    </w:p>
    <w:p>
      <w:pPr>
        <w:pStyle w:val="2"/>
        <w:ind w:firstLine="210" w:firstLineChars="100"/>
        <w:rPr>
          <w:rFonts w:hint="eastAsia"/>
          <w:color w:val="auto"/>
          <w:highlight w:val="none"/>
        </w:rPr>
      </w:pPr>
      <w:r>
        <w:rPr>
          <w:rFonts w:hint="eastAsia"/>
          <w:color w:val="auto"/>
          <w:highlight w:val="none"/>
        </w:rPr>
        <w:t>对项目的特别说明：本项目为交钥匙项目，生产制作、安装调试、检测等相关内容须全部完成。</w:t>
      </w:r>
    </w:p>
    <w:p>
      <w:pPr>
        <w:widowControl/>
        <w:spacing w:line="360" w:lineRule="exact"/>
        <w:jc w:val="left"/>
        <w:rPr>
          <w:rFonts w:hint="eastAsia" w:ascii="宋体" w:hAnsi="宋体"/>
          <w:color w:val="auto"/>
          <w:kern w:val="0"/>
          <w:sz w:val="24"/>
          <w:highlight w:val="none"/>
        </w:rPr>
      </w:pPr>
      <w:r>
        <w:rPr>
          <w:rFonts w:hint="eastAsia" w:ascii="宋体" w:hAnsi="宋体"/>
          <w:b/>
          <w:color w:val="auto"/>
          <w:kern w:val="0"/>
          <w:sz w:val="24"/>
          <w:szCs w:val="24"/>
          <w:highlight w:val="none"/>
        </w:rPr>
        <w:t>二、产品用途与说明</w:t>
      </w:r>
      <w:r>
        <w:rPr>
          <w:rFonts w:hint="eastAsia" w:ascii="宋体" w:hAnsi="宋体"/>
          <w:color w:val="auto"/>
          <w:kern w:val="0"/>
          <w:sz w:val="24"/>
          <w:szCs w:val="24"/>
          <w:highlight w:val="none"/>
        </w:rPr>
        <w:t>：</w:t>
      </w:r>
    </w:p>
    <w:p>
      <w:pPr>
        <w:spacing w:line="360" w:lineRule="exact"/>
        <w:ind w:firstLine="240" w:firstLineChars="100"/>
        <w:rPr>
          <w:rFonts w:ascii="宋体" w:hAnsi="宋体"/>
          <w:color w:val="auto"/>
          <w:sz w:val="24"/>
          <w:szCs w:val="24"/>
          <w:highlight w:val="none"/>
          <w:shd w:val="clear" w:color="auto" w:fill="FFFFFF"/>
        </w:rPr>
      </w:pPr>
      <w:r>
        <w:rPr>
          <w:rFonts w:hint="eastAsia" w:ascii="宋体" w:hAnsi="宋体"/>
          <w:color w:val="auto"/>
          <w:sz w:val="24"/>
          <w:szCs w:val="24"/>
          <w:highlight w:val="none"/>
        </w:rPr>
        <w:t>1、根据医院提供场地，投标商</w:t>
      </w:r>
      <w:r>
        <w:rPr>
          <w:rFonts w:hint="eastAsia" w:ascii="宋体" w:hAnsi="宋体"/>
          <w:color w:val="auto"/>
          <w:sz w:val="24"/>
          <w:szCs w:val="24"/>
          <w:highlight w:val="none"/>
          <w:shd w:val="clear" w:color="auto" w:fill="FFFFFF"/>
        </w:rPr>
        <w:t>制氧设备机房布局需科学合理</w:t>
      </w:r>
      <w:r>
        <w:rPr>
          <w:rFonts w:hint="eastAsia" w:ascii="宋体" w:hAnsi="宋体"/>
          <w:color w:val="auto"/>
          <w:sz w:val="24"/>
          <w:szCs w:val="24"/>
          <w:highlight w:val="none"/>
        </w:rPr>
        <w:t>（需</w:t>
      </w:r>
      <w:r>
        <w:rPr>
          <w:rFonts w:hint="eastAsia" w:ascii="宋体" w:hAnsi="宋体"/>
          <w:color w:val="auto"/>
          <w:sz w:val="24"/>
          <w:szCs w:val="24"/>
          <w:highlight w:val="none"/>
          <w:shd w:val="clear" w:color="auto" w:fill="FFFFFF"/>
        </w:rPr>
        <w:t>出具机房的详细布局尺寸图）。</w:t>
      </w:r>
    </w:p>
    <w:p>
      <w:pPr>
        <w:widowControl/>
        <w:spacing w:line="360" w:lineRule="exact"/>
        <w:ind w:left="238"/>
        <w:jc w:val="left"/>
        <w:rPr>
          <w:rFonts w:hint="eastAsia" w:ascii="宋体" w:hAnsi="宋体"/>
          <w:color w:val="auto"/>
          <w:kern w:val="0"/>
          <w:sz w:val="24"/>
          <w:szCs w:val="24"/>
          <w:highlight w:val="none"/>
        </w:rPr>
      </w:pPr>
      <w:r>
        <w:rPr>
          <w:rFonts w:hint="eastAsia" w:ascii="宋体" w:hAnsi="宋体"/>
          <w:color w:val="auto"/>
          <w:sz w:val="24"/>
          <w:szCs w:val="24"/>
          <w:highlight w:val="none"/>
        </w:rPr>
        <w:t>2、投标产品输出氧气的二氧化碳含量、水分含量等理化指标应符合《医用分子筛制氧设备通用技术规范》、《用于医用气体管道的氧气浓缩器供气系统》的要求（出具相应检测报告）</w:t>
      </w:r>
      <w:r>
        <w:rPr>
          <w:rFonts w:hint="eastAsia" w:ascii="宋体" w:hAnsi="宋体" w:cs="宋体"/>
          <w:color w:val="auto"/>
          <w:kern w:val="0"/>
          <w:sz w:val="24"/>
          <w:szCs w:val="24"/>
          <w:highlight w:val="none"/>
        </w:rPr>
        <w:t>；</w:t>
      </w:r>
    </w:p>
    <w:p>
      <w:pPr>
        <w:widowControl/>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3、单机产氧量：≥60Nm³/h；</w:t>
      </w:r>
    </w:p>
    <w:p>
      <w:pPr>
        <w:widowControl/>
        <w:spacing w:line="360" w:lineRule="exact"/>
        <w:ind w:firstLine="240" w:firstLineChars="100"/>
        <w:jc w:val="left"/>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olor w:val="auto"/>
          <w:sz w:val="24"/>
          <w:szCs w:val="24"/>
          <w:highlight w:val="none"/>
        </w:rPr>
        <w:t>每立方氧气能耗</w:t>
      </w:r>
      <w:r>
        <w:rPr>
          <w:rFonts w:hint="eastAsia" w:ascii="宋体" w:hAnsi="宋体" w:cs="宋体"/>
          <w:color w:val="auto"/>
          <w:kern w:val="0"/>
          <w:sz w:val="24"/>
          <w:szCs w:val="24"/>
          <w:highlight w:val="none"/>
        </w:rPr>
        <w:t>≤0.85KW/h（需提供证明文件），整机设备运行环境噪声≤85db；</w:t>
      </w:r>
    </w:p>
    <w:p>
      <w:pPr>
        <w:widowControl/>
        <w:spacing w:line="360" w:lineRule="exact"/>
        <w:ind w:firstLine="240" w:firstLineChars="1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5、配备</w:t>
      </w:r>
      <w:r>
        <w:rPr>
          <w:rFonts w:hint="eastAsia" w:ascii="宋体" w:hAnsi="宋体" w:cs="宋体"/>
          <w:color w:val="auto"/>
          <w:kern w:val="0"/>
          <w:sz w:val="24"/>
          <w:szCs w:val="24"/>
          <w:highlight w:val="none"/>
        </w:rPr>
        <w:t>智能化远程监测系统；</w:t>
      </w:r>
    </w:p>
    <w:p>
      <w:pPr>
        <w:widowControl/>
        <w:spacing w:line="360" w:lineRule="exact"/>
        <w:ind w:left="238"/>
        <w:jc w:val="left"/>
        <w:rPr>
          <w:rFonts w:hint="eastAsia" w:ascii="宋体" w:hAnsi="宋体"/>
          <w:color w:val="auto"/>
          <w:kern w:val="0"/>
          <w:sz w:val="24"/>
          <w:szCs w:val="24"/>
          <w:highlight w:val="none"/>
        </w:rPr>
      </w:pPr>
      <w:r>
        <w:rPr>
          <w:rFonts w:hint="eastAsia" w:ascii="宋体" w:hAnsi="宋体"/>
          <w:color w:val="auto"/>
          <w:sz w:val="24"/>
          <w:highlight w:val="none"/>
        </w:rPr>
        <w:t>6、投标产品的主要组件：制氧主机、空气压缩机（无需该配置的制氧系统除外）、冷冻式干燥机（无需该配置的制氧系统除外）、氧气增压机（内置氧气增压机的制氧系统除外）、各级过滤器、氧气流量计、氧气纯度仪等须为国内或国际知名品牌产品，投标文件须提供相关设备的产地证明文件；</w:t>
      </w:r>
    </w:p>
    <w:p>
      <w:pPr>
        <w:widowControl/>
        <w:spacing w:line="360" w:lineRule="exact"/>
        <w:ind w:left="238"/>
        <w:jc w:val="left"/>
        <w:rPr>
          <w:rFonts w:hint="eastAsia" w:ascii="宋体" w:hAnsi="宋体" w:cs="宋体"/>
          <w:color w:val="auto"/>
          <w:sz w:val="24"/>
          <w:highlight w:val="none"/>
        </w:rPr>
      </w:pPr>
      <w:r>
        <w:rPr>
          <w:rFonts w:hint="eastAsia" w:ascii="宋体" w:hAnsi="宋体"/>
          <w:color w:val="auto"/>
          <w:sz w:val="24"/>
          <w:highlight w:val="none"/>
        </w:rPr>
        <w:t>7、为保障用氧安全，确保氧气浓度≥90%</w:t>
      </w:r>
      <w:r>
        <w:rPr>
          <w:rFonts w:hint="eastAsia" w:ascii="宋体" w:hAnsi="宋体" w:cs="宋体"/>
          <w:color w:val="auto"/>
          <w:sz w:val="24"/>
          <w:highlight w:val="none"/>
        </w:rPr>
        <w:t>持续供应，设备配置氧浓度自动报警功能；</w:t>
      </w:r>
    </w:p>
    <w:p>
      <w:pPr>
        <w:widowControl/>
        <w:spacing w:line="360" w:lineRule="exact"/>
        <w:ind w:left="238"/>
        <w:jc w:val="left"/>
        <w:rPr>
          <w:rFonts w:hint="eastAsia" w:ascii="宋体" w:hAnsi="宋体" w:cs="宋体"/>
          <w:color w:val="auto"/>
          <w:sz w:val="24"/>
          <w:highlight w:val="none"/>
        </w:rPr>
      </w:pPr>
      <w:r>
        <w:rPr>
          <w:rFonts w:hint="eastAsia" w:ascii="宋体" w:hAnsi="宋体" w:cs="宋体"/>
          <w:color w:val="auto"/>
          <w:sz w:val="24"/>
          <w:highlight w:val="none"/>
        </w:rPr>
        <w:t>8、在确保氧气浓度、产量均符合标准的情况下，分子筛使用寿命大于10年，并提供分子筛10年免费保修服务。（需提供厂家出具的服务承诺书）；</w:t>
      </w:r>
    </w:p>
    <w:p>
      <w:pPr>
        <w:widowControl/>
        <w:spacing w:line="360" w:lineRule="exact"/>
        <w:ind w:left="238"/>
        <w:jc w:val="left"/>
        <w:rPr>
          <w:rFonts w:hint="eastAsia" w:ascii="宋体" w:hAnsi="宋体"/>
          <w:color w:val="auto"/>
          <w:kern w:val="0"/>
          <w:sz w:val="24"/>
          <w:szCs w:val="24"/>
          <w:highlight w:val="none"/>
        </w:rPr>
      </w:pPr>
      <w:r>
        <w:rPr>
          <w:rFonts w:hint="eastAsia" w:ascii="宋体" w:hAnsi="宋体" w:cs="宋体"/>
          <w:color w:val="auto"/>
          <w:sz w:val="24"/>
          <w:highlight w:val="none"/>
        </w:rPr>
        <w:t>9、制氧设备输出压力0.35-0.68MPa(确保经超长管网、高峰大流量的压力衰减后临床的正常使用)，制氧主机产氧压力无法达到标准的可在制氧系统外，额外向医院免费配置氧气增压机。</w:t>
      </w:r>
    </w:p>
    <w:p>
      <w:pPr>
        <w:numPr>
          <w:ilvl w:val="0"/>
          <w:numId w:val="0"/>
        </w:numPr>
        <w:rPr>
          <w:rFonts w:hint="eastAsia"/>
          <w:color w:val="auto"/>
          <w:highlight w:val="none"/>
        </w:rPr>
      </w:pPr>
      <w:r>
        <w:rPr>
          <w:rFonts w:hint="eastAsia" w:ascii="宋体" w:hAnsi="宋体" w:cs="宋体"/>
          <w:b/>
          <w:color w:val="auto"/>
          <w:kern w:val="0"/>
          <w:sz w:val="24"/>
          <w:szCs w:val="24"/>
          <w:highlight w:val="none"/>
          <w:lang w:eastAsia="zh-CN"/>
        </w:rPr>
        <w:t>三、</w:t>
      </w:r>
      <w:r>
        <w:rPr>
          <w:rFonts w:hint="eastAsia" w:ascii="宋体" w:hAnsi="宋体" w:cs="宋体"/>
          <w:b/>
          <w:color w:val="auto"/>
          <w:kern w:val="0"/>
          <w:sz w:val="24"/>
          <w:szCs w:val="24"/>
          <w:highlight w:val="none"/>
        </w:rPr>
        <w:t>设备功主要技术指标：</w:t>
      </w:r>
    </w:p>
    <w:p>
      <w:pPr>
        <w:adjustRightInd w:val="0"/>
        <w:spacing w:line="360" w:lineRule="exact"/>
        <w:ind w:left="6" w:firstLine="431"/>
        <w:rPr>
          <w:rFonts w:hint="eastAsia" w:hAnsi="宋体" w:cs="宋体"/>
          <w:b/>
          <w:color w:val="auto"/>
          <w:sz w:val="32"/>
          <w:szCs w:val="24"/>
          <w:highlight w:val="none"/>
        </w:rPr>
      </w:pPr>
      <w:r>
        <w:rPr>
          <w:bCs/>
          <w:color w:val="auto"/>
          <w:sz w:val="24"/>
          <w:szCs w:val="24"/>
          <w:highlight w:val="none"/>
        </w:rPr>
        <w:t>本一览表中</w:t>
      </w:r>
      <w:r>
        <w:rPr>
          <w:rFonts w:hint="eastAsia"/>
          <w:bCs/>
          <w:color w:val="auto"/>
          <w:sz w:val="24"/>
          <w:szCs w:val="24"/>
          <w:highlight w:val="none"/>
        </w:rPr>
        <w:t>参考品牌型号及技术参数性能（配置）不明确或有误的，或投标人选用其他品牌型号替代的，请以详细、正确的品牌型号、技术参数性能（配置）同时填写投标报价明细表</w:t>
      </w:r>
      <w:r>
        <w:rPr>
          <w:bCs/>
          <w:color w:val="auto"/>
          <w:sz w:val="24"/>
          <w:szCs w:val="24"/>
          <w:highlight w:val="none"/>
        </w:rPr>
        <w:t>。</w:t>
      </w:r>
    </w:p>
    <w:tbl>
      <w:tblPr>
        <w:tblStyle w:val="12"/>
        <w:tblW w:w="0" w:type="auto"/>
        <w:tblInd w:w="93" w:type="dxa"/>
        <w:tblLayout w:type="fixed"/>
        <w:tblCellMar>
          <w:top w:w="0" w:type="dxa"/>
          <w:left w:w="108" w:type="dxa"/>
          <w:bottom w:w="0" w:type="dxa"/>
          <w:right w:w="108" w:type="dxa"/>
        </w:tblCellMar>
      </w:tblPr>
      <w:tblGrid>
        <w:gridCol w:w="1398"/>
        <w:gridCol w:w="775"/>
        <w:gridCol w:w="7988"/>
      </w:tblGrid>
      <w:tr>
        <w:tblPrEx>
          <w:tblCellMar>
            <w:top w:w="0" w:type="dxa"/>
            <w:left w:w="108" w:type="dxa"/>
            <w:bottom w:w="0" w:type="dxa"/>
            <w:right w:w="108" w:type="dxa"/>
          </w:tblCellMar>
        </w:tblPrEx>
        <w:trPr>
          <w:trHeight w:val="20" w:hRule="atLeast"/>
        </w:trPr>
        <w:tc>
          <w:tcPr>
            <w:tcW w:w="13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名称</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798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技术要求及说明</w:t>
            </w:r>
          </w:p>
        </w:tc>
      </w:tr>
      <w:tr>
        <w:tblPrEx>
          <w:tblCellMar>
            <w:top w:w="0" w:type="dxa"/>
            <w:left w:w="108" w:type="dxa"/>
            <w:bottom w:w="0" w:type="dxa"/>
            <w:right w:w="108" w:type="dxa"/>
          </w:tblCellMar>
        </w:tblPrEx>
        <w:trPr>
          <w:trHeight w:val="20" w:hRule="atLeast"/>
        </w:trPr>
        <w:tc>
          <w:tcPr>
            <w:tcW w:w="1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highlight w:val="none"/>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（带★号为重要参数</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rPr>
              <w:t>带▲号为实质性要求每负偏离一项</w:t>
            </w:r>
            <w:r>
              <w:rPr>
                <w:rFonts w:hint="eastAsia" w:ascii="宋体" w:hAnsi="宋体" w:cs="宋体"/>
                <w:b/>
                <w:bCs/>
                <w:color w:val="auto"/>
                <w:kern w:val="0"/>
                <w:highlight w:val="none"/>
                <w:lang w:eastAsia="zh-CN"/>
              </w:rPr>
              <w:t>，</w:t>
            </w:r>
            <w:r>
              <w:rPr>
                <w:rFonts w:hint="eastAsia" w:ascii="宋体" w:hAnsi="Courier New"/>
                <w:bCs/>
                <w:color w:val="auto"/>
                <w:szCs w:val="22"/>
                <w:highlight w:val="none"/>
              </w:rPr>
              <w:t>视为未实质性响应招标文件</w:t>
            </w:r>
            <w:r>
              <w:rPr>
                <w:rFonts w:hint="eastAsia" w:ascii="宋体" w:hAnsi="宋体" w:cs="宋体"/>
                <w:b/>
                <w:bCs/>
                <w:color w:val="auto"/>
                <w:kern w:val="0"/>
                <w:highlight w:val="none"/>
              </w:rPr>
              <w:t>）</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制氧主机</w:t>
            </w:r>
          </w:p>
        </w:tc>
        <w:tc>
          <w:tcPr>
            <w:tcW w:w="775"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color w:val="auto"/>
                <w:kern w:val="0"/>
                <w:highlight w:val="none"/>
              </w:rPr>
              <w:t>a.单机产氧量：≥60Nm³/h；</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color w:val="auto"/>
                <w:kern w:val="0"/>
                <w:highlight w:val="none"/>
              </w:rPr>
              <w:t>b.氧气浓度：≥90%</w:t>
            </w:r>
            <w:r>
              <w:rPr>
                <w:rFonts w:hint="eastAsia" w:ascii="仿宋_GB2312" w:hAnsi="宋体" w:eastAsia="仿宋_GB2312"/>
                <w:color w:val="auto"/>
                <w:highlight w:val="none"/>
              </w:rPr>
              <w:t>（出具检测报告）</w:t>
            </w:r>
            <w:r>
              <w:rPr>
                <w:rFonts w:hint="eastAsia" w:ascii="宋体" w:hAnsi="宋体" w:cs="宋体"/>
                <w:color w:val="auto"/>
                <w:kern w:val="0"/>
                <w:highlight w:val="none"/>
              </w:rPr>
              <w:t>；</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★c.吸附塔工作压力：≤0.2Mpa，确保分子筛不粉化（需提供证明文件方为有效，否则视为不满足本项要求）；</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d.分子筛正常使用寿命大于10年；</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e.分子筛运行状态监测功能；</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f.由彩色触摸屏实时显示系统流程、氧气浓度、流量、压力，浓度历史数据存储显示，可通过触摸屏本地调整设备参数；</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hint="eastAsia" w:ascii="宋体" w:hAnsi="宋体" w:cs="宋体"/>
                <w:color w:val="auto"/>
                <w:kern w:val="0"/>
                <w:highlight w:val="none"/>
              </w:rPr>
            </w:pPr>
            <w:r>
              <w:rPr>
                <w:rFonts w:hint="eastAsia" w:ascii="宋体" w:hAnsi="宋体" w:cs="宋体"/>
                <w:color w:val="auto"/>
                <w:kern w:val="0"/>
                <w:highlight w:val="none"/>
              </w:rPr>
              <w:t>g.</w:t>
            </w:r>
            <w:r>
              <w:rPr>
                <w:rFonts w:hint="eastAsia" w:ascii="仿宋_GB2312" w:hAnsi="宋体" w:eastAsia="仿宋_GB2312" w:cs="宋体"/>
                <w:color w:val="auto"/>
                <w:sz w:val="24"/>
                <w:highlight w:val="none"/>
              </w:rPr>
              <w:t xml:space="preserve"> </w:t>
            </w:r>
            <w:r>
              <w:rPr>
                <w:rFonts w:hint="eastAsia" w:ascii="宋体" w:hAnsi="宋体" w:cs="宋体"/>
                <w:color w:val="auto"/>
                <w:highlight w:val="none"/>
              </w:rPr>
              <w:t>制氧系统开机30分钟后，其产氧量和氧浓度应达到规范要求。</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hint="eastAsia" w:ascii="宋体" w:hAnsi="宋体" w:cs="宋体"/>
                <w:color w:val="auto"/>
                <w:kern w:val="0"/>
                <w:highlight w:val="none"/>
              </w:rPr>
            </w:pPr>
            <w:r>
              <w:rPr>
                <w:rFonts w:hint="eastAsia" w:ascii="宋体" w:hAnsi="宋体" w:cs="宋体"/>
                <w:color w:val="auto"/>
                <w:kern w:val="0"/>
                <w:highlight w:val="none"/>
              </w:rPr>
              <w:t>h.</w:t>
            </w:r>
            <w:r>
              <w:rPr>
                <w:rFonts w:hint="eastAsia" w:ascii="仿宋_GB2312" w:hAnsi="宋体" w:eastAsia="仿宋_GB2312" w:cs="宋体"/>
                <w:color w:val="auto"/>
                <w:sz w:val="24"/>
                <w:highlight w:val="none"/>
              </w:rPr>
              <w:t xml:space="preserve"> </w:t>
            </w:r>
            <w:r>
              <w:rPr>
                <w:rFonts w:hint="eastAsia" w:ascii="宋体" w:hAnsi="宋体" w:cs="宋体"/>
                <w:color w:val="auto"/>
                <w:highlight w:val="none"/>
              </w:rPr>
              <w:t>氧气的理化指标：必须符合或优于国家</w:t>
            </w:r>
            <w:r>
              <w:rPr>
                <w:rFonts w:hint="eastAsia" w:ascii="宋体" w:hAnsi="宋体"/>
                <w:color w:val="auto"/>
                <w:highlight w:val="none"/>
              </w:rPr>
              <w:t>《医用分子筛制氧系统采购及安装项目通用技术规范》</w:t>
            </w:r>
            <w:r>
              <w:rPr>
                <w:rFonts w:hint="eastAsia" w:ascii="宋体" w:hAnsi="宋体" w:cs="宋体"/>
                <w:color w:val="auto"/>
                <w:highlight w:val="none"/>
              </w:rPr>
              <w:t>、</w:t>
            </w:r>
            <w:r>
              <w:rPr>
                <w:rFonts w:hint="eastAsia" w:ascii="宋体" w:hAnsi="宋体"/>
                <w:color w:val="auto"/>
                <w:highlight w:val="none"/>
              </w:rPr>
              <w:t>《用于医用气体管道的氧气浓缩器供气系统》的标准</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制氧专用空压机（无油）</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★a.必须采用无油空气压缩机，确保分子筛不被油污染（需提供证明文件方为有效，否则视为不满足本项要求）；</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★b.排气压力：≤0.2Mpa；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c.排气量：  ≥600 m³/h。</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 xml:space="preserve">d.功  率：  ≤30kw </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冷却式干燥机</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 压力露点：0—10℃；</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★b.额定处理气量：≥600m³/h；</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c.冷却方式：风冷；双级冷冻干燥，一级冷却降温；二级冷却除水；</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d.功率：≤1.6KW。</w:t>
            </w:r>
          </w:p>
        </w:tc>
      </w:tr>
      <w:tr>
        <w:tblPrEx>
          <w:tblCellMar>
            <w:top w:w="0" w:type="dxa"/>
            <w:left w:w="108" w:type="dxa"/>
            <w:bottom w:w="0" w:type="dxa"/>
            <w:right w:w="108" w:type="dxa"/>
          </w:tblCellMar>
        </w:tblPrEx>
        <w:trPr>
          <w:trHeight w:val="315" w:hRule="atLeast"/>
        </w:trPr>
        <w:tc>
          <w:tcPr>
            <w:tcW w:w="139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lang w:val="zh-TW" w:eastAsia="zh-TW"/>
              </w:rPr>
              <w:t>空气预过滤器</w:t>
            </w:r>
          </w:p>
        </w:tc>
        <w:tc>
          <w:tcPr>
            <w:tcW w:w="775"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a.</w:t>
            </w:r>
            <w:r>
              <w:rPr>
                <w:rFonts w:hint="eastAsia" w:ascii="宋体" w:hAnsi="宋体" w:cs="宋体"/>
                <w:color w:val="auto"/>
                <w:kern w:val="0"/>
                <w:highlight w:val="none"/>
                <w:lang w:val="zh-TW" w:eastAsia="zh-TW"/>
              </w:rPr>
              <w:t>空气处理气量：</w:t>
            </w:r>
            <w:r>
              <w:rPr>
                <w:rFonts w:hint="eastAsia" w:ascii="宋体" w:hAnsi="宋体" w:cs="宋体"/>
                <w:color w:val="auto"/>
                <w:kern w:val="0"/>
                <w:highlight w:val="none"/>
              </w:rPr>
              <w:t>≥12Nm3/min</w:t>
            </w:r>
            <w:r>
              <w:rPr>
                <w:rFonts w:hint="eastAsia" w:ascii="宋体" w:hAnsi="宋体" w:cs="宋体"/>
                <w:color w:val="auto"/>
                <w:kern w:val="0"/>
                <w:highlight w:val="none"/>
                <w:lang w:val="zh-TW" w:eastAsia="zh-TW"/>
              </w:rPr>
              <w:t>；</w:t>
            </w:r>
          </w:p>
        </w:tc>
      </w:tr>
      <w:tr>
        <w:tblPrEx>
          <w:tblCellMar>
            <w:top w:w="0" w:type="dxa"/>
            <w:left w:w="108" w:type="dxa"/>
            <w:bottom w:w="0" w:type="dxa"/>
            <w:right w:w="108" w:type="dxa"/>
          </w:tblCellMar>
        </w:tblPrEx>
        <w:trPr>
          <w:trHeight w:val="285" w:hRule="atLeast"/>
        </w:trPr>
        <w:tc>
          <w:tcPr>
            <w:tcW w:w="139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highlight w:val="none"/>
                <w:lang w:val="zh-TW" w:eastAsia="zh-TW"/>
              </w:rPr>
            </w:pPr>
          </w:p>
        </w:tc>
        <w:tc>
          <w:tcPr>
            <w:tcW w:w="7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b.</w:t>
            </w:r>
            <w:r>
              <w:rPr>
                <w:rFonts w:hint="eastAsia" w:ascii="宋体" w:hAnsi="宋体" w:cs="宋体"/>
                <w:color w:val="auto"/>
                <w:kern w:val="0"/>
                <w:highlight w:val="none"/>
                <w:lang w:val="zh-TW" w:eastAsia="zh-TW"/>
              </w:rPr>
              <w:t>过滤精度：</w:t>
            </w:r>
            <w:r>
              <w:rPr>
                <w:rFonts w:hint="eastAsia" w:ascii="宋体" w:hAnsi="宋体" w:cs="宋体"/>
                <w:color w:val="auto"/>
                <w:kern w:val="0"/>
                <w:highlight w:val="none"/>
              </w:rPr>
              <w:t>≤5μm</w:t>
            </w:r>
            <w:r>
              <w:rPr>
                <w:rFonts w:hint="eastAsia" w:ascii="宋体" w:hAnsi="宋体" w:cs="宋体"/>
                <w:color w:val="auto"/>
                <w:kern w:val="0"/>
                <w:highlight w:val="none"/>
                <w:lang w:val="zh-TW" w:eastAsia="zh-TW"/>
              </w:rPr>
              <w:t>；</w:t>
            </w:r>
          </w:p>
        </w:tc>
      </w:tr>
      <w:tr>
        <w:tblPrEx>
          <w:tblCellMar>
            <w:top w:w="0" w:type="dxa"/>
            <w:left w:w="108" w:type="dxa"/>
            <w:bottom w:w="0" w:type="dxa"/>
            <w:right w:w="108" w:type="dxa"/>
          </w:tblCellMar>
        </w:tblPrEx>
        <w:trPr>
          <w:trHeight w:val="330"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highlight w:val="none"/>
                <w:lang w:val="zh-TW" w:eastAsia="zh-TW"/>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kern w:val="0"/>
                <w:highlight w:val="none"/>
                <w:lang w:val="zh-TW" w:eastAsia="zh-TW"/>
              </w:rPr>
              <w:t>最高耐受温度：</w:t>
            </w:r>
            <w:r>
              <w:rPr>
                <w:rFonts w:hint="eastAsia" w:ascii="宋体" w:hAnsi="宋体" w:cs="宋体"/>
                <w:color w:val="auto"/>
                <w:kern w:val="0"/>
                <w:highlight w:val="none"/>
              </w:rPr>
              <w:t>120℃</w:t>
            </w:r>
            <w:r>
              <w:rPr>
                <w:rFonts w:hint="eastAsia" w:ascii="宋体" w:hAnsi="宋体" w:cs="宋体"/>
                <w:color w:val="auto"/>
                <w:kern w:val="0"/>
                <w:highlight w:val="none"/>
                <w:lang w:val="zh-TW" w:eastAsia="zh-TW"/>
              </w:rPr>
              <w:t>。</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氧压机</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2台</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 最高输出压力≥1.0Mpa；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 排气量：≥60m³/h；</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 输出的氧气不含油份；</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 功率：≤11kw。</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氧气缓冲罐</w:t>
            </w:r>
          </w:p>
        </w:tc>
        <w:tc>
          <w:tcPr>
            <w:tcW w:w="775"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2个</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a.容积：≥0.5m³</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b.工作压力：≤0.1MPa；</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hint="eastAsia" w:ascii="宋体" w:hAnsi="宋体" w:cs="宋体"/>
                <w:color w:val="auto"/>
                <w:kern w:val="0"/>
                <w:highlight w:val="none"/>
              </w:rPr>
            </w:pPr>
            <w:r>
              <w:rPr>
                <w:rFonts w:hint="eastAsia" w:ascii="宋体" w:hAnsi="宋体" w:cs="宋体"/>
                <w:color w:val="auto"/>
                <w:kern w:val="0"/>
                <w:highlight w:val="none"/>
              </w:rPr>
              <w:t>c. 工作温度：常温;</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hint="eastAsia" w:ascii="宋体" w:hAnsi="宋体" w:cs="宋体"/>
                <w:color w:val="auto"/>
                <w:kern w:val="0"/>
                <w:highlight w:val="none"/>
              </w:rPr>
            </w:pPr>
            <w:r>
              <w:rPr>
                <w:rFonts w:hint="eastAsia" w:ascii="宋体" w:hAnsi="宋体" w:cs="宋体"/>
                <w:color w:val="auto"/>
                <w:kern w:val="0"/>
                <w:highlight w:val="none"/>
              </w:rPr>
              <w:t>d.</w:t>
            </w:r>
            <w:r>
              <w:rPr>
                <w:rFonts w:hint="eastAsia" w:ascii="宋体" w:hAnsi="宋体" w:cs="宋体"/>
                <w:color w:val="auto"/>
                <w:highlight w:val="none"/>
              </w:rPr>
              <w:t xml:space="preserve"> 符合压力容器国家标准，通过质检部门检测.</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全自动氧气供应系统</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a、吸附塔压力监测；</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b、氧气除臭----过滤精度：0.01μm。处理气量：6Nm3/min。最高工作压力：1MPa。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c、氧气质量流量计----显示方式：液晶显示，直观易读，可查阅瞬时流量和累计流量。量程：0～100Nm3/h。最大工作压力：1MPa。精读：1.5级。</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d、氧气浓度分析仪--氧气传感器，精度1.5级,实时在线监测氧气浓度；显示方式：触摸屏实时显示；</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e、向氧压机供氧--氧气浓度高于设定值时开启，低于设定值时关闭；</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氧气储罐压力监控--氧气储罐压力低于设定值时，系统开机；高于设定值时，系统停机；</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f、氧气除菌--过滤精度：0.01μm。处理气量：2.0 Nm3/min。最高工作压力：1MPa。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highlight w:val="none"/>
              </w:rPr>
            </w:pPr>
            <w:r>
              <w:rPr>
                <w:rFonts w:hint="eastAsia" w:ascii="宋体" w:hAnsi="宋体" w:cs="宋体"/>
                <w:color w:val="auto"/>
                <w:kern w:val="0"/>
                <w:highlight w:val="none"/>
              </w:rPr>
              <w:t>g、与备用氧源自动切换----如遇停电，则备用氧源阀门自动开启。</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除臭过滤器</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 过滤精度：0.01μm；</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 xml:space="preserve">b. 处理量：≥6Nm3/min； </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 最高工作压力：1MPa。</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除菌过滤器</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 过滤精度：0.01μm；</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b.处理量：≥2.0 Nm3/min；</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c.最高工作压力：1MPa。</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质量流量计</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a.显示方式：液晶显示；</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b.量程：0～100m³/h；</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 最大工作压力：1MPa；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 精度：1.5级。</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氧气浓度分析仪</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a.精度：误差≤±2%.FS；</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 显示方式：触摸屏适时显示，直观易读；</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c.测量范围: 10%～99.99%。</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控制柜</w:t>
            </w:r>
          </w:p>
        </w:tc>
        <w:tc>
          <w:tcPr>
            <w:tcW w:w="775"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a.采用PLC控制；</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b.具有电机过载、缺相及相序保护功能。</w:t>
            </w:r>
          </w:p>
        </w:tc>
      </w:tr>
      <w:tr>
        <w:tblPrEx>
          <w:tblCellMar>
            <w:top w:w="0" w:type="dxa"/>
            <w:left w:w="108" w:type="dxa"/>
            <w:bottom w:w="0" w:type="dxa"/>
            <w:right w:w="108" w:type="dxa"/>
          </w:tblCellMar>
        </w:tblPrEx>
        <w:trPr>
          <w:trHeight w:val="20"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highlight w:val="none"/>
                <w:lang w:val="zh-TW" w:eastAsia="zh-TW"/>
              </w:rPr>
              <w:t>参数异常时有本地声光报警功能</w:t>
            </w:r>
            <w:r>
              <w:rPr>
                <w:rFonts w:hint="eastAsia" w:ascii="宋体" w:hAnsi="宋体" w:cs="宋体"/>
                <w:color w:val="auto"/>
                <w:highlight w:val="none"/>
              </w:rPr>
              <w:t>,</w:t>
            </w:r>
            <w:r>
              <w:rPr>
                <w:rFonts w:hint="eastAsia" w:ascii="宋体" w:hAnsi="宋体" w:cs="宋体"/>
                <w:color w:val="auto"/>
                <w:highlight w:val="none"/>
                <w:lang w:val="zh-TW" w:eastAsia="zh-TW"/>
              </w:rPr>
              <w:t>声强大于</w:t>
            </w:r>
            <w:r>
              <w:rPr>
                <w:rFonts w:hint="eastAsia" w:ascii="宋体" w:hAnsi="宋体" w:cs="宋体"/>
                <w:color w:val="auto"/>
                <w:highlight w:val="none"/>
              </w:rPr>
              <w:t>85dB</w:t>
            </w:r>
            <w:r>
              <w:rPr>
                <w:rFonts w:hint="eastAsia" w:ascii="宋体" w:hAnsi="宋体" w:cs="宋体"/>
                <w:color w:val="auto"/>
                <w:highlight w:val="none"/>
                <w:lang w:val="zh-TW" w:eastAsia="zh-TW"/>
              </w:rPr>
              <w:t>。</w:t>
            </w:r>
          </w:p>
        </w:tc>
      </w:tr>
      <w:tr>
        <w:tblPrEx>
          <w:tblCellMar>
            <w:top w:w="0" w:type="dxa"/>
            <w:left w:w="108" w:type="dxa"/>
            <w:bottom w:w="0" w:type="dxa"/>
            <w:right w:w="108" w:type="dxa"/>
          </w:tblCellMar>
        </w:tblPrEx>
        <w:trPr>
          <w:trHeight w:val="351" w:hRule="atLeast"/>
        </w:trPr>
        <w:tc>
          <w:tcPr>
            <w:tcW w:w="139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制氧专用排氮机</w:t>
            </w:r>
          </w:p>
        </w:tc>
        <w:tc>
          <w:tcPr>
            <w:tcW w:w="775"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nil"/>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highlight w:val="none"/>
              </w:rPr>
              <w:t>a.功率：≤38KW(提供设备产品铭牌照片，与实际安装的设备一致)。</w:t>
            </w:r>
          </w:p>
        </w:tc>
      </w:tr>
      <w:tr>
        <w:tblPrEx>
          <w:tblCellMar>
            <w:top w:w="0" w:type="dxa"/>
            <w:left w:w="108" w:type="dxa"/>
            <w:bottom w:w="0" w:type="dxa"/>
            <w:right w:w="108" w:type="dxa"/>
          </w:tblCellMar>
        </w:tblPrEx>
        <w:trPr>
          <w:trHeight w:val="390" w:hRule="atLeast"/>
        </w:trPr>
        <w:tc>
          <w:tcPr>
            <w:tcW w:w="139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highlight w:val="none"/>
              </w:rPr>
            </w:pPr>
            <w:r>
              <w:rPr>
                <w:rFonts w:hint="eastAsia" w:ascii="宋体" w:hAnsi="宋体" w:cs="宋体"/>
                <w:color w:val="auto"/>
                <w:highlight w:val="none"/>
              </w:rPr>
              <w:t>b.最高升压：-60KPa</w:t>
            </w:r>
          </w:p>
        </w:tc>
      </w:tr>
      <w:tr>
        <w:tblPrEx>
          <w:tblCellMar>
            <w:top w:w="0" w:type="dxa"/>
            <w:left w:w="108" w:type="dxa"/>
            <w:bottom w:w="0" w:type="dxa"/>
            <w:right w:w="108" w:type="dxa"/>
          </w:tblCellMar>
        </w:tblPrEx>
        <w:trPr>
          <w:trHeight w:val="219"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highlight w:val="none"/>
              </w:rPr>
            </w:pPr>
            <w:r>
              <w:rPr>
                <w:rFonts w:hint="eastAsia" w:ascii="宋体" w:hAnsi="宋体" w:cs="宋体"/>
                <w:color w:val="auto"/>
                <w:highlight w:val="none"/>
              </w:rPr>
              <w:t>c.排气量：≥600m</w:t>
            </w:r>
            <w:r>
              <w:rPr>
                <w:rFonts w:hint="eastAsia" w:ascii="宋体" w:hAnsi="宋体" w:cs="宋体"/>
                <w:color w:val="auto"/>
                <w:highlight w:val="none"/>
                <w:vertAlign w:val="superscript"/>
              </w:rPr>
              <w:t>3</w:t>
            </w:r>
            <w:r>
              <w:rPr>
                <w:rFonts w:hint="eastAsia" w:ascii="宋体" w:hAnsi="宋体" w:cs="宋体"/>
                <w:color w:val="auto"/>
                <w:highlight w:val="none"/>
              </w:rPr>
              <w:t>/h。</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氧气储罐</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2个</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a.对经过氧气增压机加压后输出的氧气进行储存、稳压，提供压力稳定的气源；</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b.容积：≥3.0m³（单台容积）</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 工作压力：1.0MPa；</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d.工作温度：常温；</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e.符合压力容器国家标准，通过质检部门检测。</w:t>
            </w:r>
          </w:p>
        </w:tc>
      </w:tr>
      <w:tr>
        <w:tblPrEx>
          <w:tblCellMar>
            <w:top w:w="0" w:type="dxa"/>
            <w:left w:w="108" w:type="dxa"/>
            <w:bottom w:w="0" w:type="dxa"/>
            <w:right w:w="108" w:type="dxa"/>
          </w:tblCellMar>
        </w:tblPrEx>
        <w:trPr>
          <w:trHeight w:val="20" w:hRule="atLeast"/>
        </w:trPr>
        <w:tc>
          <w:tcPr>
            <w:tcW w:w="1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智能化远程监测系统</w:t>
            </w:r>
          </w:p>
        </w:tc>
        <w:tc>
          <w:tcPr>
            <w:tcW w:w="7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1套</w:t>
            </w: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a.无线传输，远程监测。所有设备数据均由物联网智能采集终端通过移动运营商网络传输至系统平台，无需复杂的现场布线。系统采用B/S结构，并配有手机微信端，用户可在任意联网的电脑和手机上访问。只需输入网址、账号、密码即可查看设备运行状态，无需安装任何客户端软件。</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b.实时采集，主动上报。通过系统平台将采集规则配置远程下发至采集终端，采集终端将数据主动上报至系统平台，另外，在无线网络中断的情况下，数据采集仍然持续进行，网络恢复后，可将缓存数据补发到系统平台，实现数据的完整性。用户打开监控主界面后数据会自动刷新，无需手动刷新操作即可看到实时数据变化以及数据更新时间。</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★c.实时报警，采集数据上报至系统平台后，经发现数据异常，满足设置的报警规则，系统发出实时报警，同时将报警信息通过短信和微信的方式推送至设备管理人员和售后服务人员的手机上。</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d.数据记录，统计分析。系统中所有可查看的数据，供客户存档使用。用户在系统中除了可以查看设备运行实时数据、实时曲线、历史曲线外，还可查看设备故障报警记录。</w:t>
            </w:r>
          </w:p>
        </w:tc>
      </w:tr>
      <w:tr>
        <w:tblPrEx>
          <w:tblCellMar>
            <w:top w:w="0" w:type="dxa"/>
            <w:left w:w="108" w:type="dxa"/>
            <w:bottom w:w="0" w:type="dxa"/>
            <w:right w:w="108" w:type="dxa"/>
          </w:tblCellMar>
        </w:tblPrEx>
        <w:trPr>
          <w:trHeight w:val="20" w:hRule="atLeast"/>
        </w:trPr>
        <w:tc>
          <w:tcPr>
            <w:tcW w:w="1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highlight w:val="none"/>
              </w:rPr>
            </w:pPr>
          </w:p>
        </w:tc>
        <w:tc>
          <w:tcPr>
            <w:tcW w:w="7988" w:type="dxa"/>
            <w:tcBorders>
              <w:top w:val="nil"/>
              <w:left w:val="nil"/>
              <w:bottom w:val="single" w:color="auto" w:sz="4" w:space="0"/>
              <w:right w:val="single" w:color="auto" w:sz="4" w:space="0"/>
            </w:tcBorders>
            <w:noWrap w:val="0"/>
            <w:vAlign w:val="top"/>
          </w:tcPr>
          <w:p>
            <w:pPr>
              <w:widowControl/>
              <w:rPr>
                <w:rFonts w:ascii="宋体" w:hAnsi="宋体" w:cs="宋体"/>
                <w:color w:val="auto"/>
                <w:kern w:val="0"/>
                <w:highlight w:val="none"/>
              </w:rPr>
            </w:pPr>
            <w:r>
              <w:rPr>
                <w:rFonts w:hint="eastAsia" w:ascii="宋体" w:hAnsi="宋体" w:cs="宋体"/>
                <w:color w:val="auto"/>
                <w:kern w:val="0"/>
                <w:highlight w:val="none"/>
              </w:rPr>
              <w:t>e.维保平台，强化管理。可实现维修工单的派发、认领、提交，平台将每份工单的详细信息保存在系统中，并生成设备整个生命周期内的维保档案。</w:t>
            </w:r>
          </w:p>
        </w:tc>
      </w:tr>
      <w:tr>
        <w:tblPrEx>
          <w:tblCellMar>
            <w:top w:w="0" w:type="dxa"/>
            <w:left w:w="108" w:type="dxa"/>
            <w:bottom w:w="0" w:type="dxa"/>
            <w:right w:w="108" w:type="dxa"/>
          </w:tblCellMar>
        </w:tblPrEx>
        <w:trPr>
          <w:trHeight w:val="912" w:hRule="atLeast"/>
        </w:trPr>
        <w:tc>
          <w:tcPr>
            <w:tcW w:w="1398"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病区楼层流量仪（用于手术室、ICU、内科楼）</w:t>
            </w:r>
          </w:p>
        </w:tc>
        <w:tc>
          <w:tcPr>
            <w:tcW w:w="775"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3台</w:t>
            </w: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a.主管道安装氧气流量计，各区域安装区域氧气流量计，采用热式测量原理，量程比为100：1，RS485通讯方式，远程测量氧气当前实时流量及累计流量参数流量范围：2L/min～200L/min</w:t>
            </w:r>
          </w:p>
        </w:tc>
      </w:tr>
      <w:tr>
        <w:tblPrEx>
          <w:tblCellMar>
            <w:top w:w="0" w:type="dxa"/>
            <w:left w:w="108" w:type="dxa"/>
            <w:bottom w:w="0" w:type="dxa"/>
            <w:right w:w="108" w:type="dxa"/>
          </w:tblCellMar>
        </w:tblPrEx>
        <w:trPr>
          <w:trHeight w:val="945"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b.需要将监测数据实时上传至系统平台，用户可在任意联网的电脑和手机上访问。</w:t>
            </w:r>
          </w:p>
        </w:tc>
      </w:tr>
      <w:tr>
        <w:tblPrEx>
          <w:tblCellMar>
            <w:top w:w="0" w:type="dxa"/>
            <w:left w:w="108" w:type="dxa"/>
            <w:bottom w:w="0" w:type="dxa"/>
            <w:right w:w="108" w:type="dxa"/>
          </w:tblCellMar>
        </w:tblPrEx>
        <w:trPr>
          <w:trHeight w:val="761" w:hRule="atLeast"/>
        </w:trPr>
        <w:tc>
          <w:tcPr>
            <w:tcW w:w="1398" w:type="dxa"/>
            <w:vMerge w:val="restart"/>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病区楼层氧浓度仪（用于手术室、ICU、内科楼）</w:t>
            </w:r>
          </w:p>
        </w:tc>
        <w:tc>
          <w:tcPr>
            <w:tcW w:w="775" w:type="dxa"/>
            <w:vMerge w:val="restart"/>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3台</w:t>
            </w: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a.精度：误差≤±2%.FS；</w:t>
            </w:r>
          </w:p>
        </w:tc>
      </w:tr>
      <w:tr>
        <w:tblPrEx>
          <w:tblCellMar>
            <w:top w:w="0" w:type="dxa"/>
            <w:left w:w="108" w:type="dxa"/>
            <w:bottom w:w="0" w:type="dxa"/>
            <w:right w:w="108" w:type="dxa"/>
          </w:tblCellMar>
        </w:tblPrEx>
        <w:trPr>
          <w:trHeight w:val="837" w:hRule="atLeast"/>
        </w:trPr>
        <w:tc>
          <w:tcPr>
            <w:tcW w:w="139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b.测量范围: 10%～99.99%。</w:t>
            </w:r>
          </w:p>
        </w:tc>
      </w:tr>
      <w:tr>
        <w:tblPrEx>
          <w:tblCellMar>
            <w:top w:w="0" w:type="dxa"/>
            <w:left w:w="108" w:type="dxa"/>
            <w:bottom w:w="0" w:type="dxa"/>
            <w:right w:w="108" w:type="dxa"/>
          </w:tblCellMar>
        </w:tblPrEx>
        <w:trPr>
          <w:trHeight w:val="559"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c. RS485通讯方式，远程测量氧气当前实时浓度需要将监测数据上传至系统平台，用户可在任意联网的电脑和手机上访问。</w:t>
            </w:r>
          </w:p>
        </w:tc>
      </w:tr>
      <w:tr>
        <w:tblPrEx>
          <w:tblCellMar>
            <w:top w:w="0" w:type="dxa"/>
            <w:left w:w="108" w:type="dxa"/>
            <w:bottom w:w="0" w:type="dxa"/>
            <w:right w:w="108" w:type="dxa"/>
          </w:tblCellMar>
        </w:tblPrEx>
        <w:trPr>
          <w:trHeight w:val="651" w:hRule="atLeast"/>
        </w:trPr>
        <w:tc>
          <w:tcPr>
            <w:tcW w:w="1398"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病区压力监测报警箱（用于手术室、ICU、内科楼）</w:t>
            </w:r>
          </w:p>
        </w:tc>
        <w:tc>
          <w:tcPr>
            <w:tcW w:w="775"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3台</w:t>
            </w: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a.气体监控参数包括氧气压力，只采集氧气压力和流量，通过压力传感器进行物理量的数据采集管道压力：0-0.6MPa</w:t>
            </w:r>
          </w:p>
        </w:tc>
      </w:tr>
      <w:tr>
        <w:tblPrEx>
          <w:tblCellMar>
            <w:top w:w="0" w:type="dxa"/>
            <w:left w:w="108" w:type="dxa"/>
            <w:bottom w:w="0" w:type="dxa"/>
            <w:right w:w="108" w:type="dxa"/>
          </w:tblCellMar>
        </w:tblPrEx>
        <w:trPr>
          <w:trHeight w:val="357" w:hRule="atLeast"/>
        </w:trPr>
        <w:tc>
          <w:tcPr>
            <w:tcW w:w="139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b.数字显示</w:t>
            </w:r>
          </w:p>
        </w:tc>
      </w:tr>
      <w:tr>
        <w:tblPrEx>
          <w:tblCellMar>
            <w:top w:w="0" w:type="dxa"/>
            <w:left w:w="108" w:type="dxa"/>
            <w:bottom w:w="0" w:type="dxa"/>
            <w:right w:w="108" w:type="dxa"/>
          </w:tblCellMar>
        </w:tblPrEx>
        <w:trPr>
          <w:trHeight w:val="345" w:hRule="atLeast"/>
        </w:trPr>
        <w:tc>
          <w:tcPr>
            <w:tcW w:w="139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c.具有超欠压声光报警功能</w:t>
            </w:r>
          </w:p>
        </w:tc>
      </w:tr>
      <w:tr>
        <w:tblPrEx>
          <w:tblCellMar>
            <w:top w:w="0" w:type="dxa"/>
            <w:left w:w="108" w:type="dxa"/>
            <w:bottom w:w="0" w:type="dxa"/>
            <w:right w:w="108" w:type="dxa"/>
          </w:tblCellMar>
        </w:tblPrEx>
        <w:trPr>
          <w:trHeight w:val="303" w:hRule="atLeast"/>
        </w:trPr>
        <w:tc>
          <w:tcPr>
            <w:tcW w:w="139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color w:val="auto"/>
                <w:kern w:val="0"/>
                <w:highlight w:val="none"/>
              </w:rPr>
            </w:pPr>
            <w:r>
              <w:rPr>
                <w:rFonts w:hint="eastAsia" w:ascii="宋体" w:hAnsi="宋体" w:cs="宋体"/>
                <w:color w:val="auto"/>
                <w:kern w:val="0"/>
                <w:highlight w:val="none"/>
              </w:rPr>
              <w:t>d.具有RS485数据远传接口</w:t>
            </w:r>
          </w:p>
        </w:tc>
      </w:tr>
      <w:tr>
        <w:tblPrEx>
          <w:tblCellMar>
            <w:top w:w="0" w:type="dxa"/>
            <w:left w:w="108" w:type="dxa"/>
            <w:bottom w:w="0" w:type="dxa"/>
            <w:right w:w="108" w:type="dxa"/>
          </w:tblCellMar>
        </w:tblPrEx>
        <w:trPr>
          <w:trHeight w:val="321" w:hRule="atLeast"/>
        </w:trPr>
        <w:tc>
          <w:tcPr>
            <w:tcW w:w="139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e.通过电子控制方式实现对各气体报警参数的设置</w:t>
            </w:r>
          </w:p>
        </w:tc>
      </w:tr>
      <w:tr>
        <w:tblPrEx>
          <w:tblCellMar>
            <w:top w:w="0" w:type="dxa"/>
            <w:left w:w="108" w:type="dxa"/>
            <w:bottom w:w="0" w:type="dxa"/>
            <w:right w:w="108" w:type="dxa"/>
          </w:tblCellMar>
        </w:tblPrEx>
        <w:trPr>
          <w:trHeight w:val="90" w:hRule="atLeast"/>
        </w:trPr>
        <w:tc>
          <w:tcPr>
            <w:tcW w:w="139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p>
        </w:tc>
        <w:tc>
          <w:tcPr>
            <w:tcW w:w="798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auto"/>
                <w:kern w:val="0"/>
                <w:highlight w:val="none"/>
              </w:rPr>
            </w:pPr>
            <w:r>
              <w:rPr>
                <w:rFonts w:hint="eastAsia" w:ascii="宋体" w:hAnsi="宋体" w:cs="宋体"/>
                <w:color w:val="auto"/>
                <w:kern w:val="0"/>
                <w:highlight w:val="none"/>
              </w:rPr>
              <w:t>f.需要将监测数据实时上传至系统平台，用户可在任意联网的电脑和手机上访问</w:t>
            </w:r>
          </w:p>
        </w:tc>
      </w:tr>
      <w:tr>
        <w:tblPrEx>
          <w:tblCellMar>
            <w:top w:w="0" w:type="dxa"/>
            <w:left w:w="108" w:type="dxa"/>
            <w:bottom w:w="0" w:type="dxa"/>
            <w:right w:w="108" w:type="dxa"/>
          </w:tblCellMar>
        </w:tblPrEx>
        <w:trPr>
          <w:trHeight w:val="20" w:hRule="atLeast"/>
        </w:trPr>
        <w:tc>
          <w:tcPr>
            <w:tcW w:w="139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监控屏（设备科）</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1台</w:t>
            </w:r>
          </w:p>
        </w:tc>
        <w:tc>
          <w:tcPr>
            <w:tcW w:w="7988"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工业41"窄缝液晶屏</w:t>
            </w:r>
          </w:p>
        </w:tc>
      </w:tr>
    </w:tbl>
    <w:p>
      <w:pPr>
        <w:rPr>
          <w:rFonts w:hint="eastAsia"/>
          <w:color w:val="auto"/>
          <w:highlight w:val="none"/>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0" w:type="dxa"/>
            <w:noWrap w:val="0"/>
            <w:vAlign w:val="top"/>
          </w:tcPr>
          <w:p>
            <w:pPr>
              <w:adjustRightInd w:val="0"/>
              <w:snapToGrid w:val="0"/>
              <w:rPr>
                <w:rFonts w:ascii="宋体" w:hAnsi="宋体"/>
                <w:b/>
                <w:color w:val="auto"/>
                <w:sz w:val="24"/>
                <w:szCs w:val="24"/>
                <w:highlight w:val="none"/>
              </w:rPr>
            </w:pPr>
            <w:r>
              <w:rPr>
                <w:rFonts w:hint="eastAsia" w:ascii="宋体" w:hAnsi="宋体"/>
                <w:b/>
                <w:color w:val="auto"/>
                <w:sz w:val="24"/>
                <w:szCs w:val="24"/>
                <w:highlight w:val="none"/>
              </w:rPr>
              <w:t>一、基本要求：</w:t>
            </w:r>
          </w:p>
          <w:p>
            <w:pPr>
              <w:adjustRightInd w:val="0"/>
              <w:snapToGrid w:val="0"/>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1、以上产品必须是具备合法资质的制造商生产的全新正品，并完全满足公开招标采购文件的要求，若产品在运输或安装过程中损坏或擦伤须无偿调换相同产品。</w:t>
            </w:r>
          </w:p>
          <w:p>
            <w:pPr>
              <w:adjustRightInd w:val="0"/>
              <w:snapToGrid w:val="0"/>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2、投标人应保证所提供的货物或其任何一部分均不会侵犯任何第三方的专利权、商标权等，如在使用过程中出现的一切经济和法律责任均由投标人负责。</w:t>
            </w:r>
          </w:p>
          <w:p>
            <w:pPr>
              <w:adjustRightInd w:val="0"/>
              <w:snapToGrid w:val="0"/>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3、投标总价必须包含货物及货物运抵指定交货地点的各种费用和安装调校、售后服务、税金、验收检验及其它所有费用的总和。</w:t>
            </w:r>
          </w:p>
          <w:p>
            <w:pPr>
              <w:adjustRightInd w:val="0"/>
              <w:snapToGrid w:val="0"/>
              <w:rPr>
                <w:rFonts w:hint="eastAsia" w:ascii="宋体" w:hAnsi="宋体"/>
                <w:b/>
                <w:color w:val="auto"/>
                <w:sz w:val="24"/>
                <w:szCs w:val="24"/>
                <w:highlight w:val="none"/>
              </w:rPr>
            </w:pPr>
            <w:r>
              <w:rPr>
                <w:rFonts w:hint="eastAsia" w:ascii="宋体" w:hAnsi="宋体"/>
                <w:b/>
                <w:color w:val="auto"/>
                <w:sz w:val="24"/>
                <w:szCs w:val="24"/>
                <w:highlight w:val="none"/>
              </w:rPr>
              <w:t>二、售后服务及其他要求：</w:t>
            </w:r>
          </w:p>
          <w:p>
            <w:pPr>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kern w:val="0"/>
                <w:sz w:val="24"/>
                <w:szCs w:val="24"/>
                <w:highlight w:val="none"/>
              </w:rPr>
              <w:t>投标人在投标文件中必须提交设备配置清单</w:t>
            </w:r>
            <w:r>
              <w:rPr>
                <w:rFonts w:hint="eastAsia" w:ascii="宋体" w:hAnsi="宋体"/>
                <w:color w:val="auto"/>
                <w:sz w:val="24"/>
                <w:szCs w:val="24"/>
                <w:highlight w:val="none"/>
              </w:rPr>
              <w:t>，投标人投标时所提供的技术参数及配置须与提供的实物相符，如技术参数与实际货物不符，采购人有权退货。</w:t>
            </w:r>
          </w:p>
          <w:p>
            <w:pPr>
              <w:rPr>
                <w:rFonts w:hint="eastAsia" w:ascii="宋体" w:hAnsi="宋体"/>
                <w:color w:val="auto"/>
                <w:sz w:val="24"/>
                <w:szCs w:val="24"/>
                <w:highlight w:val="none"/>
              </w:rPr>
            </w:pPr>
            <w:r>
              <w:rPr>
                <w:rFonts w:hint="eastAsia" w:ascii="宋体" w:hAnsi="宋体"/>
                <w:color w:val="auto"/>
                <w:sz w:val="24"/>
                <w:szCs w:val="24"/>
                <w:highlight w:val="none"/>
              </w:rPr>
              <w:t>2、投标文件中必须提供投标人针对本项目的服务承诺书，当产品在质保期内出现质量问题时，保证能协助采购方获得生产商的合理赔偿。</w:t>
            </w:r>
          </w:p>
          <w:p>
            <w:pPr>
              <w:rPr>
                <w:rFonts w:hint="eastAsia" w:ascii="宋体" w:hAnsi="宋体"/>
                <w:color w:val="auto"/>
                <w:sz w:val="24"/>
                <w:szCs w:val="24"/>
                <w:highlight w:val="none"/>
              </w:rPr>
            </w:pPr>
            <w:r>
              <w:rPr>
                <w:rFonts w:hint="eastAsia" w:ascii="宋体" w:hAnsi="宋体"/>
                <w:color w:val="auto"/>
                <w:sz w:val="24"/>
                <w:szCs w:val="24"/>
                <w:highlight w:val="none"/>
              </w:rPr>
              <w:t>3、售后技术服务要求：</w:t>
            </w:r>
          </w:p>
          <w:p>
            <w:pPr>
              <w:rPr>
                <w:rFonts w:hint="eastAsia" w:ascii="宋体" w:hAnsi="宋体"/>
                <w:color w:val="auto"/>
                <w:sz w:val="24"/>
                <w:szCs w:val="24"/>
                <w:highlight w:val="none"/>
              </w:rPr>
            </w:pPr>
            <w:r>
              <w:rPr>
                <w:rFonts w:hint="eastAsia" w:ascii="宋体" w:hAnsi="宋体"/>
                <w:color w:val="auto"/>
                <w:sz w:val="24"/>
                <w:szCs w:val="24"/>
                <w:highlight w:val="none"/>
              </w:rPr>
              <w:t>3.1免费送货上门，免费由技术人员现场安装、调试，并免费现场培训2～3名相关人员至掌握设备操作及日常维护。所需工具、器材由中标供应商自理；</w:t>
            </w:r>
          </w:p>
          <w:p>
            <w:pPr>
              <w:rPr>
                <w:rFonts w:hint="eastAsia" w:ascii="宋体" w:hAnsi="宋体"/>
                <w:color w:val="auto"/>
                <w:sz w:val="24"/>
                <w:szCs w:val="24"/>
                <w:highlight w:val="none"/>
              </w:rPr>
            </w:pPr>
            <w:r>
              <w:rPr>
                <w:rFonts w:hint="eastAsia" w:ascii="宋体" w:hAnsi="宋体"/>
                <w:color w:val="auto"/>
                <w:sz w:val="24"/>
                <w:szCs w:val="24"/>
                <w:highlight w:val="none"/>
              </w:rPr>
              <w:t>3.2 供货方将为用户提供终身免费技术咨询服务。</w:t>
            </w:r>
            <w:r>
              <w:rPr>
                <w:rFonts w:hint="eastAsia" w:ascii="宋体" w:hAnsi="宋体"/>
                <w:color w:val="auto"/>
                <w:kern w:val="0"/>
                <w:sz w:val="24"/>
                <w:szCs w:val="24"/>
                <w:highlight w:val="none"/>
              </w:rPr>
              <w:t>。</w:t>
            </w:r>
          </w:p>
          <w:p>
            <w:pPr>
              <w:rPr>
                <w:rFonts w:hint="eastAsia" w:ascii="宋体" w:hAnsi="宋体"/>
                <w:color w:val="auto"/>
                <w:sz w:val="24"/>
                <w:szCs w:val="24"/>
                <w:highlight w:val="none"/>
              </w:rPr>
            </w:pPr>
            <w:r>
              <w:rPr>
                <w:rFonts w:hint="eastAsia" w:ascii="宋体" w:hAnsi="宋体"/>
                <w:color w:val="auto"/>
                <w:sz w:val="24"/>
                <w:szCs w:val="24"/>
                <w:highlight w:val="none"/>
              </w:rPr>
              <w:t>4、质保期：设备安装完毕通过验收投入使用之日起不少于2年。</w:t>
            </w:r>
          </w:p>
          <w:p>
            <w:pPr>
              <w:rPr>
                <w:rFonts w:hint="eastAsia" w:ascii="宋体" w:hAnsi="宋体"/>
                <w:color w:val="auto"/>
                <w:sz w:val="24"/>
                <w:szCs w:val="24"/>
                <w:highlight w:val="none"/>
              </w:rPr>
            </w:pPr>
            <w:r>
              <w:rPr>
                <w:rFonts w:hint="eastAsia" w:ascii="宋体" w:hAnsi="宋体"/>
                <w:color w:val="auto"/>
                <w:sz w:val="24"/>
                <w:szCs w:val="24"/>
                <w:highlight w:val="none"/>
              </w:rPr>
              <w:t>5、中标产品的生产商承诺，在机器使用期间无条件提供系统平台网址、账号、密码，并随设置更改同步告知用户，并提供维修密码和使用及维修资料。</w:t>
            </w:r>
          </w:p>
          <w:p>
            <w:pPr>
              <w:adjustRightInd w:val="0"/>
              <w:snapToGrid w:val="0"/>
              <w:spacing w:line="360" w:lineRule="exact"/>
              <w:jc w:val="left"/>
              <w:rPr>
                <w:rFonts w:hint="eastAsia" w:ascii="宋体" w:hAnsi="宋体"/>
                <w:color w:val="auto"/>
                <w:kern w:val="0"/>
                <w:sz w:val="24"/>
                <w:szCs w:val="24"/>
                <w:highlight w:val="none"/>
              </w:rPr>
            </w:pPr>
            <w:r>
              <w:rPr>
                <w:rFonts w:hint="eastAsia" w:hAnsi="宋体"/>
                <w:color w:val="auto"/>
                <w:sz w:val="24"/>
                <w:szCs w:val="24"/>
                <w:highlight w:val="none"/>
              </w:rPr>
              <w:t>6、售后服务保障或</w:t>
            </w:r>
            <w:r>
              <w:rPr>
                <w:rFonts w:hint="eastAsia" w:ascii="宋体" w:hAnsi="宋体"/>
                <w:color w:val="auto"/>
                <w:sz w:val="24"/>
                <w:szCs w:val="24"/>
                <w:highlight w:val="none"/>
              </w:rPr>
              <w:t>维修响应时间要求</w:t>
            </w:r>
            <w:r>
              <w:rPr>
                <w:rFonts w:hint="eastAsia" w:ascii="宋体" w:hAnsi="宋体"/>
                <w:color w:val="auto"/>
                <w:kern w:val="0"/>
                <w:sz w:val="24"/>
                <w:szCs w:val="24"/>
                <w:highlight w:val="none"/>
              </w:rPr>
              <w:t>：</w:t>
            </w:r>
          </w:p>
          <w:p>
            <w:pPr>
              <w:widowControl/>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6.1质保期以内，设备（含硬件及软件）发生任何非误操作和非人为原因造成的故障和损坏，均由供货方负责免费上门修复，如涉及失效零件更换，该零件应由供方免费提供；</w:t>
            </w:r>
          </w:p>
          <w:p>
            <w:pPr>
              <w:ind w:firstLine="120" w:firstLineChars="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6.2无论质保期以内以外，提供7*24小时电话技术支持或网络在线技术支持；</w:t>
            </w:r>
          </w:p>
          <w:p>
            <w:pPr>
              <w:adjustRightInd w:val="0"/>
              <w:snapToGrid w:val="0"/>
              <w:spacing w:line="360" w:lineRule="exact"/>
              <w:ind w:firstLine="120" w:firstLineChars="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6.3出现故障必须在2小时内做出响应，若电话或网络无法解决问题则24小时到达维修现场。一般问题应在48小时内解决；</w:t>
            </w:r>
          </w:p>
          <w:p>
            <w:pPr>
              <w:pStyle w:val="2"/>
              <w:jc w:val="left"/>
              <w:rPr>
                <w:rFonts w:hint="eastAsia"/>
                <w:color w:val="auto"/>
                <w:highlight w:val="none"/>
              </w:rPr>
            </w:pPr>
            <w:r>
              <w:rPr>
                <w:rFonts w:hint="eastAsia" w:ascii="宋体" w:hAnsi="宋体" w:cs="宋体"/>
                <w:color w:val="auto"/>
                <w:sz w:val="24"/>
                <w:szCs w:val="24"/>
                <w:highlight w:val="none"/>
              </w:rPr>
              <w:t>6.4在保质期满后，供货方应</w:t>
            </w:r>
            <w:r>
              <w:rPr>
                <w:rFonts w:hint="eastAsia" w:hAnsi="宋体" w:cs="Arial"/>
                <w:color w:val="auto"/>
                <w:sz w:val="24"/>
                <w:szCs w:val="24"/>
                <w:highlight w:val="none"/>
              </w:rPr>
              <w:t>保证以不高于产品出产地的一般价格供给采购方。</w:t>
            </w:r>
          </w:p>
          <w:p>
            <w:pPr>
              <w:rPr>
                <w:rFonts w:hint="eastAsia" w:ascii="宋体" w:hAnsi="宋体"/>
                <w:color w:val="auto"/>
                <w:sz w:val="24"/>
                <w:szCs w:val="24"/>
                <w:highlight w:val="none"/>
              </w:rPr>
            </w:pPr>
            <w:r>
              <w:rPr>
                <w:rFonts w:hint="eastAsia" w:ascii="宋体" w:hAnsi="宋体"/>
                <w:color w:val="auto"/>
                <w:sz w:val="24"/>
                <w:szCs w:val="24"/>
                <w:highlight w:val="none"/>
              </w:rPr>
              <w:t>7、交货期：自签订合同后接到进场通知之日起</w:t>
            </w: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天内完成交货、安装、调试、检测至验收合格。竞价人予以特别注意：如出现未能到期供货的情况，采购人有权单方终止合同的执行，所有的经济损失由逾期供货商单方承担。</w:t>
            </w:r>
          </w:p>
          <w:p>
            <w:pPr>
              <w:rPr>
                <w:rFonts w:hint="eastAsia" w:ascii="宋体" w:hAnsi="宋体"/>
                <w:color w:val="auto"/>
                <w:sz w:val="24"/>
                <w:szCs w:val="24"/>
                <w:highlight w:val="none"/>
              </w:rPr>
            </w:pPr>
            <w:r>
              <w:rPr>
                <w:rFonts w:hint="eastAsia" w:ascii="宋体" w:hAnsi="宋体"/>
                <w:color w:val="auto"/>
                <w:sz w:val="24"/>
                <w:szCs w:val="24"/>
                <w:highlight w:val="none"/>
              </w:rPr>
              <w:t>8、交货地点：用户指定地点。</w:t>
            </w:r>
          </w:p>
          <w:p>
            <w:pPr>
              <w:rPr>
                <w:rFonts w:hint="eastAsia" w:ascii="宋体" w:hAnsi="宋体"/>
                <w:color w:val="auto"/>
                <w:sz w:val="24"/>
                <w:szCs w:val="24"/>
                <w:highlight w:val="none"/>
              </w:rPr>
            </w:pPr>
            <w:r>
              <w:rPr>
                <w:rFonts w:hint="eastAsia" w:ascii="宋体" w:hAnsi="宋体"/>
                <w:color w:val="auto"/>
                <w:sz w:val="24"/>
                <w:szCs w:val="24"/>
                <w:highlight w:val="none"/>
              </w:rPr>
              <w:t>9、在保质期满后，供货方应保证以不高于产品出产地的一般价格供给采购方。</w:t>
            </w:r>
          </w:p>
          <w:p>
            <w:pPr>
              <w:rPr>
                <w:rFonts w:hint="eastAsia" w:ascii="宋体" w:hAnsi="宋体"/>
                <w:color w:val="auto"/>
                <w:sz w:val="24"/>
                <w:szCs w:val="24"/>
                <w:highlight w:val="none"/>
              </w:rPr>
            </w:pPr>
            <w:r>
              <w:rPr>
                <w:rFonts w:hint="eastAsia" w:ascii="宋体" w:hAnsi="宋体"/>
                <w:color w:val="auto"/>
                <w:sz w:val="24"/>
                <w:szCs w:val="24"/>
                <w:highlight w:val="none"/>
              </w:rPr>
              <w:t>10、付款方式：签订合同后，货到现场支付合同总金额的30%，安装调试经验收合格后支付合同总金额的30%，验收合格第4个月支付合同总金额的30%，余款10%在质保期满后付清（不计利息）。</w:t>
            </w:r>
          </w:p>
        </w:tc>
      </w:tr>
    </w:tbl>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keepNext w:val="0"/>
        <w:rPr>
          <w:rFonts w:hint="eastAsia" w:ascii="宋体" w:hAnsi="宋体"/>
          <w:color w:val="auto"/>
          <w:sz w:val="24"/>
          <w:szCs w:val="24"/>
          <w:highlight w:val="none"/>
        </w:rPr>
      </w:pPr>
    </w:p>
    <w:p>
      <w:pPr>
        <w:pStyle w:val="3"/>
        <w:jc w:val="both"/>
        <w:rPr>
          <w:rFonts w:hint="eastAsia"/>
          <w:color w:val="auto"/>
          <w:highlight w:val="none"/>
        </w:rPr>
      </w:pPr>
      <w:bookmarkStart w:id="138" w:name="_Toc305850725"/>
    </w:p>
    <w:p>
      <w:pPr>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3"/>
        <w:rPr>
          <w:rFonts w:hint="eastAsia"/>
          <w:color w:val="auto"/>
          <w:highlight w:val="none"/>
        </w:rPr>
      </w:pPr>
      <w:bookmarkStart w:id="139" w:name="_Toc27860"/>
      <w:bookmarkStart w:id="140" w:name="_Toc24915"/>
      <w:r>
        <w:rPr>
          <w:rFonts w:hint="eastAsia"/>
          <w:color w:val="auto"/>
          <w:highlight w:val="none"/>
        </w:rPr>
        <w:t>第四章  政府采购合同（格式）</w:t>
      </w:r>
      <w:bookmarkEnd w:id="138"/>
      <w:bookmarkEnd w:id="139"/>
      <w:bookmarkEnd w:id="140"/>
    </w:p>
    <w:p>
      <w:pPr>
        <w:pStyle w:val="7"/>
        <w:spacing w:line="400" w:lineRule="exact"/>
        <w:jc w:val="left"/>
        <w:rPr>
          <w:rFonts w:hint="eastAsia" w:hAnsi="宋体" w:cs="宋体"/>
          <w:color w:val="auto"/>
          <w:sz w:val="32"/>
          <w:szCs w:val="24"/>
          <w:highlight w:val="none"/>
        </w:rPr>
      </w:pPr>
    </w:p>
    <w:p>
      <w:pPr>
        <w:pStyle w:val="7"/>
        <w:spacing w:line="400" w:lineRule="exact"/>
        <w:jc w:val="left"/>
        <w:rPr>
          <w:rFonts w:hint="eastAsia" w:hAnsi="宋体" w:cs="宋体"/>
          <w:color w:val="auto"/>
          <w:sz w:val="32"/>
          <w:szCs w:val="24"/>
          <w:highlight w:val="none"/>
        </w:rPr>
      </w:pPr>
    </w:p>
    <w:p>
      <w:pPr>
        <w:pStyle w:val="7"/>
        <w:spacing w:line="340" w:lineRule="exact"/>
        <w:rPr>
          <w:rFonts w:hint="eastAsia" w:hAnsi="宋体" w:cs="宋体"/>
          <w:b/>
          <w:color w:val="auto"/>
          <w:szCs w:val="24"/>
          <w:highlight w:val="none"/>
        </w:rPr>
      </w:pPr>
      <w:r>
        <w:rPr>
          <w:rFonts w:hint="eastAsia" w:hAnsi="宋体" w:cs="宋体"/>
          <w:b/>
          <w:color w:val="auto"/>
          <w:szCs w:val="24"/>
          <w:highlight w:val="none"/>
        </w:rPr>
        <w:t>说明：</w:t>
      </w:r>
    </w:p>
    <w:p>
      <w:pPr>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t>1、本合同书仅供签订正式合同时参考用，正式合同书应包括此参考格式之内容。</w:t>
      </w:r>
    </w:p>
    <w:p>
      <w:pPr>
        <w:snapToGrid w:val="0"/>
        <w:rPr>
          <w:rFonts w:hint="eastAsia" w:ascii="宋体" w:hAnsi="宋体" w:cs="宋体"/>
          <w:b/>
          <w:color w:val="auto"/>
          <w:sz w:val="32"/>
          <w:szCs w:val="24"/>
          <w:highlight w:val="none"/>
        </w:rPr>
      </w:pPr>
      <w:r>
        <w:rPr>
          <w:rFonts w:hint="eastAsia" w:ascii="宋体" w:hAnsi="宋体" w:cs="宋体"/>
          <w:b/>
          <w:color w:val="auto"/>
          <w:szCs w:val="24"/>
          <w:highlight w:val="none"/>
        </w:rPr>
        <w:t>2、合同签订双方可根据项目的具体要求进行修订，但合同条款不得与招标文件和中标供应商投标文件有实质性偏离。</w:t>
      </w: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snapToGrid w:val="0"/>
        <w:spacing w:line="400" w:lineRule="exact"/>
        <w:jc w:val="center"/>
        <w:rPr>
          <w:rFonts w:hint="eastAsia" w:ascii="宋体" w:hAnsi="宋体" w:cs="宋体"/>
          <w:b/>
          <w:bCs/>
          <w:color w:val="auto"/>
          <w:sz w:val="32"/>
          <w:szCs w:val="24"/>
          <w:highlight w:val="none"/>
        </w:rPr>
      </w:pPr>
    </w:p>
    <w:p>
      <w:pPr>
        <w:pStyle w:val="17"/>
        <w:rPr>
          <w:rFonts w:hint="eastAsia"/>
          <w:color w:val="auto"/>
          <w:highlight w:val="none"/>
        </w:rPr>
      </w:pPr>
    </w:p>
    <w:p>
      <w:pPr>
        <w:snapToGrid w:val="0"/>
        <w:spacing w:line="400" w:lineRule="exact"/>
        <w:jc w:val="center"/>
        <w:rPr>
          <w:rFonts w:hint="eastAsia" w:ascii="宋体" w:hAnsi="宋体" w:cs="宋体"/>
          <w:b/>
          <w:bCs/>
          <w:color w:val="auto"/>
          <w:sz w:val="32"/>
          <w:szCs w:val="24"/>
          <w:highlight w:val="none"/>
        </w:rPr>
      </w:pPr>
      <w:r>
        <w:rPr>
          <w:rFonts w:hint="eastAsia" w:ascii="宋体" w:hAnsi="宋体" w:cs="宋体"/>
          <w:b/>
          <w:bCs/>
          <w:color w:val="auto"/>
          <w:sz w:val="32"/>
          <w:szCs w:val="24"/>
          <w:highlight w:val="none"/>
        </w:rPr>
        <w:t>《政府采购合同》</w:t>
      </w:r>
    </w:p>
    <w:p>
      <w:pPr>
        <w:snapToGrid w:val="0"/>
        <w:spacing w:line="400" w:lineRule="exact"/>
        <w:ind w:right="480" w:firstLine="5250" w:firstLineChars="2500"/>
        <w:rPr>
          <w:rFonts w:hint="eastAsia" w:ascii="宋体" w:hAnsi="宋体" w:cs="宋体"/>
          <w:bCs/>
          <w:color w:val="auto"/>
          <w:szCs w:val="24"/>
          <w:highlight w:val="none"/>
          <w:u w:val="single"/>
        </w:rPr>
      </w:pPr>
      <w:r>
        <w:rPr>
          <w:rFonts w:hint="eastAsia" w:ascii="宋体" w:hAnsi="宋体" w:cs="宋体"/>
          <w:bCs/>
          <w:color w:val="auto"/>
          <w:szCs w:val="24"/>
          <w:highlight w:val="none"/>
        </w:rPr>
        <w:t>合同编号：</w:t>
      </w:r>
    </w:p>
    <w:p>
      <w:pPr>
        <w:snapToGrid w:val="0"/>
        <w:spacing w:line="360" w:lineRule="exact"/>
        <w:rPr>
          <w:rFonts w:hint="eastAsia" w:ascii="宋体" w:hAnsi="宋体" w:cs="宋体"/>
          <w:color w:val="auto"/>
          <w:szCs w:val="24"/>
          <w:highlight w:val="none"/>
        </w:rPr>
      </w:pPr>
    </w:p>
    <w:p>
      <w:pPr>
        <w:snapToGrid w:val="0"/>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采购单位（甲方）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pacing w:val="-20"/>
          <w:sz w:val="24"/>
          <w:szCs w:val="24"/>
          <w:highlight w:val="none"/>
        </w:rPr>
        <w:t>采 购 计 划 号</w:t>
      </w:r>
      <w:r>
        <w:rPr>
          <w:rFonts w:hint="eastAsia" w:ascii="宋体" w:hAnsi="宋体" w:cs="宋体"/>
          <w:color w:val="auto"/>
          <w:sz w:val="24"/>
          <w:szCs w:val="24"/>
          <w:highlight w:val="none"/>
          <w:u w:val="single"/>
        </w:rPr>
        <w:t xml:space="preserve">             </w:t>
      </w:r>
    </w:p>
    <w:p>
      <w:pPr>
        <w:snapToGrid w:val="0"/>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 应 商（乙方）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pacing w:val="-20"/>
          <w:sz w:val="24"/>
          <w:szCs w:val="24"/>
          <w:highlight w:val="none"/>
        </w:rPr>
        <w:t>招  标  编  号</w:t>
      </w:r>
      <w:r>
        <w:rPr>
          <w:rFonts w:hint="eastAsia" w:ascii="宋体" w:hAnsi="宋体" w:cs="宋体"/>
          <w:color w:val="auto"/>
          <w:sz w:val="24"/>
          <w:szCs w:val="24"/>
          <w:highlight w:val="none"/>
          <w:u w:val="single"/>
        </w:rPr>
        <w:t xml:space="preserve">             </w:t>
      </w:r>
    </w:p>
    <w:p>
      <w:pPr>
        <w:snapToGrid w:val="0"/>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签  订  地  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签 订 时 间</w:t>
      </w:r>
      <w:r>
        <w:rPr>
          <w:rFonts w:hint="eastAsia" w:ascii="宋体" w:hAnsi="宋体" w:cs="宋体"/>
          <w:color w:val="auto"/>
          <w:sz w:val="24"/>
          <w:szCs w:val="24"/>
          <w:highlight w:val="none"/>
          <w:u w:val="single"/>
        </w:rPr>
        <w:t xml:space="preserve">             </w:t>
      </w:r>
    </w:p>
    <w:p>
      <w:pPr>
        <w:snapToGrid w:val="0"/>
        <w:spacing w:line="400" w:lineRule="exact"/>
        <w:ind w:firstLine="480" w:firstLineChars="200"/>
        <w:rPr>
          <w:rFonts w:hint="eastAsia" w:ascii="宋体" w:hAnsi="宋体" w:cs="宋体"/>
          <w:color w:val="auto"/>
          <w:sz w:val="24"/>
          <w:szCs w:val="24"/>
          <w:highlight w:val="none"/>
        </w:rPr>
      </w:pP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根据《中华人民共和国政府采购法》、《中华人民共和国合同法》等法律、法规规定，按照招投标文件（采购文件）规定条款和中标（中标）供应商承诺，甲乙双方签订本合同。</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第一条　合同标的</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1、供货一览表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99"/>
        <w:gridCol w:w="564"/>
        <w:gridCol w:w="451"/>
        <w:gridCol w:w="815"/>
        <w:gridCol w:w="1436"/>
        <w:gridCol w:w="2340"/>
        <w:gridCol w:w="1080"/>
        <w:gridCol w:w="16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643" w:type="dxa"/>
            <w:noWrap w:val="0"/>
            <w:vAlign w:val="center"/>
          </w:tcPr>
          <w:p>
            <w:pPr>
              <w:pStyle w:val="7"/>
              <w:spacing w:line="300" w:lineRule="exact"/>
              <w:jc w:val="center"/>
              <w:rPr>
                <w:rFonts w:hint="eastAsia" w:hAnsi="宋体" w:cs="宋体"/>
                <w:color w:val="auto"/>
                <w:spacing w:val="-20"/>
                <w:szCs w:val="24"/>
                <w:highlight w:val="none"/>
              </w:rPr>
            </w:pPr>
            <w:r>
              <w:rPr>
                <w:rFonts w:hint="eastAsia" w:hAnsi="宋体" w:cs="宋体"/>
                <w:color w:val="auto"/>
                <w:spacing w:val="-20"/>
                <w:szCs w:val="24"/>
                <w:highlight w:val="none"/>
              </w:rPr>
              <w:t>项号</w:t>
            </w:r>
          </w:p>
        </w:tc>
        <w:tc>
          <w:tcPr>
            <w:tcW w:w="699" w:type="dxa"/>
            <w:noWrap w:val="0"/>
            <w:vAlign w:val="center"/>
          </w:tcPr>
          <w:p>
            <w:pPr>
              <w:pStyle w:val="7"/>
              <w:spacing w:line="300" w:lineRule="exact"/>
              <w:jc w:val="center"/>
              <w:rPr>
                <w:rFonts w:hint="eastAsia" w:hAnsi="宋体" w:cs="宋体"/>
                <w:color w:val="auto"/>
                <w:spacing w:val="-20"/>
                <w:szCs w:val="24"/>
                <w:highlight w:val="none"/>
              </w:rPr>
            </w:pPr>
            <w:r>
              <w:rPr>
                <w:rFonts w:hint="eastAsia" w:hAnsi="宋体" w:cs="宋体"/>
                <w:color w:val="auto"/>
                <w:spacing w:val="-20"/>
                <w:szCs w:val="24"/>
                <w:highlight w:val="none"/>
              </w:rPr>
              <w:t>序号</w:t>
            </w:r>
          </w:p>
        </w:tc>
        <w:tc>
          <w:tcPr>
            <w:tcW w:w="1015" w:type="dxa"/>
            <w:gridSpan w:val="2"/>
            <w:noWrap w:val="0"/>
            <w:vAlign w:val="center"/>
          </w:tcPr>
          <w:p>
            <w:pPr>
              <w:spacing w:line="240" w:lineRule="exact"/>
              <w:jc w:val="center"/>
              <w:rPr>
                <w:rFonts w:hint="eastAsia" w:ascii="宋体" w:hAnsi="宋体" w:cs="宋体"/>
                <w:color w:val="auto"/>
                <w:spacing w:val="-20"/>
                <w:szCs w:val="24"/>
                <w:highlight w:val="none"/>
              </w:rPr>
            </w:pPr>
            <w:r>
              <w:rPr>
                <w:rFonts w:hint="eastAsia" w:ascii="宋体" w:hAnsi="宋体" w:cs="宋体"/>
                <w:color w:val="auto"/>
                <w:spacing w:val="-20"/>
                <w:szCs w:val="24"/>
                <w:highlight w:val="none"/>
              </w:rPr>
              <w:t>产品或服务名称</w:t>
            </w:r>
          </w:p>
        </w:tc>
        <w:tc>
          <w:tcPr>
            <w:tcW w:w="815" w:type="dxa"/>
            <w:noWrap w:val="0"/>
            <w:vAlign w:val="center"/>
          </w:tcPr>
          <w:p>
            <w:pPr>
              <w:pStyle w:val="7"/>
              <w:spacing w:line="300" w:lineRule="exact"/>
              <w:jc w:val="center"/>
              <w:rPr>
                <w:rFonts w:hint="eastAsia" w:hAnsi="宋体" w:cs="宋体"/>
                <w:color w:val="auto"/>
                <w:spacing w:val="-20"/>
                <w:szCs w:val="24"/>
                <w:highlight w:val="none"/>
              </w:rPr>
            </w:pPr>
            <w:r>
              <w:rPr>
                <w:rFonts w:hint="eastAsia" w:hAnsi="宋体" w:cs="宋体"/>
                <w:color w:val="auto"/>
                <w:spacing w:val="-20"/>
                <w:szCs w:val="24"/>
                <w:highlight w:val="none"/>
              </w:rPr>
              <w:t>总数量/单位①</w:t>
            </w:r>
          </w:p>
        </w:tc>
        <w:tc>
          <w:tcPr>
            <w:tcW w:w="1436"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规格、型号、配置</w:t>
            </w:r>
          </w:p>
        </w:tc>
        <w:tc>
          <w:tcPr>
            <w:tcW w:w="2340"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产品制造商（生产厂家）</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国别和企业类型</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（大、中、小、微）</w:t>
            </w:r>
          </w:p>
        </w:tc>
        <w:tc>
          <w:tcPr>
            <w:tcW w:w="1080"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单价</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(人民币)</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②</w:t>
            </w:r>
          </w:p>
        </w:tc>
        <w:tc>
          <w:tcPr>
            <w:tcW w:w="1620"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单项合价</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（人民币）</w:t>
            </w:r>
          </w:p>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③＝①×②</w:t>
            </w:r>
          </w:p>
        </w:tc>
        <w:tc>
          <w:tcPr>
            <w:tcW w:w="720"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3"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w:t>
            </w:r>
          </w:p>
        </w:tc>
        <w:tc>
          <w:tcPr>
            <w:tcW w:w="699" w:type="dxa"/>
            <w:noWrap w:val="0"/>
            <w:vAlign w:val="center"/>
          </w:tcPr>
          <w:p>
            <w:pPr>
              <w:pStyle w:val="7"/>
              <w:spacing w:line="300" w:lineRule="exact"/>
              <w:jc w:val="center"/>
              <w:rPr>
                <w:rFonts w:hint="eastAsia" w:hAnsi="宋体" w:cs="宋体"/>
                <w:color w:val="auto"/>
                <w:szCs w:val="24"/>
                <w:highlight w:val="none"/>
              </w:rPr>
            </w:pPr>
          </w:p>
        </w:tc>
        <w:tc>
          <w:tcPr>
            <w:tcW w:w="1015" w:type="dxa"/>
            <w:gridSpan w:val="2"/>
            <w:noWrap w:val="0"/>
            <w:vAlign w:val="bottom"/>
          </w:tcPr>
          <w:p>
            <w:pPr>
              <w:spacing w:line="240" w:lineRule="exact"/>
              <w:jc w:val="center"/>
              <w:rPr>
                <w:rFonts w:hint="eastAsia" w:ascii="宋体" w:hAnsi="宋体" w:cs="宋体"/>
                <w:color w:val="auto"/>
                <w:szCs w:val="24"/>
                <w:highlight w:val="none"/>
              </w:rPr>
            </w:pPr>
          </w:p>
        </w:tc>
        <w:tc>
          <w:tcPr>
            <w:tcW w:w="815" w:type="dxa"/>
            <w:noWrap w:val="0"/>
            <w:vAlign w:val="center"/>
          </w:tcPr>
          <w:p>
            <w:pPr>
              <w:pStyle w:val="7"/>
              <w:spacing w:line="300" w:lineRule="exact"/>
              <w:jc w:val="center"/>
              <w:rPr>
                <w:rFonts w:hint="eastAsia" w:hAnsi="宋体" w:cs="宋体"/>
                <w:color w:val="auto"/>
                <w:szCs w:val="24"/>
                <w:highlight w:val="none"/>
              </w:rPr>
            </w:pPr>
          </w:p>
        </w:tc>
        <w:tc>
          <w:tcPr>
            <w:tcW w:w="1436" w:type="dxa"/>
            <w:noWrap w:val="0"/>
            <w:vAlign w:val="center"/>
          </w:tcPr>
          <w:p>
            <w:pPr>
              <w:pStyle w:val="7"/>
              <w:spacing w:line="300" w:lineRule="exact"/>
              <w:jc w:val="center"/>
              <w:rPr>
                <w:rFonts w:hint="eastAsia" w:hAnsi="宋体" w:cs="宋体"/>
                <w:color w:val="auto"/>
                <w:szCs w:val="24"/>
                <w:highlight w:val="none"/>
              </w:rPr>
            </w:pPr>
          </w:p>
        </w:tc>
        <w:tc>
          <w:tcPr>
            <w:tcW w:w="2340" w:type="dxa"/>
            <w:noWrap w:val="0"/>
            <w:vAlign w:val="center"/>
          </w:tcPr>
          <w:p>
            <w:pPr>
              <w:pStyle w:val="7"/>
              <w:spacing w:line="300" w:lineRule="exact"/>
              <w:jc w:val="center"/>
              <w:rPr>
                <w:rFonts w:hint="eastAsia" w:hAnsi="宋体" w:cs="宋体"/>
                <w:color w:val="auto"/>
                <w:szCs w:val="24"/>
                <w:highlight w:val="none"/>
              </w:rPr>
            </w:pPr>
          </w:p>
        </w:tc>
        <w:tc>
          <w:tcPr>
            <w:tcW w:w="1080" w:type="dxa"/>
            <w:noWrap w:val="0"/>
            <w:vAlign w:val="center"/>
          </w:tcPr>
          <w:p>
            <w:pPr>
              <w:pStyle w:val="7"/>
              <w:spacing w:line="300" w:lineRule="exact"/>
              <w:jc w:val="center"/>
              <w:rPr>
                <w:rFonts w:hint="eastAsia" w:hAnsi="宋体" w:cs="宋体"/>
                <w:color w:val="auto"/>
                <w:szCs w:val="24"/>
                <w:highlight w:val="none"/>
              </w:rPr>
            </w:pPr>
          </w:p>
        </w:tc>
        <w:tc>
          <w:tcPr>
            <w:tcW w:w="1620" w:type="dxa"/>
            <w:noWrap w:val="0"/>
            <w:vAlign w:val="center"/>
          </w:tcPr>
          <w:p>
            <w:pPr>
              <w:pStyle w:val="7"/>
              <w:spacing w:line="300" w:lineRule="exact"/>
              <w:jc w:val="center"/>
              <w:rPr>
                <w:rFonts w:hint="eastAsia" w:hAnsi="宋体" w:cs="宋体"/>
                <w:color w:val="auto"/>
                <w:szCs w:val="24"/>
                <w:highlight w:val="none"/>
              </w:rPr>
            </w:pPr>
          </w:p>
        </w:tc>
        <w:tc>
          <w:tcPr>
            <w:tcW w:w="720" w:type="dxa"/>
            <w:noWrap w:val="0"/>
            <w:vAlign w:val="center"/>
          </w:tcPr>
          <w:p>
            <w:pPr>
              <w:pStyle w:val="7"/>
              <w:spacing w:line="300" w:lineRule="exact"/>
              <w:jc w:val="center"/>
              <w:rPr>
                <w:rFonts w:hint="eastAsia"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3" w:type="dxa"/>
            <w:noWrap w:val="0"/>
            <w:vAlign w:val="center"/>
          </w:tcPr>
          <w:p>
            <w:pPr>
              <w:pStyle w:val="7"/>
              <w:spacing w:line="300" w:lineRule="exact"/>
              <w:jc w:val="center"/>
              <w:rPr>
                <w:rFonts w:hint="eastAsia" w:hAnsi="宋体" w:cs="宋体"/>
                <w:color w:val="auto"/>
                <w:szCs w:val="24"/>
                <w:highlight w:val="none"/>
              </w:rPr>
            </w:pPr>
            <w:r>
              <w:rPr>
                <w:rFonts w:hint="eastAsia" w:hAnsi="宋体" w:cs="宋体"/>
                <w:color w:val="auto"/>
                <w:szCs w:val="24"/>
                <w:highlight w:val="none"/>
              </w:rPr>
              <w:t>N</w:t>
            </w:r>
          </w:p>
        </w:tc>
        <w:tc>
          <w:tcPr>
            <w:tcW w:w="699" w:type="dxa"/>
            <w:noWrap w:val="0"/>
            <w:vAlign w:val="center"/>
          </w:tcPr>
          <w:p>
            <w:pPr>
              <w:pStyle w:val="7"/>
              <w:spacing w:line="300" w:lineRule="exact"/>
              <w:jc w:val="center"/>
              <w:rPr>
                <w:rFonts w:hint="eastAsia" w:hAnsi="宋体" w:cs="宋体"/>
                <w:color w:val="auto"/>
                <w:szCs w:val="24"/>
                <w:highlight w:val="none"/>
              </w:rPr>
            </w:pPr>
          </w:p>
        </w:tc>
        <w:tc>
          <w:tcPr>
            <w:tcW w:w="564" w:type="dxa"/>
            <w:noWrap w:val="0"/>
            <w:vAlign w:val="center"/>
          </w:tcPr>
          <w:p>
            <w:pPr>
              <w:pStyle w:val="7"/>
              <w:spacing w:line="300" w:lineRule="exact"/>
              <w:jc w:val="center"/>
              <w:rPr>
                <w:rFonts w:hint="eastAsia" w:hAnsi="宋体" w:cs="宋体"/>
                <w:color w:val="auto"/>
                <w:szCs w:val="24"/>
                <w:highlight w:val="none"/>
              </w:rPr>
            </w:pPr>
          </w:p>
        </w:tc>
        <w:tc>
          <w:tcPr>
            <w:tcW w:w="1266" w:type="dxa"/>
            <w:gridSpan w:val="2"/>
            <w:noWrap w:val="0"/>
            <w:vAlign w:val="center"/>
          </w:tcPr>
          <w:p>
            <w:pPr>
              <w:pStyle w:val="7"/>
              <w:spacing w:line="300" w:lineRule="exact"/>
              <w:jc w:val="center"/>
              <w:rPr>
                <w:rFonts w:hint="eastAsia" w:hAnsi="宋体" w:cs="宋体"/>
                <w:color w:val="auto"/>
                <w:szCs w:val="24"/>
                <w:highlight w:val="none"/>
              </w:rPr>
            </w:pPr>
          </w:p>
        </w:tc>
        <w:tc>
          <w:tcPr>
            <w:tcW w:w="1436" w:type="dxa"/>
            <w:noWrap w:val="0"/>
            <w:vAlign w:val="center"/>
          </w:tcPr>
          <w:p>
            <w:pPr>
              <w:pStyle w:val="7"/>
              <w:spacing w:line="300" w:lineRule="exact"/>
              <w:jc w:val="center"/>
              <w:rPr>
                <w:rFonts w:hint="eastAsia" w:hAnsi="宋体" w:cs="宋体"/>
                <w:color w:val="auto"/>
                <w:szCs w:val="24"/>
                <w:highlight w:val="none"/>
              </w:rPr>
            </w:pPr>
          </w:p>
        </w:tc>
        <w:tc>
          <w:tcPr>
            <w:tcW w:w="2340" w:type="dxa"/>
            <w:noWrap w:val="0"/>
            <w:vAlign w:val="center"/>
          </w:tcPr>
          <w:p>
            <w:pPr>
              <w:pStyle w:val="7"/>
              <w:spacing w:line="300" w:lineRule="exact"/>
              <w:jc w:val="center"/>
              <w:rPr>
                <w:rFonts w:hint="eastAsia" w:hAnsi="宋体" w:cs="宋体"/>
                <w:color w:val="auto"/>
                <w:szCs w:val="24"/>
                <w:highlight w:val="none"/>
              </w:rPr>
            </w:pPr>
          </w:p>
        </w:tc>
        <w:tc>
          <w:tcPr>
            <w:tcW w:w="1080" w:type="dxa"/>
            <w:noWrap w:val="0"/>
            <w:vAlign w:val="center"/>
          </w:tcPr>
          <w:p>
            <w:pPr>
              <w:pStyle w:val="7"/>
              <w:spacing w:line="300" w:lineRule="exact"/>
              <w:jc w:val="center"/>
              <w:rPr>
                <w:rFonts w:hint="eastAsia" w:hAnsi="宋体" w:cs="宋体"/>
                <w:color w:val="auto"/>
                <w:szCs w:val="24"/>
                <w:highlight w:val="none"/>
              </w:rPr>
            </w:pPr>
          </w:p>
        </w:tc>
        <w:tc>
          <w:tcPr>
            <w:tcW w:w="1620" w:type="dxa"/>
            <w:noWrap w:val="0"/>
            <w:vAlign w:val="center"/>
          </w:tcPr>
          <w:p>
            <w:pPr>
              <w:pStyle w:val="7"/>
              <w:spacing w:line="300" w:lineRule="exact"/>
              <w:jc w:val="center"/>
              <w:rPr>
                <w:rFonts w:hint="eastAsia" w:hAnsi="宋体" w:cs="宋体"/>
                <w:color w:val="auto"/>
                <w:szCs w:val="24"/>
                <w:highlight w:val="none"/>
              </w:rPr>
            </w:pPr>
          </w:p>
        </w:tc>
        <w:tc>
          <w:tcPr>
            <w:tcW w:w="720" w:type="dxa"/>
            <w:noWrap w:val="0"/>
            <w:vAlign w:val="center"/>
          </w:tcPr>
          <w:p>
            <w:pPr>
              <w:pStyle w:val="7"/>
              <w:spacing w:line="300" w:lineRule="exact"/>
              <w:jc w:val="center"/>
              <w:rPr>
                <w:rFonts w:hint="eastAsia"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368" w:type="dxa"/>
            <w:gridSpan w:val="10"/>
            <w:noWrap w:val="0"/>
            <w:vAlign w:val="center"/>
          </w:tcPr>
          <w:p>
            <w:pPr>
              <w:pStyle w:val="7"/>
              <w:spacing w:line="300" w:lineRule="exact"/>
              <w:rPr>
                <w:rFonts w:hint="eastAsia" w:hAnsi="宋体" w:cs="宋体"/>
                <w:color w:val="auto"/>
                <w:spacing w:val="-6"/>
                <w:szCs w:val="24"/>
                <w:highlight w:val="none"/>
              </w:rPr>
            </w:pPr>
            <w:r>
              <w:rPr>
                <w:rFonts w:hint="eastAsia" w:hAnsi="宋体" w:cs="宋体"/>
                <w:color w:val="auto"/>
                <w:spacing w:val="-6"/>
                <w:szCs w:val="24"/>
                <w:highlight w:val="none"/>
              </w:rPr>
              <w:t>投标总报价：</w:t>
            </w:r>
            <w:r>
              <w:rPr>
                <w:rFonts w:hint="eastAsia" w:hAnsi="宋体" w:cs="宋体"/>
                <w:color w:val="auto"/>
                <w:szCs w:val="24"/>
                <w:highlight w:val="none"/>
              </w:rPr>
              <w:t>（人民币：大写）</w:t>
            </w:r>
            <w:r>
              <w:rPr>
                <w:rFonts w:hint="eastAsia" w:hAnsi="宋体" w:cs="宋体"/>
                <w:color w:val="auto"/>
                <w:szCs w:val="24"/>
                <w:highlight w:val="none"/>
                <w:u w:val="single"/>
              </w:rPr>
              <w:t xml:space="preserve">                          </w:t>
            </w:r>
            <w:r>
              <w:rPr>
                <w:rFonts w:hint="eastAsia" w:hAnsi="宋体" w:cs="宋体"/>
                <w:color w:val="auto"/>
                <w:szCs w:val="24"/>
                <w:highlight w:val="none"/>
              </w:rPr>
              <w:t>（</w:t>
            </w:r>
            <w:r>
              <w:rPr>
                <w:rFonts w:hint="eastAsia" w:hAnsi="宋体" w:cs="宋体"/>
                <w:color w:val="auto"/>
                <w:szCs w:val="24"/>
                <w:highlight w:val="none"/>
                <w:u w:val="single"/>
              </w:rPr>
              <w:t xml:space="preserve">￥             </w:t>
            </w:r>
            <w:r>
              <w:rPr>
                <w:rFonts w:hint="eastAsia" w:hAnsi="宋体" w:cs="宋体"/>
                <w:color w:val="auto"/>
                <w:szCs w:val="24"/>
                <w:highlight w:val="none"/>
              </w:rPr>
              <w:t>）</w:t>
            </w:r>
          </w:p>
        </w:tc>
      </w:tr>
    </w:tbl>
    <w:p>
      <w:pPr>
        <w:snapToGrid w:val="0"/>
        <w:spacing w:line="4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合同合计金额包括货物价款，包括其完成本项目的货物（包括项目整体服务的价格；必要的保险费用和各项税金；安装、调试、培训、技术支持、售后服务、更新升级等等费用；项目验收产生的费用。）和所有工作量及其相关配套内容的全套文件（检测文件、项目跟踪文件、项目设备使用解析文件和服务项目成果资料汇编文件等）编制）以及税金等其它所有成本的全部费用。</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第二条　质量保证</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1、乙方所提供的货物型号、技术规格、技术参数等质量必须与招投标文件和承诺相一致。</w:t>
      </w:r>
    </w:p>
    <w:p>
      <w:pPr>
        <w:snapToGrid w:val="0"/>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2、乙方所提供的货物必须是全新、未使用的原装产品，且在正常安装、使用和保养条件下，其使用寿命期内各项指标均达到质量要求。</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第三条　权利保证</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采购人在中华人民共和国境内使用乙方提供的产品及服务时免受第三方提出的侵犯其专利权或其它知识产权的起诉。如果第三方提出侵权指控，乙方应承担由此而引起的一切法律责任和费用。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乙方应按招标文件规定的时间向甲方提供使用货物的有关技术资料。</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乙方保证所交付的货物的所有权完全属于乙方且无任何抵押、质押、查封等产权瑕疵。</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第四条　包装和运输</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1、乙方提供的货物均应按招投标文件要求的包装材料、包装标准、包装方式进行包装，每一包装单元内应附详细的装箱单和质量合格证。</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2、货物的运输方式：</w:t>
      </w:r>
      <w:r>
        <w:rPr>
          <w:rFonts w:hint="eastAsia" w:ascii="宋体" w:hAnsi="宋体" w:cs="宋体"/>
          <w:color w:val="auto"/>
          <w:sz w:val="24"/>
          <w:szCs w:val="24"/>
          <w:highlight w:val="none"/>
          <w:u w:val="single"/>
        </w:rPr>
        <w:t xml:space="preserve"> 不限 。</w:t>
      </w:r>
    </w:p>
    <w:p>
      <w:pPr>
        <w:snapToGrid w:val="0"/>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3、乙方负责货物运输，货物运输合理损耗及计算方法：</w:t>
      </w:r>
      <w:r>
        <w:rPr>
          <w:rFonts w:hint="eastAsia" w:ascii="宋体" w:hAnsi="宋体" w:cs="宋体"/>
          <w:color w:val="auto"/>
          <w:sz w:val="24"/>
          <w:szCs w:val="24"/>
          <w:highlight w:val="none"/>
          <w:u w:val="single"/>
        </w:rPr>
        <w:t xml:space="preserve"> 不接受损耗  。</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第五条　交付和验收</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1、交货期：</w:t>
      </w:r>
      <w:r>
        <w:rPr>
          <w:rFonts w:hint="eastAsia" w:ascii="宋体" w:hAnsi="宋体"/>
          <w:color w:val="auto"/>
          <w:sz w:val="24"/>
          <w:szCs w:val="24"/>
          <w:highlight w:val="none"/>
        </w:rPr>
        <w:t>自签订合同后接到进场通知之日起</w:t>
      </w: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天内完成交货、安装、调试、检测至验收合格。竞价人予以特别注意：如出现未能到期供货的情况，采购人有权单方终止合同的执行，所有的经济损失由逾期供货商单方承担。</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u w:val="single"/>
        </w:rPr>
        <w:t>用户指定地点。</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2、乙方提供不符合招投标文件和本合同规定的货物，甲方有权拒绝接受。</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6、甲方对验收有异议的，在验收后五个工作日内以书面形式向乙方提出，乙方应自收到甲方书面异议后</w:t>
      </w:r>
      <w:r>
        <w:rPr>
          <w:rFonts w:hint="eastAsia" w:ascii="宋体" w:hAnsi="宋体" w:cs="宋体"/>
          <w:color w:val="auto"/>
          <w:sz w:val="24"/>
          <w:szCs w:val="24"/>
          <w:highlight w:val="none"/>
          <w:u w:val="single"/>
        </w:rPr>
        <w:t xml:space="preserve"> 三 </w:t>
      </w:r>
      <w:r>
        <w:rPr>
          <w:rFonts w:hint="eastAsia" w:ascii="宋体" w:hAnsi="宋体" w:cs="宋体"/>
          <w:color w:val="auto"/>
          <w:sz w:val="24"/>
          <w:szCs w:val="24"/>
          <w:highlight w:val="none"/>
        </w:rPr>
        <w:t>日内及时予以解决。</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第六条　安装和培训</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甲方应提供必要安装条件（如场地、电源、水源等）。</w:t>
      </w:r>
    </w:p>
    <w:p>
      <w:pPr>
        <w:snapToGrid w:val="0"/>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 乙方负责甲方有关人员的培训。培训时间、地点：</w:t>
      </w:r>
      <w:r>
        <w:rPr>
          <w:rFonts w:hint="eastAsia" w:ascii="宋体" w:hAnsi="宋体" w:cs="宋体"/>
          <w:color w:val="auto"/>
          <w:sz w:val="24"/>
          <w:szCs w:val="24"/>
          <w:highlight w:val="none"/>
          <w:u w:val="single"/>
        </w:rPr>
        <w:t xml:space="preserve">                    。</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第七条  售后服务、质保期</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乙方应按照国家有关法律法规和“三包”规定以及招投标文件和本合同所附的《服务承诺》，为甲方提供售后服务。</w:t>
      </w:r>
    </w:p>
    <w:p>
      <w:pPr>
        <w:snapToGrid w:val="0"/>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 货物质保期：</w:t>
      </w:r>
      <w:r>
        <w:rPr>
          <w:rFonts w:hint="eastAsia" w:ascii="宋体" w:hAnsi="宋体" w:cs="宋体"/>
          <w:color w:val="auto"/>
          <w:sz w:val="24"/>
          <w:szCs w:val="24"/>
          <w:highlight w:val="none"/>
          <w:u w:val="single"/>
        </w:rPr>
        <w:t xml:space="preserve">       。（按招标文件要求）</w:t>
      </w:r>
    </w:p>
    <w:p>
      <w:pPr>
        <w:snapToGrid w:val="0"/>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 乙方提供的服务承诺和售后服务及保修期责任等其它具体约定事项。（见合同附件）</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第八条　付款方式</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bCs/>
          <w:color w:val="auto"/>
          <w:kern w:val="0"/>
          <w:sz w:val="24"/>
          <w:szCs w:val="24"/>
          <w:highlight w:val="none"/>
        </w:rPr>
        <w:t xml:space="preserve">1. </w:t>
      </w:r>
      <w:r>
        <w:rPr>
          <w:rFonts w:hint="eastAsia" w:ascii="宋体" w:hAnsi="宋体" w:cs="宋体"/>
          <w:color w:val="auto"/>
          <w:kern w:val="0"/>
          <w:sz w:val="24"/>
          <w:szCs w:val="24"/>
          <w:highlight w:val="none"/>
        </w:rPr>
        <w:t>当采购数量与实际使用数量不一致时，乙方应根据实际使用量供货，合同的最终结算金额按实际使用量乘以中标单价进行计算。</w:t>
      </w:r>
    </w:p>
    <w:p>
      <w:pPr>
        <w:snapToGrid w:val="0"/>
        <w:spacing w:line="4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 资金性质：</w:t>
      </w:r>
      <w:r>
        <w:rPr>
          <w:rFonts w:hint="eastAsia" w:ascii="宋体" w:hAnsi="宋体" w:cs="宋体"/>
          <w:color w:val="auto"/>
          <w:kern w:val="0"/>
          <w:sz w:val="24"/>
          <w:szCs w:val="24"/>
          <w:highlight w:val="none"/>
          <w:u w:val="single"/>
        </w:rPr>
        <w:t>自筹资金  。</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 付款方式：</w:t>
      </w:r>
      <w:r>
        <w:rPr>
          <w:rFonts w:ascii="宋体" w:hAnsi="宋体" w:cs="Arial"/>
          <w:color w:val="auto"/>
          <w:sz w:val="24"/>
          <w:szCs w:val="24"/>
          <w:highlight w:val="none"/>
        </w:rPr>
        <w:t>签订合同</w:t>
      </w:r>
      <w:r>
        <w:rPr>
          <w:rFonts w:hint="eastAsia" w:ascii="宋体" w:hAnsi="宋体" w:cs="Arial"/>
          <w:color w:val="auto"/>
          <w:sz w:val="24"/>
          <w:szCs w:val="24"/>
          <w:highlight w:val="none"/>
        </w:rPr>
        <w:t>后，货到现场支付合同总金额的30%，安装调试经验收合格后支付合同总金额的30%，验收合格第4个月支付合同总金额的30%，</w:t>
      </w:r>
      <w:r>
        <w:rPr>
          <w:rFonts w:ascii="宋体" w:hAnsi="宋体" w:cs="Arial"/>
          <w:color w:val="auto"/>
          <w:sz w:val="24"/>
          <w:szCs w:val="24"/>
          <w:highlight w:val="none"/>
        </w:rPr>
        <w:t>余款10%在</w:t>
      </w:r>
      <w:r>
        <w:rPr>
          <w:rFonts w:hint="eastAsia" w:ascii="宋体" w:hAnsi="宋体" w:cs="Arial"/>
          <w:color w:val="auto"/>
          <w:sz w:val="24"/>
          <w:szCs w:val="24"/>
          <w:highlight w:val="none"/>
        </w:rPr>
        <w:t>质保期</w:t>
      </w:r>
      <w:r>
        <w:rPr>
          <w:rFonts w:ascii="宋体" w:hAnsi="宋体" w:cs="Arial"/>
          <w:color w:val="auto"/>
          <w:sz w:val="24"/>
          <w:szCs w:val="24"/>
          <w:highlight w:val="none"/>
        </w:rPr>
        <w:t>满后付清</w:t>
      </w:r>
      <w:r>
        <w:rPr>
          <w:rFonts w:hint="eastAsia" w:ascii="宋体" w:hAnsi="宋体"/>
          <w:color w:val="auto"/>
          <w:kern w:val="0"/>
          <w:sz w:val="24"/>
          <w:szCs w:val="24"/>
          <w:highlight w:val="none"/>
        </w:rPr>
        <w:t>（不计利息）</w:t>
      </w:r>
      <w:r>
        <w:rPr>
          <w:rFonts w:ascii="宋体" w:hAnsi="宋体" w:cs="Arial"/>
          <w:color w:val="auto"/>
          <w:sz w:val="24"/>
          <w:szCs w:val="24"/>
          <w:highlight w:val="none"/>
        </w:rPr>
        <w:t>。</w:t>
      </w:r>
    </w:p>
    <w:p>
      <w:pPr>
        <w:snapToGrid w:val="0"/>
        <w:spacing w:line="400" w:lineRule="exact"/>
        <w:ind w:firstLine="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第九条  税费</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本合同执行中相关的一切税费均由乙方负担。</w:t>
      </w:r>
    </w:p>
    <w:p>
      <w:pPr>
        <w:snapToGrid w:val="0"/>
        <w:spacing w:line="400" w:lineRule="exact"/>
        <w:ind w:firstLine="200"/>
        <w:rPr>
          <w:rFonts w:hint="eastAsia" w:ascii="宋体" w:hAnsi="宋体" w:cs="宋体"/>
          <w:color w:val="auto"/>
          <w:sz w:val="24"/>
          <w:szCs w:val="24"/>
          <w:highlight w:val="none"/>
        </w:rPr>
      </w:pPr>
      <w:r>
        <w:rPr>
          <w:rFonts w:hint="eastAsia" w:ascii="宋体" w:hAnsi="宋体" w:cs="宋体"/>
          <w:b/>
          <w:color w:val="auto"/>
          <w:sz w:val="24"/>
          <w:szCs w:val="24"/>
          <w:highlight w:val="none"/>
        </w:rPr>
        <w:t>第十条  质量保证及售后服务</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乙方应按招标文件规定的货物性能、技术要求、质量标准向甲方提供未经使用的全新产品。不符合要求的，根据实际情况，经双方协商，可按以下办法处理：</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⑴更换：由乙方承担所发生的全部费用。</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⑵贬值处理：由甲乙双方合议定价。</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⑶退货处理：乙方应退还甲方支付的合同款，同时应承担该货物的直接费用（运输、保险、检验、货款利息及银行手续费等）。</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2.如在使用过程中发生质量问题，乙方在接到甲方通知后在</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内到达甲方现场处理。</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3.在质保期内，乙方应对货物出现的质量及安全问题负责处理解决并承担一切费用。</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上述的货物免费保修期按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，因人为因素出现的故障不在免费保修范围内。超过保修期的机器设备，终生维修，维修时只收部件成本费。</w:t>
      </w:r>
    </w:p>
    <w:p>
      <w:pPr>
        <w:snapToGrid w:val="0"/>
        <w:spacing w:line="400" w:lineRule="exact"/>
        <w:ind w:firstLine="200"/>
        <w:rPr>
          <w:rFonts w:hint="eastAsia" w:ascii="宋体" w:hAnsi="宋体" w:cs="宋体"/>
          <w:color w:val="auto"/>
          <w:sz w:val="24"/>
          <w:szCs w:val="24"/>
          <w:highlight w:val="none"/>
        </w:rPr>
      </w:pPr>
      <w:r>
        <w:rPr>
          <w:rFonts w:hint="eastAsia" w:ascii="宋体" w:hAnsi="宋体" w:cs="宋体"/>
          <w:b/>
          <w:color w:val="auto"/>
          <w:sz w:val="24"/>
          <w:szCs w:val="24"/>
          <w:highlight w:val="none"/>
        </w:rPr>
        <w:t>第十一条  调试和验收</w:t>
      </w:r>
    </w:p>
    <w:p>
      <w:pPr>
        <w:snapToGrid w:val="0"/>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 乙方交货前应对产品作出全面检查和对验收文件进行整理，并列出清单，作为甲方收货验收和使用的技术条件依据，检验的结果应随货物交甲方。</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 甲方对乙方提供的货物在使用前进行调试时，乙方需负责安装并培训甲方的使用操作人员，并协助甲方一起调试，直到符合技术要求，甲方才做最终验收。</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对技术复杂的货物，甲方应请国家认可的专业检测机构参与初步验收及最终验收，并由其出具质量检测报告。</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验收时乙方必须在现场，验收完毕后作出验收结果报告；验收费用由乙方负责。</w:t>
      </w:r>
    </w:p>
    <w:p>
      <w:pPr>
        <w:snapToGrid w:val="0"/>
        <w:spacing w:line="400" w:lineRule="exact"/>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第十二条  货物包装、发运及运输</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乙方应在货物发运前对其进行满足运输距离、防潮、防震、防锈和防破损装卸等要求包装，以保证货物安全运达甲方指定地点。</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 使用说明书、质量检验证明书、随配附件和工具以及清单一并附于货物内。</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 乙方在货物发运手续办理完毕后二十四小时内或货到甲方四十八小时前通知甲方，以准备接货。</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货物在交付甲方前发生的风险均由乙方负责。</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 货物在规</w:t>
      </w:r>
      <w:r>
        <w:rPr>
          <w:rFonts w:hint="eastAsia" w:ascii="宋体" w:hAnsi="宋体" w:cs="宋体"/>
          <w:color w:val="auto"/>
          <w:spacing w:val="-8"/>
          <w:kern w:val="0"/>
          <w:sz w:val="24"/>
          <w:szCs w:val="24"/>
          <w:highlight w:val="none"/>
        </w:rPr>
        <w:t>定的交付期限内由乙方送达甲方指定的地点视为交付，乙方同时需通知甲方货物已送达。</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第十三条　违约责任</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                                       </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 乙方提供的货物如侵犯了第三方合法权益而引发的任何纠纷或诉讼，均由乙方负责交涉并承担全部责任。</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 因包装、运输引起的货物损坏，按质量不合格处罚。</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 乙方未按本合同和投标文件中规定的服务承诺提供售后服务的，乙方应按本合同合计金额 5%向甲方支付违约金。</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 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 其它违约行为按违约货款额5%收取违约金并赔偿经济损失。</w:t>
      </w:r>
    </w:p>
    <w:p>
      <w:pPr>
        <w:snapToGrid w:val="0"/>
        <w:spacing w:line="400" w:lineRule="exact"/>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第十四条  不可抗力事件处理</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在合同有效期内，任何一方因不可抗力事件导致不能履行合同，则合同履行期可延长，其延长期与不可抗力影响期相同。</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 不可抗力事件发生后，应立即通知对方，并寄送有关权威机构出具的证明。</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 不可抗力事件延续一百二十天以上，双方应通过友好协商，确定是否继续履行合同。</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第十五条  合同争议解决</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因履行本合同引起的或与本合同有关的争议，甲乙双方应首先通过友好协商解决，如果协商不能解决，可向仲裁委员会申请仲裁或向人民法院提起诉讼。</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诉讼期间，本合同继续履行。</w:t>
      </w:r>
    </w:p>
    <w:p>
      <w:pPr>
        <w:snapToGrid w:val="0"/>
        <w:spacing w:line="400" w:lineRule="exact"/>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第十六条  诉讼</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双方在执行合同中所发生的一切争议，应通过协商解决。如协商不能解决，可向仲裁委员会申请仲裁或向人民法院提起诉讼。</w:t>
      </w:r>
    </w:p>
    <w:p>
      <w:pPr>
        <w:snapToGrid w:val="0"/>
        <w:spacing w:line="400" w:lineRule="exact"/>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第十七条  合同生效及其它</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合同经双方法定代表人或被授权代表签字并加盖单位公章后生效。</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3.本合同未尽事宜，遵照《合同法》有关条文执行。</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第十八条　合同的变更、终止与转让</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除《中华人民共和国政府采购法》第五十条规定的情形外，本合同一经签订，甲乙双方不得擅自变更、中止或终止。</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乙方不得擅自转让（无进口资格的供应商委托进口货物除外）其应履行的合同义务。</w:t>
      </w:r>
    </w:p>
    <w:p>
      <w:pPr>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第十九条　签订本合同依据</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政府采购招标文件；</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乙方提供的采购投标（或应答）文件；</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投标承诺书；</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中标或成交通知书。</w:t>
      </w:r>
    </w:p>
    <w:p>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第二十条　</w:t>
      </w:r>
      <w:r>
        <w:rPr>
          <w:rFonts w:hint="eastAsia" w:ascii="宋体" w:hAnsi="宋体" w:cs="宋体"/>
          <w:color w:val="auto"/>
          <w:sz w:val="24"/>
          <w:szCs w:val="24"/>
          <w:highlight w:val="none"/>
        </w:rPr>
        <w:t>本合同一式七份，具有同等法律效力，采购代理机构、政府采购监督管理处各一份，甲方三份，乙方两份。</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本合同甲乙双方签字盖章后生效。</w:t>
      </w:r>
    </w:p>
    <w:p>
      <w:pPr>
        <w:snapToGrid w:val="0"/>
        <w:spacing w:line="400" w:lineRule="exact"/>
        <w:rPr>
          <w:rFonts w:hint="eastAsia" w:ascii="宋体" w:hAnsi="宋体" w:cs="宋体"/>
          <w:color w:val="auto"/>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甲方（章）           </w:t>
            </w:r>
          </w:p>
          <w:p>
            <w:pPr>
              <w:snapToGrid w:val="0"/>
              <w:spacing w:line="400" w:lineRule="exact"/>
              <w:rPr>
                <w:rFonts w:hint="eastAsia" w:ascii="宋体" w:hAnsi="宋体" w:cs="宋体"/>
                <w:color w:val="auto"/>
                <w:sz w:val="24"/>
                <w:szCs w:val="24"/>
                <w:highlight w:val="none"/>
              </w:rPr>
            </w:pPr>
          </w:p>
          <w:p>
            <w:pPr>
              <w:snapToGrid w:val="0"/>
              <w:spacing w:line="400" w:lineRule="exact"/>
              <w:ind w:firstLine="1080" w:firstLineChars="4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乙方（章）              </w:t>
            </w:r>
          </w:p>
          <w:p>
            <w:pPr>
              <w:snapToGrid w:val="0"/>
              <w:spacing w:line="400" w:lineRule="exact"/>
              <w:rPr>
                <w:rFonts w:hint="eastAsia" w:ascii="宋体" w:hAnsi="宋体" w:cs="宋体"/>
                <w:color w:val="auto"/>
                <w:sz w:val="24"/>
                <w:szCs w:val="24"/>
                <w:highlight w:val="none"/>
              </w:rPr>
            </w:pPr>
          </w:p>
          <w:p>
            <w:pPr>
              <w:snapToGrid w:val="0"/>
              <w:spacing w:line="40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账号：</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517" w:type="dxa"/>
            <w:noWrap w:val="0"/>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r>
    </w:tbl>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bookmarkStart w:id="141" w:name="_Toc305850728"/>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7"/>
        <w:spacing w:line="400" w:lineRule="exact"/>
        <w:rPr>
          <w:rFonts w:hint="eastAsia" w:hAnsi="宋体" w:cs="宋体"/>
          <w:color w:val="auto"/>
          <w:sz w:val="44"/>
          <w:szCs w:val="24"/>
          <w:highlight w:val="none"/>
        </w:rPr>
      </w:pPr>
    </w:p>
    <w:p>
      <w:pPr>
        <w:pStyle w:val="3"/>
        <w:numPr>
          <w:ilvl w:val="0"/>
          <w:numId w:val="3"/>
        </w:numPr>
        <w:rPr>
          <w:rFonts w:hint="eastAsia"/>
          <w:color w:val="auto"/>
          <w:sz w:val="40"/>
          <w:szCs w:val="22"/>
          <w:highlight w:val="none"/>
        </w:rPr>
      </w:pPr>
      <w:r>
        <w:rPr>
          <w:rFonts w:hint="eastAsia"/>
          <w:color w:val="auto"/>
          <w:sz w:val="40"/>
          <w:szCs w:val="22"/>
          <w:highlight w:val="none"/>
        </w:rPr>
        <w:t xml:space="preserve"> </w:t>
      </w:r>
      <w:bookmarkStart w:id="142" w:name="_Toc16926"/>
      <w:r>
        <w:rPr>
          <w:rFonts w:hint="eastAsia"/>
          <w:color w:val="auto"/>
          <w:sz w:val="40"/>
          <w:szCs w:val="22"/>
          <w:highlight w:val="none"/>
        </w:rPr>
        <w:t>投标文件（格式）</w:t>
      </w:r>
      <w:bookmarkEnd w:id="141"/>
      <w:bookmarkEnd w:id="142"/>
    </w:p>
    <w:p>
      <w:pPr>
        <w:rPr>
          <w:rFonts w:hint="eastAsia"/>
          <w:color w:val="auto"/>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jc w:val="center"/>
        <w:rPr>
          <w:rFonts w:hint="eastAsia" w:hAnsi="宋体" w:cs="宋体"/>
          <w:color w:val="auto"/>
          <w:sz w:val="32"/>
          <w:szCs w:val="32"/>
          <w:highlight w:val="none"/>
        </w:rPr>
      </w:pPr>
    </w:p>
    <w:p>
      <w:pPr>
        <w:pStyle w:val="7"/>
        <w:spacing w:line="400" w:lineRule="exact"/>
        <w:rPr>
          <w:rFonts w:hint="eastAsia" w:hAnsi="宋体" w:cs="宋体"/>
          <w:color w:val="auto"/>
          <w:sz w:val="32"/>
          <w:szCs w:val="32"/>
          <w:highlight w:val="none"/>
        </w:rPr>
      </w:pPr>
    </w:p>
    <w:p>
      <w:pPr>
        <w:pStyle w:val="7"/>
        <w:spacing w:line="400" w:lineRule="exact"/>
        <w:rPr>
          <w:rFonts w:hint="eastAsia" w:hAnsi="宋体" w:cs="宋体"/>
          <w:color w:val="auto"/>
          <w:sz w:val="32"/>
          <w:szCs w:val="32"/>
          <w:highlight w:val="none"/>
        </w:rPr>
      </w:pPr>
    </w:p>
    <w:p>
      <w:pPr>
        <w:spacing w:line="400" w:lineRule="exact"/>
        <w:rPr>
          <w:rFonts w:hint="eastAsia" w:ascii="宋体" w:hAnsi="宋体" w:cs="宋体"/>
          <w:b/>
          <w:color w:val="auto"/>
          <w:sz w:val="28"/>
          <w:szCs w:val="24"/>
          <w:highlight w:val="none"/>
        </w:rPr>
      </w:pPr>
      <w:bookmarkStart w:id="143" w:name="_Toc305850729"/>
      <w:r>
        <w:rPr>
          <w:rFonts w:hint="eastAsia" w:ascii="宋体" w:hAnsi="宋体" w:cs="宋体"/>
          <w:b/>
          <w:color w:val="auto"/>
          <w:sz w:val="28"/>
          <w:szCs w:val="24"/>
          <w:highlight w:val="none"/>
        </w:rPr>
        <w:t>封面格式（正本/副本）</w:t>
      </w:r>
    </w:p>
    <w:p>
      <w:pPr>
        <w:spacing w:line="400" w:lineRule="exact"/>
        <w:rPr>
          <w:rFonts w:hint="eastAsia" w:ascii="宋体" w:hAnsi="宋体" w:cs="宋体"/>
          <w:b/>
          <w:color w:val="auto"/>
          <w:sz w:val="32"/>
          <w:szCs w:val="24"/>
          <w:highlight w:val="none"/>
        </w:rPr>
      </w:pPr>
    </w:p>
    <w:p>
      <w:pPr>
        <w:ind w:firstLine="3200" w:firstLineChars="1000"/>
        <w:rPr>
          <w:rFonts w:hint="eastAsia" w:ascii="宋体" w:hAnsi="宋体" w:cs="宋体"/>
          <w:color w:val="auto"/>
          <w:sz w:val="32"/>
          <w:szCs w:val="24"/>
          <w:highlight w:val="none"/>
        </w:rPr>
      </w:pPr>
      <w:r>
        <w:rPr>
          <w:rFonts w:hint="eastAsia" w:ascii="宋体" w:hAnsi="宋体" w:cs="宋体"/>
          <w:color w:val="auto"/>
          <w:sz w:val="32"/>
          <w:szCs w:val="24"/>
          <w:highlight w:val="none"/>
          <w:u w:val="single"/>
        </w:rPr>
        <w:t xml:space="preserve">             </w:t>
      </w:r>
      <w:r>
        <w:rPr>
          <w:rFonts w:hint="eastAsia" w:ascii="宋体" w:hAnsi="宋体" w:cs="宋体"/>
          <w:color w:val="auto"/>
          <w:sz w:val="28"/>
          <w:szCs w:val="24"/>
          <w:highlight w:val="none"/>
        </w:rPr>
        <w:t>（采购项目名称）</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before="331" w:beforeLines="100"/>
        <w:jc w:val="center"/>
        <w:rPr>
          <w:rFonts w:hint="eastAsia" w:ascii="宋体" w:hAnsi="宋体" w:cs="宋体"/>
          <w:color w:val="auto"/>
          <w:sz w:val="52"/>
          <w:szCs w:val="24"/>
          <w:highlight w:val="none"/>
        </w:rPr>
      </w:pPr>
      <w:r>
        <w:rPr>
          <w:rFonts w:hint="eastAsia" w:ascii="宋体" w:hAnsi="宋体" w:cs="宋体"/>
          <w:color w:val="auto"/>
          <w:sz w:val="52"/>
          <w:szCs w:val="24"/>
          <w:highlight w:val="none"/>
        </w:rPr>
        <w:t>投  标  文  件</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360" w:lineRule="auto"/>
        <w:ind w:firstLine="2380" w:firstLineChars="850"/>
        <w:rPr>
          <w:rFonts w:hint="eastAsia" w:ascii="宋体" w:hAnsi="宋体" w:cs="宋体"/>
          <w:color w:val="auto"/>
          <w:sz w:val="28"/>
          <w:szCs w:val="24"/>
          <w:highlight w:val="none"/>
          <w:u w:val="single"/>
        </w:rPr>
      </w:pPr>
      <w:r>
        <w:rPr>
          <w:rFonts w:hint="eastAsia" w:ascii="宋体" w:hAnsi="宋体" w:cs="宋体"/>
          <w:color w:val="auto"/>
          <w:sz w:val="28"/>
          <w:szCs w:val="24"/>
          <w:highlight w:val="none"/>
        </w:rPr>
        <w:t>项目采购编号：</w:t>
      </w:r>
      <w:r>
        <w:rPr>
          <w:rFonts w:hint="eastAsia" w:ascii="宋体" w:hAnsi="宋体" w:cs="宋体"/>
          <w:color w:val="auto"/>
          <w:sz w:val="28"/>
          <w:szCs w:val="24"/>
          <w:highlight w:val="none"/>
          <w:u w:val="single"/>
        </w:rPr>
        <w:t xml:space="preserve">                   </w:t>
      </w:r>
    </w:p>
    <w:p>
      <w:pPr>
        <w:spacing w:line="400" w:lineRule="exact"/>
        <w:rPr>
          <w:rFonts w:hint="eastAsia" w:ascii="宋体" w:hAnsi="宋体" w:cs="宋体"/>
          <w:color w:val="auto"/>
          <w:szCs w:val="24"/>
          <w:highlight w:val="none"/>
          <w:u w:val="single"/>
        </w:rPr>
      </w:pPr>
      <w:r>
        <w:rPr>
          <w:rFonts w:hint="eastAsia" w:ascii="宋体" w:hAnsi="宋体" w:cs="宋体"/>
          <w:color w:val="auto"/>
          <w:szCs w:val="24"/>
          <w:highlight w:val="none"/>
        </w:rPr>
        <w:t xml:space="preserve">              </w:t>
      </w:r>
      <w:r>
        <w:rPr>
          <w:rFonts w:hint="eastAsia" w:ascii="宋体" w:hAnsi="宋体" w:cs="宋体"/>
          <w:color w:val="auto"/>
          <w:sz w:val="28"/>
          <w:szCs w:val="24"/>
          <w:highlight w:val="none"/>
        </w:rPr>
        <w:t xml:space="preserve">       标   段   号：</w:t>
      </w:r>
      <w:r>
        <w:rPr>
          <w:rFonts w:hint="eastAsia" w:ascii="宋体" w:hAnsi="宋体" w:cs="宋体"/>
          <w:color w:val="auto"/>
          <w:sz w:val="28"/>
          <w:szCs w:val="24"/>
          <w:highlight w:val="none"/>
          <w:u w:val="single"/>
        </w:rPr>
        <w:t xml:space="preserve">                 </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360" w:lineRule="auto"/>
        <w:ind w:firstLine="1680" w:firstLineChars="600"/>
        <w:rPr>
          <w:rFonts w:hint="eastAsia" w:ascii="宋体" w:hAnsi="宋体" w:cs="宋体"/>
          <w:color w:val="auto"/>
          <w:sz w:val="28"/>
          <w:szCs w:val="24"/>
          <w:highlight w:val="none"/>
          <w:u w:val="single"/>
        </w:rPr>
      </w:pPr>
      <w:r>
        <w:rPr>
          <w:rFonts w:hint="eastAsia" w:ascii="宋体" w:hAnsi="宋体" w:cs="宋体"/>
          <w:color w:val="auto"/>
          <w:sz w:val="28"/>
          <w:szCs w:val="24"/>
          <w:highlight w:val="none"/>
        </w:rPr>
        <w:t>投标供应商（全称）：</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（加盖单位公章）</w:t>
      </w:r>
    </w:p>
    <w:p>
      <w:pPr>
        <w:spacing w:line="360" w:lineRule="auto"/>
        <w:ind w:firstLine="1680" w:firstLineChars="600"/>
        <w:rPr>
          <w:rFonts w:hint="eastAsia" w:ascii="宋体" w:hAnsi="宋体" w:cs="宋体"/>
          <w:color w:val="auto"/>
          <w:sz w:val="28"/>
          <w:szCs w:val="24"/>
          <w:highlight w:val="none"/>
        </w:rPr>
      </w:pPr>
      <w:r>
        <w:rPr>
          <w:rFonts w:hint="eastAsia" w:ascii="宋体" w:hAnsi="宋体" w:cs="宋体"/>
          <w:color w:val="auto"/>
          <w:sz w:val="28"/>
          <w:szCs w:val="24"/>
          <w:highlight w:val="none"/>
        </w:rPr>
        <w:t>法定代表人或其委托代理人：</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（签字）</w:t>
      </w: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spacing w:line="400" w:lineRule="exact"/>
        <w:rPr>
          <w:rFonts w:hint="eastAsia" w:ascii="宋体" w:hAnsi="宋体" w:cs="宋体"/>
          <w:color w:val="auto"/>
          <w:szCs w:val="24"/>
          <w:highlight w:val="none"/>
        </w:rPr>
      </w:pPr>
    </w:p>
    <w:p>
      <w:pPr>
        <w:jc w:val="right"/>
        <w:rPr>
          <w:rFonts w:hint="eastAsia" w:ascii="宋体" w:hAnsi="宋体" w:cs="宋体"/>
          <w:color w:val="auto"/>
          <w:sz w:val="28"/>
          <w:szCs w:val="24"/>
          <w:highlight w:val="none"/>
        </w:rPr>
      </w:pP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年</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月</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日</w:t>
      </w:r>
    </w:p>
    <w:p>
      <w:pPr>
        <w:pStyle w:val="7"/>
        <w:spacing w:line="400" w:lineRule="exact"/>
        <w:outlineLvl w:val="1"/>
        <w:rPr>
          <w:rFonts w:hint="eastAsia" w:hAnsi="宋体" w:cs="宋体"/>
          <w:color w:val="auto"/>
          <w:szCs w:val="24"/>
          <w:highlight w:val="none"/>
        </w:rPr>
      </w:pPr>
      <w:r>
        <w:rPr>
          <w:rFonts w:hint="eastAsia" w:hAnsi="宋体" w:cs="宋体"/>
          <w:color w:val="auto"/>
          <w:szCs w:val="24"/>
          <w:highlight w:val="none"/>
        </w:rPr>
        <w:br w:type="page"/>
      </w:r>
      <w:bookmarkEnd w:id="143"/>
      <w:bookmarkStart w:id="144" w:name="_Toc305850740"/>
    </w:p>
    <w:p>
      <w:pPr>
        <w:spacing w:line="400" w:lineRule="exact"/>
        <w:jc w:val="center"/>
        <w:rPr>
          <w:rFonts w:hint="eastAsia" w:ascii="宋体" w:hAnsi="宋体" w:cs="宋体"/>
          <w:b/>
          <w:color w:val="auto"/>
          <w:sz w:val="28"/>
          <w:szCs w:val="24"/>
          <w:highlight w:val="none"/>
        </w:rPr>
      </w:pPr>
      <w:r>
        <w:rPr>
          <w:rFonts w:hint="eastAsia" w:ascii="宋体" w:hAnsi="宋体" w:cs="宋体"/>
          <w:b/>
          <w:color w:val="auto"/>
          <w:sz w:val="28"/>
          <w:szCs w:val="24"/>
          <w:highlight w:val="none"/>
        </w:rPr>
        <w:t>目录</w:t>
      </w:r>
    </w:p>
    <w:p>
      <w:pPr>
        <w:spacing w:line="400" w:lineRule="exact"/>
        <w:rPr>
          <w:rFonts w:hint="eastAsia" w:ascii="宋体" w:hAnsi="宋体" w:cs="宋体"/>
          <w:color w:val="auto"/>
          <w:sz w:val="28"/>
          <w:szCs w:val="24"/>
          <w:highlight w:val="none"/>
        </w:rPr>
      </w:pPr>
    </w:p>
    <w:p>
      <w:pPr>
        <w:spacing w:line="400" w:lineRule="exact"/>
        <w:ind w:firstLine="482" w:firstLineChars="200"/>
        <w:rPr>
          <w:rFonts w:hint="eastAsia" w:ascii="宋体" w:hAnsi="宋体" w:cs="宋体"/>
          <w:color w:val="auto"/>
          <w:sz w:val="24"/>
          <w:szCs w:val="24"/>
          <w:highlight w:val="none"/>
        </w:rPr>
      </w:pPr>
      <w:bookmarkStart w:id="145" w:name="_Toc487451044"/>
      <w:bookmarkStart w:id="146" w:name="_Toc487451134"/>
      <w:bookmarkStart w:id="147" w:name="_Toc494129427"/>
      <w:r>
        <w:rPr>
          <w:rFonts w:hint="eastAsia" w:ascii="宋体" w:hAnsi="宋体" w:cs="宋体"/>
          <w:b/>
          <w:bCs/>
          <w:color w:val="auto"/>
          <w:sz w:val="24"/>
          <w:szCs w:val="24"/>
          <w:highlight w:val="none"/>
        </w:rPr>
        <w:t>一、资格资信证明文件</w:t>
      </w:r>
      <w:r>
        <w:rPr>
          <w:rFonts w:hint="eastAsia" w:ascii="宋体" w:hAnsi="宋体" w:cs="宋体"/>
          <w:color w:val="auto"/>
          <w:sz w:val="24"/>
          <w:szCs w:val="24"/>
          <w:highlight w:val="none"/>
        </w:rPr>
        <w:t>（第1～14项必须提供，其中第5项委托代理时必须提供且按要求签字盖章）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1、投标声明书</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2、投标保证金声明原件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3、购买招标文件证明复印件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4、法定代表人身份证明原件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5、法定代表人授权委托书原件（如委托代理人参加投标时）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6、投标人有效的营业执照正本或副本复印件（须清晰反映经营期限和经营范围）</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截止之日前半年内连续三个月的依法缴纳社保费的缴费凭证（格式自拟，复印件，必须提供）；无缴费记录的，应提供由投标人所在地社保部门出具的《依法缴纳或依法免缴社保费证明》（格式自拟，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8、投标截止之日前半年内连续三个月的依法纳税的缴费凭证（格式自拟，复印件，必须提供）；无纳税记录的，应提供由投标人所在地的税务部门出具的《依法纳税或依法免税证明》（格式自拟，复印件）。</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建筑机电安装工程专业承包资质证书（贰级及以上）及安全生产许可证；</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10、投标人必须提供有效的行业主管部门颁发的有效医疗器械经营许可证；</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医用分子筛中心制氧系统设备《医疗器械注册证》；</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特种设备安装改造维修许可证（压力管道，GC2级及以上）；</w:t>
      </w:r>
    </w:p>
    <w:p>
      <w:pPr>
        <w:pStyle w:val="2"/>
        <w:rPr>
          <w:rFonts w:hint="eastAsia"/>
          <w:color w:val="auto"/>
          <w:highlight w:val="none"/>
        </w:rPr>
      </w:pPr>
      <w:r>
        <w:rPr>
          <w:rFonts w:hint="eastAsia" w:ascii="宋体" w:hAnsi="宋体" w:cs="宋体"/>
          <w:color w:val="auto"/>
          <w:sz w:val="24"/>
          <w:szCs w:val="24"/>
          <w:highlight w:val="none"/>
        </w:rPr>
        <w:t xml:space="preserve">    13、投标人必须提供有效</w:t>
      </w:r>
      <w:r>
        <w:rPr>
          <w:rFonts w:hint="eastAsia" w:ascii="宋体" w:hAnsi="宋体" w:cs="宋体"/>
          <w:color w:val="auto"/>
          <w:sz w:val="24"/>
          <w:szCs w:val="24"/>
          <w:highlight w:val="none"/>
          <w:lang w:eastAsia="zh-CN"/>
        </w:rPr>
        <w:t>的投标人或所投标设备生产企业的</w:t>
      </w:r>
      <w:r>
        <w:rPr>
          <w:rFonts w:hint="eastAsia" w:ascii="宋体" w:hAnsi="宋体" w:cs="宋体"/>
          <w:color w:val="auto"/>
          <w:sz w:val="24"/>
          <w:szCs w:val="24"/>
          <w:highlight w:val="none"/>
        </w:rPr>
        <w:t>特种设备制造许可证或特种设备安装改造维修许可证（压力容器）；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14、投标人提供信用记录书面声明；</w:t>
      </w:r>
    </w:p>
    <w:p>
      <w:pPr>
        <w:pStyle w:val="2"/>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15、近年类似项目业绩情况（如有，请提供）；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16、信誉、实力情况（如有，请提供）。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二、报价文件</w:t>
      </w:r>
      <w:r>
        <w:rPr>
          <w:rFonts w:hint="eastAsia" w:ascii="宋体" w:hAnsi="宋体" w:cs="宋体"/>
          <w:color w:val="auto"/>
          <w:sz w:val="24"/>
          <w:szCs w:val="24"/>
          <w:highlight w:val="none"/>
        </w:rPr>
        <w:t>（第1～3项为必须提供）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2、投标函</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3、投标报价明细表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4、投标人符合政府采购政策价格扣除证明材料</w:t>
      </w:r>
      <w:r>
        <w:rPr>
          <w:rFonts w:hint="eastAsia" w:ascii="宋体" w:hAnsi="宋体" w:cs="宋体"/>
          <w:color w:val="auto"/>
          <w:sz w:val="24"/>
          <w:szCs w:val="24"/>
          <w:highlight w:val="none"/>
          <w:u w:val="single"/>
        </w:rPr>
        <w:t>（如有，由投标人根据实际情况真实提供）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三、商务文件</w:t>
      </w:r>
      <w:r>
        <w:rPr>
          <w:rFonts w:hint="eastAsia" w:ascii="宋体" w:hAnsi="宋体" w:cs="宋体"/>
          <w:color w:val="auto"/>
          <w:sz w:val="24"/>
          <w:szCs w:val="24"/>
          <w:highlight w:val="none"/>
        </w:rPr>
        <w:t>（第1～2项为必须提供）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1、商务条款响应表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2、售后服务方案（投标人根据本项目要求及自己的实际情况自行编写）</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3、投标人认为需要提供的其它资料（如有，由投标人根据自己实际情况提供）</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四、技术文件</w:t>
      </w:r>
      <w:r>
        <w:rPr>
          <w:rFonts w:hint="eastAsia" w:ascii="宋体" w:hAnsi="宋体" w:cs="宋体"/>
          <w:color w:val="auto"/>
          <w:sz w:val="24"/>
          <w:szCs w:val="24"/>
          <w:highlight w:val="none"/>
        </w:rPr>
        <w:t>（第1～3项为必须提供，第4项根据采购要求提供）</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1、技术要求响应表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2、技术方案（需</w:t>
      </w:r>
      <w:r>
        <w:rPr>
          <w:rFonts w:hint="eastAsia" w:ascii="宋体" w:hAnsi="宋体"/>
          <w:color w:val="auto"/>
          <w:kern w:val="0"/>
          <w:sz w:val="24"/>
          <w:highlight w:val="none"/>
        </w:rPr>
        <w:t>附上所投产品的“技术参数”产品说明书或仪器彩页，</w:t>
      </w:r>
      <w:r>
        <w:rPr>
          <w:rFonts w:hint="eastAsia" w:ascii="宋体" w:hAnsi="宋体" w:cs="宋体"/>
          <w:color w:val="auto"/>
          <w:sz w:val="24"/>
          <w:szCs w:val="24"/>
          <w:highlight w:val="none"/>
        </w:rPr>
        <w:t>由投标人自行拟写）</w:t>
      </w:r>
    </w:p>
    <w:p>
      <w:pPr>
        <w:pStyle w:val="2"/>
        <w:ind w:firstLine="480" w:firstLineChars="200"/>
        <w:rPr>
          <w:rFonts w:hint="eastAsia"/>
          <w:color w:val="auto"/>
          <w:highlight w:val="none"/>
        </w:rPr>
      </w:pPr>
      <w:r>
        <w:rPr>
          <w:rFonts w:hint="eastAsia" w:ascii="宋体" w:hAnsi="宋体" w:cs="宋体"/>
          <w:color w:val="auto"/>
          <w:sz w:val="24"/>
          <w:szCs w:val="24"/>
          <w:highlight w:val="none"/>
        </w:rPr>
        <w:t>3、售后服务及培训方案</w:t>
      </w:r>
    </w:p>
    <w:p>
      <w:pPr>
        <w:ind w:firstLine="480" w:firstLineChars="200"/>
        <w:rPr>
          <w:color w:val="auto"/>
          <w:highlight w:val="none"/>
        </w:rPr>
      </w:pPr>
      <w:r>
        <w:rPr>
          <w:rFonts w:hint="eastAsia" w:ascii="宋体" w:hAnsi="宋体" w:cs="宋体"/>
          <w:color w:val="auto"/>
          <w:sz w:val="24"/>
          <w:szCs w:val="24"/>
          <w:highlight w:val="none"/>
        </w:rPr>
        <w:t>4、投标人认为需要提供的其它资料（如有，由投标人根据自己实际情况提供）</w:t>
      </w:r>
    </w:p>
    <w:p>
      <w:pPr>
        <w:spacing w:line="400" w:lineRule="exact"/>
        <w:ind w:firstLine="480" w:firstLineChars="200"/>
        <w:rPr>
          <w:rFonts w:hint="eastAsia" w:ascii="宋体" w:hAnsi="宋体" w:cs="宋体"/>
          <w:color w:val="auto"/>
          <w:sz w:val="24"/>
          <w:szCs w:val="24"/>
          <w:highlight w:val="none"/>
        </w:rPr>
      </w:pPr>
    </w:p>
    <w:p>
      <w:pPr>
        <w:pStyle w:val="7"/>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备注：</w:t>
      </w:r>
      <w:bookmarkEnd w:id="145"/>
      <w:bookmarkEnd w:id="146"/>
      <w:bookmarkEnd w:id="147"/>
      <w:bookmarkStart w:id="148" w:name="_Toc487451135"/>
      <w:bookmarkStart w:id="149" w:name="_Toc494129428"/>
      <w:bookmarkStart w:id="150" w:name="_Toc487451045"/>
      <w:r>
        <w:rPr>
          <w:rFonts w:hint="eastAsia" w:hAnsi="宋体" w:cs="宋体"/>
          <w:b/>
          <w:bCs/>
          <w:color w:val="auto"/>
          <w:sz w:val="24"/>
          <w:szCs w:val="24"/>
          <w:highlight w:val="none"/>
        </w:rPr>
        <w:t>投标供应商须使用采购文件第五章中所提供的投标文件格式填写，表格如不够用时，投标供应商可按同样格式展开。无格式的自行设计编制</w:t>
      </w:r>
      <w:r>
        <w:rPr>
          <w:rFonts w:hint="eastAsia" w:hAnsi="宋体" w:cs="宋体"/>
          <w:color w:val="auto"/>
          <w:sz w:val="24"/>
          <w:szCs w:val="24"/>
          <w:highlight w:val="none"/>
        </w:rPr>
        <w:t>。</w:t>
      </w:r>
      <w:bookmarkEnd w:id="148"/>
      <w:bookmarkEnd w:id="149"/>
      <w:bookmarkEnd w:id="150"/>
    </w:p>
    <w:p>
      <w:pPr>
        <w:pStyle w:val="7"/>
        <w:spacing w:line="400" w:lineRule="exact"/>
        <w:rPr>
          <w:rFonts w:hint="eastAsia" w:hAnsi="宋体" w:cs="宋体"/>
          <w:b/>
          <w:color w:val="auto"/>
          <w:sz w:val="28"/>
          <w:szCs w:val="24"/>
          <w:highlight w:val="none"/>
        </w:rPr>
      </w:pPr>
    </w:p>
    <w:p>
      <w:pPr>
        <w:pStyle w:val="7"/>
        <w:spacing w:line="400" w:lineRule="exact"/>
        <w:outlineLvl w:val="1"/>
        <w:rPr>
          <w:rFonts w:hint="eastAsia" w:hAnsi="宋体" w:cs="宋体"/>
          <w:color w:val="auto"/>
          <w:szCs w:val="24"/>
          <w:highlight w:val="none"/>
        </w:rPr>
      </w:pPr>
    </w:p>
    <w:bookmarkEnd w:id="144"/>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pStyle w:val="7"/>
        <w:spacing w:line="400" w:lineRule="exact"/>
        <w:rPr>
          <w:rFonts w:hint="eastAsia" w:hAnsi="宋体" w:cs="宋体"/>
          <w:b/>
          <w:color w:val="auto"/>
          <w:sz w:val="28"/>
          <w:szCs w:val="24"/>
          <w:highlight w:val="none"/>
        </w:rPr>
      </w:pPr>
    </w:p>
    <w:p>
      <w:pPr>
        <w:spacing w:line="400" w:lineRule="exact"/>
        <w:rPr>
          <w:rFonts w:hint="eastAsia" w:ascii="宋体" w:hAnsi="宋体" w:cs="宋体"/>
          <w:b/>
          <w:color w:val="auto"/>
          <w:sz w:val="32"/>
          <w:szCs w:val="24"/>
          <w:highlight w:val="none"/>
        </w:rPr>
      </w:pPr>
    </w:p>
    <w:p>
      <w:pPr>
        <w:spacing w:line="400" w:lineRule="exact"/>
        <w:rPr>
          <w:rFonts w:hint="eastAsia" w:ascii="宋体" w:hAnsi="宋体" w:cs="宋体"/>
          <w:b/>
          <w:color w:val="auto"/>
          <w:sz w:val="32"/>
          <w:szCs w:val="24"/>
          <w:highlight w:val="none"/>
        </w:rPr>
      </w:pPr>
    </w:p>
    <w:p>
      <w:pPr>
        <w:spacing w:line="400" w:lineRule="exact"/>
        <w:rPr>
          <w:rFonts w:hint="eastAsia" w:ascii="宋体" w:hAnsi="宋体" w:cs="宋体"/>
          <w:b/>
          <w:color w:val="auto"/>
          <w:sz w:val="32"/>
          <w:szCs w:val="24"/>
          <w:highlight w:val="none"/>
        </w:rPr>
      </w:pPr>
    </w:p>
    <w:p>
      <w:pPr>
        <w:pStyle w:val="3"/>
        <w:rPr>
          <w:rFonts w:hint="eastAsia"/>
          <w:color w:val="auto"/>
          <w:highlight w:val="none"/>
        </w:rPr>
      </w:pPr>
      <w:bookmarkStart w:id="151" w:name="_Toc4618"/>
      <w:bookmarkStart w:id="152" w:name="_Toc21565"/>
      <w:r>
        <w:rPr>
          <w:rFonts w:hint="eastAsia"/>
          <w:color w:val="auto"/>
          <w:highlight w:val="none"/>
        </w:rPr>
        <w:t>第六章  评标方法和评标标准</w:t>
      </w:r>
      <w:bookmarkEnd w:id="151"/>
      <w:bookmarkEnd w:id="152"/>
    </w:p>
    <w:p>
      <w:pPr>
        <w:spacing w:line="180" w:lineRule="exact"/>
        <w:rPr>
          <w:rFonts w:hint="eastAsia" w:ascii="宋体" w:hAnsi="宋体" w:cs="宋体"/>
          <w:color w:val="auto"/>
          <w:sz w:val="20"/>
          <w:szCs w:val="24"/>
          <w:highlight w:val="none"/>
        </w:rPr>
      </w:pPr>
    </w:p>
    <w:p>
      <w:pPr>
        <w:ind w:left="420"/>
        <w:rPr>
          <w:rFonts w:hint="eastAsia" w:ascii="宋体" w:hAnsi="宋体" w:cs="宋体"/>
          <w:color w:val="auto"/>
          <w:sz w:val="28"/>
          <w:szCs w:val="28"/>
          <w:highlight w:val="none"/>
        </w:rPr>
      </w:pPr>
      <w:r>
        <w:rPr>
          <w:rFonts w:hint="eastAsia" w:ascii="宋体" w:hAnsi="宋体" w:cs="宋体"/>
          <w:b/>
          <w:bCs/>
          <w:color w:val="auto"/>
          <w:sz w:val="28"/>
          <w:szCs w:val="28"/>
          <w:highlight w:val="none"/>
        </w:rPr>
        <w:t>一、评标方法及程序</w:t>
      </w:r>
    </w:p>
    <w:p>
      <w:pPr>
        <w:spacing w:line="196" w:lineRule="exact"/>
        <w:rPr>
          <w:rFonts w:hint="eastAsia" w:ascii="宋体" w:hAnsi="宋体" w:cs="宋体"/>
          <w:color w:val="auto"/>
          <w:sz w:val="20"/>
          <w:szCs w:val="24"/>
          <w:highlight w:val="none"/>
        </w:rPr>
      </w:pPr>
    </w:p>
    <w:p>
      <w:pPr>
        <w:spacing w:line="2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（一）评标方法</w:t>
      </w:r>
    </w:p>
    <w:p>
      <w:pPr>
        <w:spacing w:line="244" w:lineRule="exact"/>
        <w:rPr>
          <w:rFonts w:hint="eastAsia" w:ascii="宋体" w:hAnsi="宋体" w:cs="宋体"/>
          <w:color w:val="auto"/>
          <w:sz w:val="20"/>
          <w:szCs w:val="24"/>
          <w:highlight w:val="none"/>
        </w:rPr>
      </w:pPr>
    </w:p>
    <w:p>
      <w:pPr>
        <w:spacing w:line="261" w:lineRule="exact"/>
        <w:ind w:right="140" w:firstLine="421"/>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本项目采用综合评分法进行评标。综合评分法，是指投标文件满足招标文件全部实质性要求且按照评标因素的量化指标评标得分最高的投标人为中标候选人的评标方法。</w:t>
      </w:r>
    </w:p>
    <w:p>
      <w:pPr>
        <w:spacing w:line="197" w:lineRule="exact"/>
        <w:rPr>
          <w:rFonts w:hint="eastAsia" w:ascii="宋体" w:hAnsi="宋体" w:cs="宋体"/>
          <w:color w:val="auto"/>
          <w:sz w:val="20"/>
          <w:szCs w:val="24"/>
          <w:highlight w:val="none"/>
        </w:rPr>
      </w:pPr>
    </w:p>
    <w:p>
      <w:pPr>
        <w:spacing w:line="2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（二）评标程序</w:t>
      </w:r>
    </w:p>
    <w:p>
      <w:pPr>
        <w:spacing w:line="233" w:lineRule="exact"/>
        <w:rPr>
          <w:rFonts w:hint="eastAsia" w:ascii="宋体" w:hAnsi="宋体" w:cs="宋体"/>
          <w:color w:val="auto"/>
          <w:sz w:val="20"/>
          <w:szCs w:val="24"/>
          <w:highlight w:val="none"/>
        </w:rPr>
      </w:pPr>
    </w:p>
    <w:p>
      <w:pPr>
        <w:numPr>
          <w:ilvl w:val="0"/>
          <w:numId w:val="4"/>
        </w:numPr>
        <w:spacing w:line="283" w:lineRule="exact"/>
        <w:ind w:right="120" w:firstLine="421"/>
        <w:rPr>
          <w:rFonts w:hint="eastAsia" w:ascii="宋体" w:hAnsi="宋体" w:cs="宋体"/>
          <w:color w:val="auto"/>
          <w:sz w:val="24"/>
          <w:szCs w:val="24"/>
          <w:highlight w:val="none"/>
        </w:rPr>
      </w:pPr>
      <w:r>
        <w:rPr>
          <w:rFonts w:hint="eastAsia" w:ascii="宋体" w:hAnsi="宋体" w:cs="宋体"/>
          <w:color w:val="auto"/>
          <w:sz w:val="24"/>
          <w:szCs w:val="24"/>
          <w:highlight w:val="none"/>
        </w:rPr>
        <w:t>初步评审项中缺少任何一项或有任何一项不合格者其初步审查视为不合格，初步评审不合格的投标供应商不再进入详细评审。已在前两个标段推荐为第一中标候选人的投标人不进行下一个标段的资格评审</w:t>
      </w:r>
    </w:p>
    <w:tbl>
      <w:tblPr>
        <w:tblStyle w:val="12"/>
        <w:tblpPr w:leftFromText="180" w:rightFromText="180" w:vertAnchor="text" w:horzAnchor="page" w:tblpX="834"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088"/>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noWrap w:val="0"/>
            <w:vAlign w:val="center"/>
          </w:tcPr>
          <w:p>
            <w:pPr>
              <w:autoSpaceDE w:val="0"/>
              <w:autoSpaceDN w:val="0"/>
              <w:adjustRightInd w:val="0"/>
              <w:spacing w:line="3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条款名称</w:t>
            </w:r>
          </w:p>
        </w:tc>
        <w:tc>
          <w:tcPr>
            <w:tcW w:w="2088" w:type="dxa"/>
            <w:noWrap w:val="0"/>
            <w:vAlign w:val="center"/>
          </w:tcPr>
          <w:p>
            <w:pPr>
              <w:autoSpaceDE w:val="0"/>
              <w:autoSpaceDN w:val="0"/>
              <w:adjustRightInd w:val="0"/>
              <w:spacing w:line="3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6770" w:type="dxa"/>
            <w:noWrap w:val="0"/>
            <w:vAlign w:val="center"/>
          </w:tcPr>
          <w:p>
            <w:pPr>
              <w:autoSpaceDE w:val="0"/>
              <w:autoSpaceDN w:val="0"/>
              <w:adjustRightInd w:val="0"/>
              <w:spacing w:line="3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59" w:type="dxa"/>
            <w:vMerge w:val="restart"/>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w:t>
            </w:r>
          </w:p>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评审标准</w:t>
            </w:r>
          </w:p>
          <w:p>
            <w:pPr>
              <w:autoSpaceDE w:val="0"/>
              <w:autoSpaceDN w:val="0"/>
              <w:adjustRightInd w:val="0"/>
              <w:spacing w:line="300" w:lineRule="exact"/>
              <w:rPr>
                <w:rFonts w:hint="eastAsia" w:ascii="宋体" w:hAnsi="宋体" w:cs="宋体"/>
                <w:color w:val="auto"/>
                <w:kern w:val="0"/>
                <w:sz w:val="24"/>
                <w:szCs w:val="24"/>
                <w:highlight w:val="none"/>
              </w:rPr>
            </w:pPr>
          </w:p>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由</w:t>
            </w:r>
            <w:r>
              <w:rPr>
                <w:rFonts w:hint="eastAsia" w:ascii="宋体" w:hAnsi="宋体" w:cs="宋体"/>
                <w:color w:val="auto"/>
                <w:kern w:val="0"/>
                <w:sz w:val="24"/>
                <w:szCs w:val="24"/>
                <w:highlight w:val="none"/>
                <w:lang w:eastAsia="zh-CN"/>
              </w:rPr>
              <w:t>招标</w:t>
            </w:r>
            <w:r>
              <w:rPr>
                <w:rFonts w:hint="eastAsia" w:ascii="宋体" w:hAnsi="宋体" w:cs="宋体"/>
                <w:color w:val="auto"/>
                <w:kern w:val="0"/>
                <w:sz w:val="24"/>
                <w:szCs w:val="24"/>
                <w:highlight w:val="none"/>
              </w:rPr>
              <w:t>人代表进行审查，审查结果报评标委员会复核。</w:t>
            </w:r>
          </w:p>
        </w:tc>
        <w:tc>
          <w:tcPr>
            <w:tcW w:w="2088"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资质要求</w:t>
            </w:r>
          </w:p>
        </w:tc>
        <w:tc>
          <w:tcPr>
            <w:tcW w:w="6770" w:type="dxa"/>
            <w:noWrap w:val="0"/>
            <w:vAlign w:val="center"/>
          </w:tcPr>
          <w:p>
            <w:pPr>
              <w:pStyle w:val="4"/>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投标人或所投标设备生产企业需</w:t>
            </w:r>
            <w:r>
              <w:rPr>
                <w:rFonts w:hint="eastAsia" w:ascii="宋体" w:hAnsi="宋体" w:cs="宋体"/>
                <w:color w:val="auto"/>
                <w:sz w:val="24"/>
                <w:szCs w:val="24"/>
                <w:highlight w:val="none"/>
              </w:rPr>
              <w:t>具备机电设备安装专业承包贰级及以上资质；</w:t>
            </w:r>
          </w:p>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（2）投标人或所投标设备生产企业需具备中华人民共和国特种设备安装改造维修许可证（压力管道GC2级及以上）；</w:t>
            </w:r>
          </w:p>
          <w:p>
            <w:pPr>
              <w:pStyle w:val="17"/>
              <w:spacing w:line="400" w:lineRule="exact"/>
              <w:rPr>
                <w:rFonts w:hint="eastAsia" w:hAnsi="宋体" w:cs="宋体"/>
                <w:color w:val="auto"/>
                <w:szCs w:val="24"/>
                <w:highlight w:val="none"/>
              </w:rPr>
            </w:pPr>
            <w:r>
              <w:rPr>
                <w:rFonts w:hint="eastAsia" w:hAnsi="宋体" w:cs="宋体"/>
                <w:color w:val="auto"/>
                <w:szCs w:val="24"/>
                <w:highlight w:val="none"/>
              </w:rPr>
              <w:t>（3）投标人或所投标设备生产企业具备中华人民共和国特种设备安装改造维修许可证（压力容器）；</w:t>
            </w:r>
          </w:p>
          <w:p>
            <w:pPr>
              <w:pStyle w:val="17"/>
              <w:spacing w:line="400" w:lineRule="exact"/>
              <w:rPr>
                <w:rFonts w:hint="eastAsia" w:hAnsi="宋体" w:cs="宋体"/>
                <w:color w:val="auto"/>
                <w:szCs w:val="24"/>
                <w:highlight w:val="none"/>
              </w:rPr>
            </w:pPr>
            <w:r>
              <w:rPr>
                <w:rFonts w:hint="eastAsia" w:hAnsi="宋体" w:cs="宋体"/>
                <w:color w:val="auto"/>
                <w:szCs w:val="24"/>
                <w:highlight w:val="none"/>
              </w:rPr>
              <w:t>（4）投标人或所投标设备生产企业需具备医用分子筛中心制氧系统设备《医疗器械注册证》；</w:t>
            </w:r>
          </w:p>
          <w:p>
            <w:pPr>
              <w:pStyle w:val="6"/>
              <w:spacing w:line="300" w:lineRule="exact"/>
              <w:ind w:firstLine="0"/>
              <w:rPr>
                <w:rFonts w:hint="eastAsia" w:hAnsi="宋体" w:cs="宋体"/>
                <w:color w:val="auto"/>
                <w:sz w:val="24"/>
                <w:szCs w:val="24"/>
                <w:highlight w:val="none"/>
              </w:rPr>
            </w:pPr>
            <w:r>
              <w:rPr>
                <w:rFonts w:hint="eastAsia" w:hAnsi="宋体" w:cs="宋体"/>
                <w:color w:val="auto"/>
                <w:sz w:val="24"/>
                <w:szCs w:val="24"/>
                <w:highlight w:val="none"/>
              </w:rPr>
              <w:t>（5）投标人具备行业主管部门颁发的有效医疗器械经营许可证。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59" w:type="dxa"/>
            <w:vMerge w:val="continue"/>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诚信要求</w:t>
            </w:r>
          </w:p>
        </w:tc>
        <w:tc>
          <w:tcPr>
            <w:tcW w:w="6770" w:type="dxa"/>
            <w:noWrap w:val="0"/>
            <w:vAlign w:val="center"/>
          </w:tcPr>
          <w:p>
            <w:pPr>
              <w:spacing w:line="30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未被列入失信被执行人、重大税收违法案件当事人名单、政府采购严重违法失信行为记录名单及其他不符合《中华人民共和国政府采购法》第二十二条规定条件的供应商，可在“信用中国”网站（www.creditchina.gov.cn）以及“中国政府采购网”（www.ccgp.gov.cn）查询相关供应商主体信用记录（由代理机构现场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continue"/>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770"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符合第二章“投标供应商须知”前附表“投标保证金”相关规定。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continue"/>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联合体情况</w:t>
            </w:r>
          </w:p>
        </w:tc>
        <w:tc>
          <w:tcPr>
            <w:tcW w:w="6770"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continue"/>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c>
          <w:tcPr>
            <w:tcW w:w="6770" w:type="dxa"/>
            <w:noWrap w:val="0"/>
            <w:vAlign w:val="center"/>
          </w:tcPr>
          <w:p>
            <w:p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符合《中华人民共和国政府采购法》第二十二条规定,国内注册（指按国家有关规定要求注册的），经营范围具有从事本次采购服务资格的供应商。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restart"/>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p>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符合性</w:t>
            </w:r>
          </w:p>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评审标准</w:t>
            </w:r>
          </w:p>
        </w:tc>
        <w:tc>
          <w:tcPr>
            <w:tcW w:w="2088" w:type="dxa"/>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投标供应商名称</w:t>
            </w:r>
          </w:p>
        </w:tc>
        <w:tc>
          <w:tcPr>
            <w:tcW w:w="6770" w:type="dxa"/>
            <w:noWrap w:val="0"/>
            <w:vAlign w:val="center"/>
          </w:tcPr>
          <w:p>
            <w:pPr>
              <w:autoSpaceDE w:val="0"/>
              <w:autoSpaceDN w:val="0"/>
              <w:adjustRightInd w:val="0"/>
              <w:spacing w:line="3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与</w:t>
            </w:r>
            <w:r>
              <w:rPr>
                <w:rFonts w:hint="eastAsia" w:ascii="宋体" w:hAnsi="宋体" w:cs="宋体"/>
                <w:color w:val="auto"/>
                <w:sz w:val="24"/>
                <w:szCs w:val="24"/>
                <w:highlight w:val="none"/>
              </w:rPr>
              <w:t>《企业营业执照》或《事业单位法人证书》</w:t>
            </w:r>
            <w:r>
              <w:rPr>
                <w:rFonts w:hint="eastAsia" w:ascii="宋体" w:hAnsi="宋体" w:cs="宋体"/>
                <w:color w:val="auto"/>
                <w:kern w:val="0"/>
                <w:sz w:val="24"/>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continue"/>
            <w:noWrap w:val="0"/>
            <w:vAlign w:val="top"/>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投标文件签字盖章</w:t>
            </w:r>
          </w:p>
        </w:tc>
        <w:tc>
          <w:tcPr>
            <w:tcW w:w="6770" w:type="dxa"/>
            <w:noWrap w:val="0"/>
            <w:vAlign w:val="center"/>
          </w:tcPr>
          <w:p>
            <w:pPr>
              <w:numPr>
                <w:ilvl w:val="0"/>
                <w:numId w:val="5"/>
              </w:numPr>
              <w:spacing w:line="3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正本须按招标文件要求加盖投标供应商单位公章，法定代表人或其授权代理人须在指定签字处签字（法定代表人签字或加盖印鉴，委托代理人必须签字）。副本可使用已在指定位置签字盖章的正本的复印件（封面除外）。</w:t>
            </w:r>
          </w:p>
          <w:p>
            <w:pPr>
              <w:autoSpaceDE w:val="0"/>
              <w:autoSpaceDN w:val="0"/>
              <w:adjustRightInd w:val="0"/>
              <w:spacing w:line="300" w:lineRule="exac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如有修改的修改处须由法定代表人或其授权委托代理人签字证明并加盖单位公章。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9" w:type="dxa"/>
            <w:vMerge w:val="continue"/>
            <w:noWrap w:val="0"/>
            <w:vAlign w:val="top"/>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w:t>
            </w:r>
          </w:p>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组成、装订及格式</w:t>
            </w:r>
          </w:p>
        </w:tc>
        <w:tc>
          <w:tcPr>
            <w:tcW w:w="6770" w:type="dxa"/>
            <w:noWrap w:val="0"/>
            <w:vAlign w:val="center"/>
          </w:tcPr>
          <w:p>
            <w:pPr>
              <w:autoSpaceDE w:val="0"/>
              <w:autoSpaceDN w:val="0"/>
              <w:adjustRightInd w:val="0"/>
              <w:spacing w:line="3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符合第二章“</w:t>
            </w:r>
            <w:r>
              <w:rPr>
                <w:rFonts w:hint="eastAsia" w:ascii="宋体" w:hAnsi="宋体" w:cs="宋体"/>
                <w:color w:val="auto"/>
                <w:sz w:val="24"/>
                <w:szCs w:val="24"/>
                <w:highlight w:val="none"/>
              </w:rPr>
              <w:t>投标供应商须知前附表</w:t>
            </w:r>
            <w:r>
              <w:rPr>
                <w:rFonts w:hint="eastAsia" w:ascii="宋体" w:hAnsi="宋体" w:cs="宋体"/>
                <w:color w:val="auto"/>
                <w:kern w:val="0"/>
                <w:sz w:val="24"/>
                <w:szCs w:val="24"/>
                <w:highlight w:val="none"/>
              </w:rPr>
              <w:t>”和第五章“投标文件格式”</w:t>
            </w:r>
            <w:r>
              <w:rPr>
                <w:rFonts w:hint="eastAsia" w:ascii="宋体" w:hAnsi="宋体" w:cs="宋体"/>
                <w:color w:val="auto"/>
                <w:sz w:val="24"/>
                <w:szCs w:val="24"/>
                <w:highlight w:val="none"/>
              </w:rPr>
              <w:t xml:space="preserve"> 相关规定</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9" w:type="dxa"/>
            <w:vMerge w:val="continue"/>
            <w:noWrap w:val="0"/>
            <w:vAlign w:val="top"/>
          </w:tcPr>
          <w:p>
            <w:pPr>
              <w:autoSpaceDE w:val="0"/>
              <w:autoSpaceDN w:val="0"/>
              <w:adjustRightInd w:val="0"/>
              <w:spacing w:line="300" w:lineRule="exact"/>
              <w:jc w:val="center"/>
              <w:rPr>
                <w:rFonts w:hint="eastAsia" w:ascii="宋体" w:hAnsi="宋体" w:cs="宋体"/>
                <w:color w:val="auto"/>
                <w:kern w:val="0"/>
                <w:sz w:val="24"/>
                <w:szCs w:val="24"/>
                <w:highlight w:val="none"/>
              </w:rPr>
            </w:pPr>
          </w:p>
        </w:tc>
        <w:tc>
          <w:tcPr>
            <w:tcW w:w="2088" w:type="dxa"/>
            <w:noWrap w:val="0"/>
            <w:vAlign w:val="center"/>
          </w:tcPr>
          <w:p>
            <w:pPr>
              <w:autoSpaceDE w:val="0"/>
              <w:autoSpaceDN w:val="0"/>
              <w:adjustRightInd w:val="0"/>
              <w:spacing w:line="3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投标内容</w:t>
            </w:r>
          </w:p>
        </w:tc>
        <w:tc>
          <w:tcPr>
            <w:tcW w:w="6770" w:type="dxa"/>
            <w:tcBorders>
              <w:bottom w:val="single" w:color="auto" w:sz="4" w:space="0"/>
            </w:tcBorders>
            <w:noWrap w:val="0"/>
            <w:vAlign w:val="center"/>
          </w:tcPr>
          <w:p>
            <w:pPr>
              <w:autoSpaceDE w:val="0"/>
              <w:autoSpaceDN w:val="0"/>
              <w:adjustRightInd w:val="0"/>
              <w:spacing w:line="3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符合第二章“</w:t>
            </w:r>
            <w:r>
              <w:rPr>
                <w:rFonts w:hint="eastAsia" w:ascii="宋体" w:hAnsi="宋体" w:cs="宋体"/>
                <w:color w:val="auto"/>
                <w:sz w:val="24"/>
                <w:szCs w:val="24"/>
                <w:highlight w:val="none"/>
              </w:rPr>
              <w:t>投标供应商须知前附表</w:t>
            </w:r>
            <w:r>
              <w:rPr>
                <w:rFonts w:hint="eastAsia" w:ascii="宋体" w:hAnsi="宋体" w:cs="宋体"/>
                <w:color w:val="auto"/>
                <w:kern w:val="0"/>
                <w:sz w:val="24"/>
                <w:szCs w:val="24"/>
                <w:highlight w:val="none"/>
              </w:rPr>
              <w:t>”、第三章“项目需求和说明”相关规定。</w:t>
            </w:r>
          </w:p>
        </w:tc>
      </w:tr>
    </w:tbl>
    <w:p>
      <w:pPr>
        <w:numPr>
          <w:ilvl w:val="0"/>
          <w:numId w:val="6"/>
        </w:numPr>
        <w:snapToGrid w:val="0"/>
        <w:spacing w:line="400" w:lineRule="exact"/>
        <w:ind w:firstLine="480" w:firstLineChars="200"/>
        <w:jc w:val="left"/>
        <w:rPr>
          <w:rFonts w:hint="eastAsia" w:ascii="宋体" w:hAnsi="宋体" w:cs="宋体"/>
          <w:bCs/>
          <w:color w:val="auto"/>
          <w:sz w:val="24"/>
          <w:szCs w:val="24"/>
          <w:highlight w:val="none"/>
        </w:rPr>
      </w:pPr>
      <w:bookmarkStart w:id="153" w:name="_Toc32591"/>
      <w:bookmarkStart w:id="154" w:name="_Toc517168564"/>
      <w:r>
        <w:rPr>
          <w:rFonts w:hint="eastAsia" w:ascii="宋体" w:hAnsi="宋体" w:cs="宋体"/>
          <w:bCs/>
          <w:color w:val="auto"/>
          <w:sz w:val="24"/>
          <w:szCs w:val="24"/>
          <w:highlight w:val="none"/>
        </w:rPr>
        <w:t>详细评审标准</w:t>
      </w:r>
    </w:p>
    <w:p>
      <w:pPr>
        <w:snapToGrid w:val="0"/>
        <w:spacing w:line="400" w:lineRule="exact"/>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对进入详评的，采用百分制综合评分法。计分办法（按四舍五入取至百分位）</w:t>
      </w:r>
      <w:r>
        <w:rPr>
          <w:rFonts w:hint="eastAsia" w:ascii="宋体" w:hAnsi="宋体" w:cs="宋体"/>
          <w:b/>
          <w:color w:val="auto"/>
          <w:szCs w:val="21"/>
          <w:highlight w:val="none"/>
        </w:rPr>
        <w:t>：</w:t>
      </w:r>
    </w:p>
    <w:p>
      <w:pPr>
        <w:pStyle w:val="7"/>
        <w:spacing w:line="400" w:lineRule="exact"/>
        <w:ind w:firstLine="422" w:firstLineChars="200"/>
        <w:rPr>
          <w:rFonts w:hint="eastAsia" w:hAnsi="宋体" w:cs="宋体"/>
          <w:b/>
          <w:color w:val="auto"/>
          <w:szCs w:val="21"/>
          <w:highlight w:val="none"/>
        </w:rPr>
      </w:pPr>
      <w:r>
        <w:rPr>
          <w:rFonts w:hint="eastAsia" w:hAnsi="宋体" w:cs="宋体"/>
          <w:b/>
          <w:color w:val="auto"/>
          <w:szCs w:val="21"/>
          <w:highlight w:val="none"/>
        </w:rPr>
        <w:t>1.投标报价分………………………………………………………………………………………30分</w:t>
      </w:r>
    </w:p>
    <w:p>
      <w:pPr>
        <w:pStyle w:val="7"/>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w:t>
      </w:r>
      <w:r>
        <w:rPr>
          <w:rFonts w:hint="eastAsia" w:hAnsi="宋体" w:cs="宋体"/>
          <w:bCs/>
          <w:color w:val="auto"/>
          <w:szCs w:val="21"/>
          <w:highlight w:val="none"/>
        </w:rPr>
        <w:t>参与投标的小型、微型企业，其</w:t>
      </w:r>
      <w:r>
        <w:rPr>
          <w:rFonts w:hint="eastAsia" w:hAnsi="宋体" w:cs="宋体"/>
          <w:color w:val="auto"/>
          <w:szCs w:val="21"/>
          <w:highlight w:val="none"/>
        </w:rPr>
        <w:t>投标产品均为小型或微型企业产品的</w:t>
      </w:r>
      <w:r>
        <w:rPr>
          <w:rFonts w:hint="eastAsia" w:hAnsi="宋体" w:cs="宋体"/>
          <w:bCs/>
          <w:color w:val="auto"/>
          <w:szCs w:val="21"/>
          <w:highlight w:val="none"/>
        </w:rPr>
        <w:t>（投标人必须按规定提供《中小企业声明函》，或者监狱企业证明文件，或者《残疾人福利性单位声明函》）</w:t>
      </w:r>
      <w:r>
        <w:rPr>
          <w:rFonts w:hint="eastAsia" w:hAnsi="宋体" w:cs="宋体"/>
          <w:color w:val="auto"/>
          <w:szCs w:val="21"/>
          <w:highlight w:val="none"/>
        </w:rPr>
        <w:t>，对投标人的投标价给予9%的扣除，扣除后的价格为评标价，即评标价=投标价×（1-9%）；否则，评标价=投标价。</w:t>
      </w:r>
    </w:p>
    <w:p>
      <w:pPr>
        <w:pStyle w:val="6"/>
        <w:spacing w:line="400" w:lineRule="exact"/>
        <w:ind w:firstLine="404" w:firstLineChars="200"/>
        <w:rPr>
          <w:rFonts w:hint="eastAsia" w:hAnsi="宋体" w:cs="宋体"/>
          <w:bCs/>
          <w:color w:val="auto"/>
          <w:sz w:val="21"/>
          <w:szCs w:val="21"/>
          <w:highlight w:val="none"/>
        </w:rPr>
      </w:pPr>
      <w:r>
        <w:rPr>
          <w:rFonts w:hint="eastAsia" w:hAnsi="宋体" w:cs="宋体"/>
          <w:bCs/>
          <w:color w:val="auto"/>
          <w:sz w:val="21"/>
          <w:szCs w:val="21"/>
          <w:highlight w:val="none"/>
        </w:rPr>
        <w:t>注：小型、微型企业提供大、中型企业制造的货物的，视同为非小微企业。</w:t>
      </w:r>
    </w:p>
    <w:p>
      <w:pPr>
        <w:pStyle w:val="7"/>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（2）以进入评标的最低的评标价为30分。</w:t>
      </w:r>
    </w:p>
    <w:p>
      <w:pPr>
        <w:pStyle w:val="7"/>
        <w:spacing w:line="400" w:lineRule="exact"/>
        <w:ind w:firstLine="420" w:firstLineChars="200"/>
        <w:rPr>
          <w:rFonts w:hint="eastAsia" w:hAnsi="宋体" w:cs="宋体"/>
          <w:color w:val="auto"/>
          <w:szCs w:val="21"/>
          <w:highlight w:val="none"/>
        </w:rPr>
      </w:pPr>
      <w:r>
        <w:rPr>
          <w:rFonts w:hint="eastAsia" w:hAnsi="宋体" w:cs="宋体"/>
          <w:bCs/>
          <w:color w:val="auto"/>
          <w:szCs w:val="21"/>
          <w:highlight w:val="none"/>
        </w:rPr>
        <w:t>某投标人价格分 = 投标人最低评标价（金额）/某投标人评标价（金额） ×30分</w:t>
      </w:r>
    </w:p>
    <w:p>
      <w:pPr>
        <w:pStyle w:val="6"/>
        <w:spacing w:line="264" w:lineRule="auto"/>
        <w:ind w:left="894" w:leftChars="372" w:hanging="113" w:hangingChars="56"/>
        <w:rPr>
          <w:rFonts w:hAnsi="宋体"/>
          <w:color w:val="auto"/>
          <w:sz w:val="21"/>
          <w:highlight w:val="none"/>
        </w:rPr>
      </w:pPr>
    </w:p>
    <w:p>
      <w:pPr>
        <w:pStyle w:val="6"/>
        <w:spacing w:line="264" w:lineRule="auto"/>
        <w:ind w:left="878" w:leftChars="172" w:hanging="517" w:hangingChars="256"/>
        <w:rPr>
          <w:rFonts w:hAnsi="宋体"/>
          <w:color w:val="auto"/>
          <w:sz w:val="21"/>
          <w:highlight w:val="none"/>
        </w:rPr>
      </w:pPr>
      <w:r>
        <w:rPr>
          <w:rFonts w:hint="eastAsia" w:hAnsi="宋体"/>
          <w:color w:val="auto"/>
          <w:sz w:val="21"/>
          <w:highlight w:val="none"/>
        </w:rPr>
        <w:t xml:space="preserve">                   　    某投标人投标报价金额</w:t>
      </w:r>
    </w:p>
    <w:p>
      <w:pPr>
        <w:adjustRightInd w:val="0"/>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rPr>
        <w:t>2、技术响应评审标准</w:t>
      </w:r>
      <w:r>
        <w:rPr>
          <w:rFonts w:hint="eastAsia" w:hAnsi="宋体"/>
          <w:b/>
          <w:bCs/>
          <w:color w:val="auto"/>
          <w:szCs w:val="21"/>
          <w:highlight w:val="none"/>
        </w:rPr>
        <w:t>……………………………………………………………………………</w:t>
      </w:r>
      <w:r>
        <w:rPr>
          <w:rFonts w:hint="eastAsia" w:ascii="宋体" w:hAnsi="宋体"/>
          <w:b/>
          <w:bCs/>
          <w:color w:val="auto"/>
          <w:szCs w:val="21"/>
          <w:highlight w:val="none"/>
        </w:rPr>
        <w:t>（60分）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533"/>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评审内容</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 w:leftChars="-35" w:right="-141" w:rightChars="-67" w:hanging="75" w:hangingChars="36"/>
              <w:jc w:val="center"/>
              <w:rPr>
                <w:rFonts w:hint="eastAsia" w:ascii="宋体" w:hAnsi="宋体" w:cs="宋体"/>
                <w:color w:val="auto"/>
                <w:szCs w:val="21"/>
                <w:highlight w:val="none"/>
              </w:rPr>
            </w:pPr>
            <w:r>
              <w:rPr>
                <w:rFonts w:hint="eastAsia" w:ascii="宋体" w:hAnsi="宋体" w:cs="宋体"/>
                <w:color w:val="auto"/>
                <w:szCs w:val="21"/>
                <w:highlight w:val="none"/>
                <w:lang w:bidi="ar"/>
              </w:rPr>
              <w:t>分值</w:t>
            </w: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技术参数</w:t>
            </w:r>
          </w:p>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符合性、优越性</w:t>
            </w:r>
          </w:p>
        </w:tc>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（40分）</w:t>
            </w: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Courier New"/>
                <w:bCs/>
                <w:color w:val="auto"/>
                <w:szCs w:val="22"/>
                <w:highlight w:val="none"/>
              </w:rPr>
              <w:t>符合性：评委会根据投标文件中设备清单及技术参数响应表及要求提供的证明材料，完全响应招标文件要求的，得35分。带“▲”号技术参数及要求每负偏离一项，视为未实质性响应招标文件，带“</w:t>
            </w:r>
            <w:r>
              <w:rPr>
                <w:rFonts w:hint="eastAsia" w:ascii="宋体" w:hAnsi="宋体" w:cs="宋体"/>
                <w:color w:val="auto"/>
                <w:kern w:val="0"/>
                <w:highlight w:val="none"/>
              </w:rPr>
              <w:t>★</w:t>
            </w:r>
            <w:r>
              <w:rPr>
                <w:rFonts w:hint="eastAsia" w:ascii="宋体" w:hAnsi="Courier New"/>
                <w:bCs/>
                <w:color w:val="auto"/>
                <w:szCs w:val="22"/>
                <w:highlight w:val="none"/>
              </w:rPr>
              <w:t>”号技术参数及要求每负偏离一项，扣10分，其它技术参数及要求每负偏离一项，扣3分，扣完为止。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p>
        </w:tc>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Courier New"/>
                <w:bCs/>
                <w:color w:val="auto"/>
                <w:szCs w:val="22"/>
                <w:highlight w:val="none"/>
              </w:rPr>
              <w:t>优越性：投标制氧设备为低能耗产品的，产氧能耗小于等于0.85KW/NM</w:t>
            </w:r>
            <w:r>
              <w:rPr>
                <w:rFonts w:hint="eastAsia" w:ascii="宋体" w:hAnsi="Courier New"/>
                <w:bCs/>
                <w:color w:val="auto"/>
                <w:szCs w:val="22"/>
                <w:highlight w:val="none"/>
                <w:vertAlign w:val="superscript"/>
              </w:rPr>
              <w:t>3</w:t>
            </w:r>
            <w:r>
              <w:rPr>
                <w:rFonts w:hint="eastAsia" w:ascii="宋体" w:hAnsi="Courier New"/>
                <w:bCs/>
                <w:color w:val="auto"/>
                <w:szCs w:val="22"/>
                <w:highlight w:val="none"/>
              </w:rPr>
              <w:t>（提供第三方检测机构出具的检测报告）的得5分，没有的计0分。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施工方案评价</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w:t>
            </w:r>
            <w:r>
              <w:rPr>
                <w:rFonts w:hint="eastAsia" w:ascii="宋体" w:hAnsi="Courier New"/>
                <w:bCs/>
                <w:color w:val="auto"/>
                <w:szCs w:val="22"/>
                <w:highlight w:val="none"/>
                <w:lang w:val="en-US" w:eastAsia="zh-CN"/>
              </w:rPr>
              <w:t>5</w:t>
            </w:r>
            <w:r>
              <w:rPr>
                <w:rFonts w:hint="eastAsia" w:ascii="宋体" w:hAnsi="Courier New"/>
                <w:bCs/>
                <w:color w:val="auto"/>
                <w:szCs w:val="22"/>
                <w:highlight w:val="none"/>
              </w:rPr>
              <w:t>分）</w:t>
            </w: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Courier New"/>
                <w:bCs/>
                <w:color w:val="auto"/>
                <w:szCs w:val="22"/>
                <w:highlight w:val="none"/>
              </w:rPr>
            </w:pPr>
            <w:r>
              <w:rPr>
                <w:rFonts w:hint="eastAsia" w:ascii="宋体" w:hAnsi="Courier New"/>
                <w:bCs/>
                <w:color w:val="auto"/>
                <w:szCs w:val="22"/>
                <w:highlight w:val="none"/>
              </w:rPr>
              <w:t>整体实施方案、进度计划、保证措施、安全措施、文明施工、劳动力安排、材料机具使用等方案优良的计</w:t>
            </w:r>
            <w:r>
              <w:rPr>
                <w:rFonts w:hint="eastAsia" w:ascii="宋体" w:hAnsi="Courier New"/>
                <w:bCs/>
                <w:color w:val="auto"/>
                <w:szCs w:val="22"/>
                <w:highlight w:val="none"/>
                <w:lang w:val="en-US" w:eastAsia="zh-CN"/>
              </w:rPr>
              <w:t>5</w:t>
            </w:r>
            <w:r>
              <w:rPr>
                <w:rFonts w:hint="eastAsia" w:ascii="宋体" w:hAnsi="Courier New"/>
                <w:bCs/>
                <w:color w:val="auto"/>
                <w:szCs w:val="22"/>
                <w:highlight w:val="none"/>
              </w:rPr>
              <w:t>-</w:t>
            </w:r>
            <w:r>
              <w:rPr>
                <w:rFonts w:hint="eastAsia" w:ascii="宋体" w:hAnsi="Courier New"/>
                <w:bCs/>
                <w:color w:val="auto"/>
                <w:szCs w:val="22"/>
                <w:highlight w:val="none"/>
                <w:lang w:val="en-US" w:eastAsia="zh-CN"/>
              </w:rPr>
              <w:t>2</w:t>
            </w:r>
            <w:r>
              <w:rPr>
                <w:rFonts w:hint="eastAsia" w:ascii="宋体" w:hAnsi="Courier New"/>
                <w:bCs/>
                <w:color w:val="auto"/>
                <w:szCs w:val="22"/>
                <w:highlight w:val="none"/>
              </w:rPr>
              <w:t>分，一般的和差的计</w:t>
            </w:r>
            <w:r>
              <w:rPr>
                <w:rFonts w:hint="eastAsia" w:ascii="宋体" w:hAnsi="Courier New"/>
                <w:bCs/>
                <w:color w:val="auto"/>
                <w:szCs w:val="22"/>
                <w:highlight w:val="none"/>
                <w:lang w:val="en-US" w:eastAsia="zh-CN"/>
              </w:rPr>
              <w:t>2</w:t>
            </w:r>
            <w:r>
              <w:rPr>
                <w:rFonts w:hint="eastAsia" w:ascii="宋体" w:hAnsi="Courier New"/>
                <w:bCs/>
                <w:color w:val="auto"/>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9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售后服务</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售后服务及</w:t>
            </w:r>
          </w:p>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培训方案</w:t>
            </w:r>
          </w:p>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w:t>
            </w:r>
            <w:r>
              <w:rPr>
                <w:rFonts w:hint="eastAsia" w:ascii="宋体" w:hAnsi="Courier New"/>
                <w:bCs/>
                <w:color w:val="auto"/>
                <w:szCs w:val="22"/>
                <w:highlight w:val="none"/>
                <w:lang w:val="en-US" w:eastAsia="zh-CN"/>
              </w:rPr>
              <w:t>1</w:t>
            </w:r>
            <w:r>
              <w:rPr>
                <w:rFonts w:hint="eastAsia" w:ascii="宋体" w:hAnsi="Courier New"/>
                <w:bCs/>
                <w:color w:val="auto"/>
                <w:szCs w:val="22"/>
                <w:highlight w:val="none"/>
              </w:rPr>
              <w:t>3分)</w:t>
            </w: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rPr>
            </w:pPr>
            <w:r>
              <w:rPr>
                <w:rFonts w:hint="eastAsia"/>
                <w:color w:val="auto"/>
                <w:highlight w:val="none"/>
              </w:rPr>
              <w:t>一档（</w:t>
            </w:r>
            <w:r>
              <w:rPr>
                <w:rFonts w:hint="eastAsia"/>
                <w:color w:val="auto"/>
                <w:highlight w:val="none"/>
                <w:lang w:val="en-US" w:eastAsia="zh-CN"/>
              </w:rPr>
              <w:t>4</w:t>
            </w:r>
            <w:r>
              <w:rPr>
                <w:rFonts w:hint="eastAsia"/>
                <w:color w:val="auto"/>
                <w:highlight w:val="none"/>
              </w:rPr>
              <w:t>分）：一般；售后服务方案简单，售后服务体系一般，售后服务力量薄弱，培训方案简单，培训方式单一。</w:t>
            </w:r>
          </w:p>
          <w:p>
            <w:pPr>
              <w:spacing w:line="360" w:lineRule="auto"/>
              <w:rPr>
                <w:rFonts w:hint="eastAsia"/>
                <w:color w:val="auto"/>
                <w:highlight w:val="none"/>
              </w:rPr>
            </w:pPr>
            <w:r>
              <w:rPr>
                <w:rFonts w:hint="eastAsia"/>
                <w:color w:val="auto"/>
                <w:highlight w:val="none"/>
              </w:rPr>
              <w:t>二档（</w:t>
            </w:r>
            <w:r>
              <w:rPr>
                <w:rFonts w:hint="eastAsia"/>
                <w:color w:val="auto"/>
                <w:highlight w:val="none"/>
                <w:lang w:val="en-US" w:eastAsia="zh-CN"/>
              </w:rPr>
              <w:t>8</w:t>
            </w:r>
            <w:r>
              <w:rPr>
                <w:rFonts w:hint="eastAsia"/>
                <w:color w:val="auto"/>
                <w:highlight w:val="none"/>
              </w:rPr>
              <w:t>分）：良好；售后服务方案详细具体，售后服务体系完善，售后服务力量较强，培训方案具体详细，培训方式多样。</w:t>
            </w:r>
          </w:p>
          <w:p>
            <w:pPr>
              <w:spacing w:line="360" w:lineRule="auto"/>
              <w:rPr>
                <w:rFonts w:hint="eastAsia"/>
                <w:color w:val="auto"/>
                <w:highlight w:val="none"/>
              </w:rPr>
            </w:pPr>
            <w:r>
              <w:rPr>
                <w:rFonts w:hint="eastAsia"/>
                <w:color w:val="auto"/>
                <w:highlight w:val="none"/>
              </w:rPr>
              <w:t>三档（</w:t>
            </w:r>
            <w:r>
              <w:rPr>
                <w:rFonts w:hint="eastAsia"/>
                <w:color w:val="auto"/>
                <w:highlight w:val="none"/>
                <w:lang w:val="en-US" w:eastAsia="zh-CN"/>
              </w:rPr>
              <w:t>1</w:t>
            </w:r>
            <w:r>
              <w:rPr>
                <w:rFonts w:hint="eastAsia"/>
                <w:color w:val="auto"/>
                <w:highlight w:val="none"/>
              </w:rPr>
              <w:t>3分）：优秀；售后服务方案非常详细具体，售后服务体系健全完善，售后服务力量很强，培训方案非常具体详细，具有现场培训及到厂家培训等多种培训措施。</w:t>
            </w: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售后服务支持</w:t>
            </w:r>
          </w:p>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（2分）</w:t>
            </w:r>
          </w:p>
        </w:tc>
        <w:tc>
          <w:tcPr>
            <w:tcW w:w="6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Courier New"/>
                <w:bCs/>
                <w:color w:val="auto"/>
                <w:szCs w:val="22"/>
                <w:highlight w:val="none"/>
              </w:rPr>
            </w:pPr>
            <w:r>
              <w:rPr>
                <w:rFonts w:hint="eastAsia" w:ascii="宋体" w:hAnsi="Courier New"/>
                <w:bCs/>
                <w:color w:val="auto"/>
                <w:szCs w:val="22"/>
                <w:highlight w:val="none"/>
              </w:rPr>
              <w:t>投标人拥有7×24销售免费售后服务电话（800、9510或400）的有一个计1分，最高的2分，没有的计0分。</w:t>
            </w:r>
          </w:p>
        </w:tc>
      </w:tr>
    </w:tbl>
    <w:p>
      <w:pPr>
        <w:tabs>
          <w:tab w:val="left" w:pos="0"/>
        </w:tabs>
        <w:spacing w:line="360" w:lineRule="auto"/>
        <w:rPr>
          <w:rFonts w:hint="eastAsia" w:ascii="宋体" w:hAnsi="宋体" w:cs="宋体"/>
          <w:color w:val="auto"/>
          <w:szCs w:val="21"/>
          <w:highlight w:val="none"/>
          <w:lang w:bidi="ar"/>
        </w:rPr>
      </w:pPr>
    </w:p>
    <w:p>
      <w:pPr>
        <w:tabs>
          <w:tab w:val="left" w:pos="0"/>
        </w:tabs>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bidi="ar"/>
        </w:rPr>
        <w:t>3、商务响应评审标准</w:t>
      </w:r>
      <w:r>
        <w:rPr>
          <w:rFonts w:hint="eastAsia" w:hAnsi="宋体"/>
          <w:b/>
          <w:bCs/>
          <w:color w:val="auto"/>
          <w:szCs w:val="21"/>
          <w:highlight w:val="none"/>
        </w:rPr>
        <w:t>………………………………………………………………………</w:t>
      </w: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bidi="ar"/>
        </w:rPr>
        <w:t>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052"/>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评审内容</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分值</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投标人信誉</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w:t>
            </w:r>
            <w:r>
              <w:rPr>
                <w:rFonts w:hint="eastAsia" w:ascii="宋体" w:hAnsi="Courier New"/>
                <w:bCs/>
                <w:color w:val="auto"/>
                <w:szCs w:val="22"/>
                <w:highlight w:val="none"/>
                <w:lang w:val="en-US" w:eastAsia="zh-CN"/>
              </w:rPr>
              <w:t>2</w:t>
            </w:r>
            <w:r>
              <w:rPr>
                <w:rFonts w:hint="eastAsia" w:ascii="宋体" w:hAnsi="Courier New"/>
                <w:bCs/>
                <w:color w:val="auto"/>
                <w:szCs w:val="22"/>
                <w:highlight w:val="none"/>
              </w:rPr>
              <w:t>分）</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60" w:lineRule="auto"/>
              <w:rPr>
                <w:rFonts w:hint="eastAsia" w:ascii="宋体" w:hAnsi="Courier New"/>
                <w:bCs/>
                <w:color w:val="auto"/>
                <w:szCs w:val="22"/>
                <w:highlight w:val="none"/>
              </w:rPr>
            </w:pPr>
            <w:r>
              <w:rPr>
                <w:rFonts w:hint="eastAsia" w:ascii="宋体" w:hAnsi="Courier New"/>
                <w:bCs/>
                <w:color w:val="auto"/>
                <w:szCs w:val="22"/>
                <w:highlight w:val="none"/>
              </w:rPr>
              <w:t>投标企业或投标产品制造商获得“AAA”级企业信用等级证书的得</w:t>
            </w:r>
            <w:r>
              <w:rPr>
                <w:rFonts w:hint="eastAsia" w:ascii="宋体" w:hAnsi="Courier New"/>
                <w:bCs/>
                <w:color w:val="auto"/>
                <w:szCs w:val="22"/>
                <w:highlight w:val="none"/>
                <w:lang w:val="en-US" w:eastAsia="zh-CN"/>
              </w:rPr>
              <w:t>1</w:t>
            </w:r>
            <w:r>
              <w:rPr>
                <w:rFonts w:hint="eastAsia" w:ascii="宋体" w:hAnsi="Courier New"/>
                <w:bCs/>
                <w:color w:val="auto"/>
                <w:szCs w:val="22"/>
                <w:highlight w:val="none"/>
              </w:rPr>
              <w:t>分。</w:t>
            </w:r>
          </w:p>
          <w:p>
            <w:pPr>
              <w:numPr>
                <w:ilvl w:val="0"/>
                <w:numId w:val="7"/>
              </w:numPr>
              <w:spacing w:line="360" w:lineRule="auto"/>
              <w:rPr>
                <w:rFonts w:hint="eastAsia" w:ascii="宋体" w:hAnsi="Courier New"/>
                <w:bCs/>
                <w:color w:val="auto"/>
                <w:szCs w:val="22"/>
                <w:highlight w:val="none"/>
              </w:rPr>
            </w:pPr>
            <w:r>
              <w:rPr>
                <w:rFonts w:hint="eastAsia" w:ascii="宋体" w:hAnsi="Courier New"/>
                <w:bCs/>
                <w:color w:val="auto"/>
                <w:szCs w:val="22"/>
                <w:highlight w:val="none"/>
              </w:rPr>
              <w:t>投标产品为著名商标的（提供证明材料）得</w:t>
            </w:r>
            <w:r>
              <w:rPr>
                <w:rFonts w:hint="eastAsia" w:ascii="宋体" w:hAnsi="Courier New"/>
                <w:bCs/>
                <w:color w:val="auto"/>
                <w:szCs w:val="22"/>
                <w:highlight w:val="none"/>
                <w:lang w:val="en-US" w:eastAsia="zh-CN"/>
              </w:rPr>
              <w:t>1</w:t>
            </w:r>
            <w:r>
              <w:rPr>
                <w:rFonts w:hint="eastAsia" w:ascii="宋体" w:hAnsi="Courier New"/>
                <w:bCs/>
                <w:color w:val="auto"/>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投标人履约能力</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w:t>
            </w:r>
            <w:r>
              <w:rPr>
                <w:rFonts w:hint="eastAsia" w:ascii="宋体" w:hAnsi="Courier New"/>
                <w:bCs/>
                <w:color w:val="auto"/>
                <w:szCs w:val="22"/>
                <w:highlight w:val="none"/>
                <w:lang w:val="en-US" w:eastAsia="zh-CN"/>
              </w:rPr>
              <w:t>1</w:t>
            </w:r>
            <w:r>
              <w:rPr>
                <w:rFonts w:hint="eastAsia" w:ascii="宋体" w:hAnsi="Courier New"/>
                <w:bCs/>
                <w:color w:val="auto"/>
                <w:szCs w:val="22"/>
                <w:highlight w:val="none"/>
              </w:rPr>
              <w:t>分）</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Courier New"/>
                <w:bCs/>
                <w:color w:val="auto"/>
                <w:szCs w:val="22"/>
                <w:highlight w:val="none"/>
              </w:rPr>
            </w:pPr>
            <w:r>
              <w:rPr>
                <w:rFonts w:hint="eastAsia" w:ascii="宋体" w:hAnsi="Courier New"/>
                <w:bCs/>
                <w:color w:val="auto"/>
                <w:szCs w:val="22"/>
                <w:highlight w:val="none"/>
              </w:rPr>
              <w:t>投标人或投标产品制造商为“守合同、重信用”企业的得</w:t>
            </w:r>
            <w:r>
              <w:rPr>
                <w:rFonts w:hint="eastAsia" w:ascii="宋体" w:hAnsi="Courier New"/>
                <w:bCs/>
                <w:color w:val="auto"/>
                <w:szCs w:val="22"/>
                <w:highlight w:val="none"/>
                <w:lang w:val="en-US" w:eastAsia="zh-CN"/>
              </w:rPr>
              <w:t>1</w:t>
            </w:r>
            <w:r>
              <w:rPr>
                <w:rFonts w:hint="eastAsia" w:ascii="宋体" w:hAnsi="Courier New"/>
                <w:bCs/>
                <w:color w:val="auto"/>
                <w:szCs w:val="22"/>
                <w:highlight w:val="none"/>
              </w:rPr>
              <w:t>分，以上证书须提供复印件加盖公章。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szCs w:val="22"/>
                <w:highlight w:val="none"/>
              </w:rPr>
            </w:pPr>
            <w:r>
              <w:rPr>
                <w:rFonts w:hint="eastAsia" w:ascii="宋体" w:hAnsi="Courier New"/>
                <w:bCs/>
                <w:color w:val="auto"/>
                <w:szCs w:val="22"/>
                <w:highlight w:val="none"/>
              </w:rPr>
              <w:t>技术实力</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bCs/>
                <w:color w:val="auto"/>
                <w:szCs w:val="22"/>
                <w:highlight w:val="none"/>
                <w:lang w:eastAsia="zh-CN"/>
              </w:rPr>
            </w:pPr>
            <w:r>
              <w:rPr>
                <w:rFonts w:hint="eastAsia" w:ascii="宋体" w:hAnsi="Courier New"/>
                <w:bCs/>
                <w:color w:val="auto"/>
                <w:szCs w:val="22"/>
                <w:highlight w:val="none"/>
                <w:lang w:eastAsia="zh-CN"/>
              </w:rPr>
              <w:t>（</w:t>
            </w:r>
            <w:r>
              <w:rPr>
                <w:rFonts w:hint="eastAsia" w:ascii="宋体" w:hAnsi="Courier New"/>
                <w:bCs/>
                <w:color w:val="auto"/>
                <w:szCs w:val="22"/>
                <w:highlight w:val="none"/>
                <w:lang w:val="en-US" w:eastAsia="zh-CN"/>
              </w:rPr>
              <w:t>5分</w:t>
            </w:r>
            <w:r>
              <w:rPr>
                <w:rFonts w:hint="eastAsia" w:ascii="宋体" w:hAnsi="Courier New"/>
                <w:bCs/>
                <w:color w:val="auto"/>
                <w:szCs w:val="22"/>
                <w:highlight w:val="none"/>
                <w:lang w:eastAsia="zh-CN"/>
              </w:rPr>
              <w:t>）</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line="360" w:lineRule="auto"/>
              <w:rPr>
                <w:rFonts w:hint="eastAsia"/>
                <w:color w:val="auto"/>
                <w:highlight w:val="none"/>
              </w:rPr>
            </w:pPr>
            <w:r>
              <w:rPr>
                <w:color w:val="auto"/>
                <w:highlight w:val="none"/>
              </w:rPr>
              <w:t>投</w:t>
            </w:r>
            <w:r>
              <w:rPr>
                <w:rFonts w:hint="eastAsia"/>
                <w:color w:val="auto"/>
                <w:highlight w:val="none"/>
              </w:rPr>
              <w:t>标产品为技术创新基金项目且已通过验收的（提供证明材料）得</w:t>
            </w:r>
            <w:r>
              <w:rPr>
                <w:rFonts w:hint="eastAsia"/>
                <w:color w:val="auto"/>
                <w:highlight w:val="none"/>
                <w:lang w:val="en-US" w:eastAsia="zh-CN"/>
              </w:rPr>
              <w:t>1</w:t>
            </w:r>
            <w:r>
              <w:rPr>
                <w:rFonts w:hint="eastAsia"/>
                <w:color w:val="auto"/>
                <w:highlight w:val="none"/>
              </w:rPr>
              <w:t>分。</w:t>
            </w:r>
          </w:p>
          <w:p>
            <w:pPr>
              <w:pStyle w:val="2"/>
              <w:numPr>
                <w:ilvl w:val="0"/>
                <w:numId w:val="8"/>
              </w:numPr>
              <w:rPr>
                <w:rFonts w:hint="eastAsia"/>
                <w:color w:val="auto"/>
                <w:highlight w:val="none"/>
                <w:lang w:val="en-US" w:eastAsia="zh-CN"/>
              </w:rPr>
            </w:pPr>
            <w:r>
              <w:rPr>
                <w:rFonts w:hint="eastAsia"/>
                <w:color w:val="auto"/>
                <w:highlight w:val="none"/>
                <w:lang w:val="en-US" w:eastAsia="zh-CN"/>
              </w:rPr>
              <w:t>投标产品具有自主技术的每一项记0.5分，最多得4分（提供专利证书或软件著作权证书）。</w:t>
            </w:r>
          </w:p>
          <w:p>
            <w:pPr>
              <w:pStyle w:val="2"/>
              <w:numPr>
                <w:ilvl w:val="0"/>
                <w:numId w:val="0"/>
              </w:numPr>
              <w:rPr>
                <w:rFonts w:hint="eastAsia"/>
                <w:color w:val="auto"/>
                <w:highlight w:val="none"/>
                <w:lang w:val="en-US" w:eastAsia="zh-CN"/>
              </w:rPr>
            </w:pPr>
            <w:r>
              <w:rPr>
                <w:rFonts w:hint="eastAsia"/>
                <w:color w:val="auto"/>
                <w:highlight w:val="none"/>
                <w:lang w:val="en-US" w:eastAsia="zh-CN"/>
              </w:rPr>
              <w:t>以上证书须提供复印件加盖公章。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kern w:val="2"/>
                <w:sz w:val="21"/>
                <w:szCs w:val="22"/>
                <w:highlight w:val="none"/>
                <w:lang w:val="en-US" w:eastAsia="zh-CN" w:bidi="ar-SA"/>
              </w:rPr>
            </w:pPr>
            <w:r>
              <w:rPr>
                <w:rFonts w:hint="eastAsia" w:ascii="宋体" w:hAnsi="Courier New"/>
                <w:bCs/>
                <w:color w:val="auto"/>
                <w:szCs w:val="22"/>
                <w:highlight w:val="none"/>
              </w:rPr>
              <w:t>质量保证体系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bCs/>
                <w:color w:val="auto"/>
                <w:kern w:val="2"/>
                <w:sz w:val="21"/>
                <w:szCs w:val="22"/>
                <w:highlight w:val="none"/>
                <w:lang w:val="en-US" w:eastAsia="zh-CN" w:bidi="ar-SA"/>
              </w:rPr>
            </w:pPr>
            <w:r>
              <w:rPr>
                <w:rFonts w:hint="eastAsia" w:ascii="宋体" w:hAnsi="Courier New"/>
                <w:bCs/>
                <w:color w:val="auto"/>
                <w:szCs w:val="22"/>
                <w:highlight w:val="none"/>
              </w:rPr>
              <w:t>（2分）</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rPr>
            </w:pPr>
            <w:r>
              <w:rPr>
                <w:color w:val="auto"/>
                <w:highlight w:val="none"/>
              </w:rPr>
              <w:t>投标人</w:t>
            </w:r>
            <w:r>
              <w:rPr>
                <w:rFonts w:hint="eastAsia"/>
                <w:color w:val="auto"/>
                <w:highlight w:val="none"/>
              </w:rPr>
              <w:t>或投标产品制造商拥有质量管理体系认证证书（ISO9001）、医疗器械质量管理体系认证证书（ISO13485）、环境管理体系认证证书、职业健康安全管理体系认证证书的得2分，缺少1项的得1分，缺少2项或缺少2项以上不得分。</w:t>
            </w:r>
          </w:p>
          <w:p>
            <w:pPr>
              <w:spacing w:line="360" w:lineRule="auto"/>
              <w:rPr>
                <w:rFonts w:hint="eastAsia"/>
                <w:color w:val="auto"/>
                <w:kern w:val="2"/>
                <w:sz w:val="21"/>
                <w:highlight w:val="none"/>
                <w:lang w:val="en-US" w:eastAsia="zh-CN" w:bidi="ar-SA"/>
              </w:rPr>
            </w:pPr>
            <w:r>
              <w:rPr>
                <w:rFonts w:hint="eastAsia"/>
                <w:color w:val="auto"/>
                <w:highlight w:val="none"/>
              </w:rPr>
              <w:t>注：质量管理体系认证证书（ISO9001）、医疗器械质量管理体系认证证书（ISO13485）认证范围需覆盖医用分子筛中心制氧系统。</w:t>
            </w:r>
          </w:p>
        </w:tc>
      </w:tr>
    </w:tbl>
    <w:p>
      <w:pPr>
        <w:pStyle w:val="7"/>
        <w:outlineLvl w:val="1"/>
        <w:rPr>
          <w:rFonts w:hint="eastAsia" w:hAnsi="宋体" w:cs="宋体"/>
          <w:b/>
          <w:color w:val="auto"/>
          <w:szCs w:val="24"/>
          <w:highlight w:val="none"/>
        </w:rPr>
      </w:pPr>
      <w:bookmarkStart w:id="155" w:name="_Toc6156"/>
      <w:bookmarkStart w:id="156" w:name="_Toc31112"/>
      <w:r>
        <w:rPr>
          <w:rFonts w:hint="eastAsia" w:hAnsi="宋体" w:cs="宋体"/>
          <w:b/>
          <w:color w:val="auto"/>
          <w:sz w:val="28"/>
          <w:szCs w:val="24"/>
          <w:highlight w:val="none"/>
        </w:rPr>
        <w:t>评标办法和评标标准正文部分</w:t>
      </w:r>
      <w:bookmarkEnd w:id="153"/>
      <w:bookmarkEnd w:id="154"/>
      <w:bookmarkEnd w:id="155"/>
      <w:bookmarkEnd w:id="156"/>
    </w:p>
    <w:p>
      <w:pPr>
        <w:rPr>
          <w:rFonts w:hint="eastAsia" w:ascii="宋体" w:hAnsi="宋体" w:cs="宋体"/>
          <w:b/>
          <w:bCs/>
          <w:color w:val="auto"/>
          <w:sz w:val="24"/>
          <w:szCs w:val="24"/>
          <w:highlight w:val="none"/>
        </w:rPr>
      </w:pPr>
      <w:r>
        <w:rPr>
          <w:rFonts w:hint="eastAsia" w:ascii="宋体" w:hAnsi="宋体" w:cs="宋体"/>
          <w:b/>
          <w:bCs/>
          <w:color w:val="auto"/>
          <w:szCs w:val="24"/>
          <w:highlight w:val="none"/>
        </w:rPr>
        <w:t>1</w:t>
      </w:r>
      <w:r>
        <w:rPr>
          <w:rFonts w:hint="eastAsia" w:ascii="宋体" w:hAnsi="宋体" w:cs="宋体"/>
          <w:b/>
          <w:bCs/>
          <w:color w:val="auto"/>
          <w:sz w:val="24"/>
          <w:szCs w:val="24"/>
          <w:highlight w:val="none"/>
        </w:rPr>
        <w:t>.评标原则</w:t>
      </w:r>
    </w:p>
    <w:p>
      <w:pPr>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评标活动遵循公平、公正、科学和择优的原则。</w:t>
      </w:r>
    </w:p>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2.评标保密</w:t>
      </w:r>
    </w:p>
    <w:p>
      <w:pPr>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2.1本采购代理机构项目负责人宣读评标现场纪律要求，集中管理通讯工具，询问在场人员是否申请回避。</w:t>
      </w:r>
    </w:p>
    <w:p>
      <w:pPr>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3.评标办法和评标标准</w:t>
      </w:r>
    </w:p>
    <w:p>
      <w:pPr>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3.1评标委员会的组成：由采购单位代表在评标专家库中随机抽取的评标专家组成。评标委员会为5人，其中：采购单位代表1人，专家库中随机抽取4人。</w:t>
      </w:r>
      <w:r>
        <w:rPr>
          <w:rFonts w:hint="eastAsia" w:ascii="宋体" w:hAnsi="宋体" w:cs="宋体"/>
          <w:color w:val="auto"/>
          <w:sz w:val="24"/>
          <w:szCs w:val="24"/>
          <w:highlight w:val="none"/>
        </w:rPr>
        <w:t xml:space="preserve">                            </w:t>
      </w:r>
    </w:p>
    <w:p>
      <w:pPr>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3.2采购预算价（上限控制价）的确定：见第二章 “投标供应商须知前附表”</w:t>
      </w:r>
      <w:r>
        <w:rPr>
          <w:rFonts w:hint="eastAsia" w:ascii="宋体" w:hAnsi="宋体" w:cs="宋体"/>
          <w:color w:val="auto"/>
          <w:sz w:val="24"/>
          <w:szCs w:val="24"/>
          <w:highlight w:val="none"/>
        </w:rPr>
        <w:t>。</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3.3本次评标采用综合评分法。</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1）评标委员会按照本章“评标方法和评标标准”规定的方法、评审因素和标准对投标文件进行评审。在评标中，不得改变第六章“评标方法和评标标准”规定的方法、评审因素和标准；第六章“评标方法和评标标准”没有规定的方法、评审因素和标准，不作为评标依据。</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2）评标委员会依据本章“评标方法和评标标准”对投标供应商投标文件进行评审。评标委员会对满足招标文件实质性要求的投标文件，按照本章详细评审标准规定的评标段准进行打分，并按综合得分由高到低顺序推荐中标候选人。经评审的得分分值相等时，评标价低的优先，评标价也相等的，由采购人自行确定。</w:t>
      </w:r>
    </w:p>
    <w:p>
      <w:pPr>
        <w:pStyle w:val="7"/>
        <w:rPr>
          <w:rFonts w:hint="eastAsia" w:hAnsi="宋体" w:cs="宋体"/>
          <w:b/>
          <w:bCs/>
          <w:color w:val="auto"/>
          <w:sz w:val="24"/>
          <w:szCs w:val="24"/>
          <w:highlight w:val="none"/>
        </w:rPr>
      </w:pPr>
      <w:r>
        <w:rPr>
          <w:rFonts w:hint="eastAsia" w:hAnsi="宋体" w:cs="宋体"/>
          <w:b/>
          <w:bCs/>
          <w:color w:val="auto"/>
          <w:sz w:val="24"/>
          <w:szCs w:val="24"/>
          <w:highlight w:val="none"/>
        </w:rPr>
        <w:t>4.评标程序：</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4.1本采购代理机构项目负责人介绍项目概况及评标委员会组成情况，推选评标组长。</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4.2投标文件初审（资格、符合性评审）：依据法律法规和招标文件的规定，以确定投标供应商是否具备投标资格和确定其是否对招标文件的实质性要求和条件作出响应。</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4.3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纠正应当采用书面形式，由法定代表人或其委托代理人签字或盖章确认，且不得超出投标文件的范围或者改变投标文件的实质性内容。该澄清、说明或者纠正是投标文件的组成部分。</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4.4详细评审：评标委员会按招标文件中规定的评标方法和标准，对通过初步评审的投标文件进行详细评审。</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4.5推荐中标候选人。</w:t>
      </w:r>
    </w:p>
    <w:p>
      <w:pPr>
        <w:pStyle w:val="7"/>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4.6编写评标报告。</w:t>
      </w:r>
    </w:p>
    <w:p>
      <w:pPr>
        <w:pStyle w:val="7"/>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4.7评标委员会组长对评标过程和评分、评标结论进行核对和复核，如有错漏，请当事评委进行校正，按校正后的结果推荐中标候选人。</w:t>
      </w:r>
    </w:p>
    <w:p>
      <w:pPr>
        <w:spacing w:line="201" w:lineRule="exact"/>
        <w:rPr>
          <w:rFonts w:hint="eastAsia" w:ascii="宋体" w:hAnsi="宋体" w:cs="宋体"/>
          <w:color w:val="auto"/>
          <w:sz w:val="24"/>
          <w:szCs w:val="24"/>
          <w:highlight w:val="none"/>
        </w:rPr>
      </w:pPr>
    </w:p>
    <w:p>
      <w:pPr>
        <w:pStyle w:val="7"/>
        <w:spacing w:line="400" w:lineRule="exact"/>
        <w:ind w:firstLine="480" w:firstLineChars="200"/>
        <w:rPr>
          <w:rFonts w:hint="eastAsia" w:hAnsi="宋体" w:cs="宋体"/>
          <w:color w:val="auto"/>
          <w:sz w:val="24"/>
          <w:szCs w:val="24"/>
          <w:highlight w:val="none"/>
        </w:rPr>
      </w:pPr>
    </w:p>
    <w:p/>
    <w:sectPr>
      <w:headerReference r:id="rId8" w:type="default"/>
      <w:footerReference r:id="rId9" w:type="default"/>
      <w:pgSz w:w="11906" w:h="16838"/>
      <w:pgMar w:top="1134" w:right="851" w:bottom="1134" w:left="851" w:header="567" w:footer="567"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I</w:t>
    </w:r>
    <w:r>
      <w:fldChar w:fldCharType="end"/>
    </w:r>
  </w:p>
  <w:p>
    <w:pPr>
      <w:pStyle w:val="8"/>
      <w:tabs>
        <w:tab w:val="left" w:pos="7950"/>
        <w:tab w:val="clear" w:pos="4153"/>
        <w:tab w:val="clear" w:pos="8306"/>
      </w:tabs>
      <w:ind w:right="-56"/>
      <w:jc w:val="right"/>
      <w:rPr>
        <w:rFonts w:hint="eastAsia" w:ascii="黑体" w:eastAsia="黑体"/>
        <w:szCs w:val="18"/>
      </w:rPr>
    </w:pPr>
    <w:r>
      <w:rPr>
        <w:rFonts w:hint="eastAsia" w:ascii="黑体" w:eastAsia="黑体"/>
        <w:szCs w:val="18"/>
      </w:rPr>
      <w:t>北京诚佳信工程管理有限公司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950"/>
        <w:tab w:val="clear" w:pos="4153"/>
        <w:tab w:val="clear" w:pos="8306"/>
      </w:tabs>
      <w:ind w:right="-56"/>
      <w:jc w:val="right"/>
      <w:rPr>
        <w:rFonts w:hint="eastAsia" w:ascii="黑体" w:eastAsia="黑体"/>
        <w:szCs w:val="18"/>
      </w:rPr>
    </w:pPr>
    <w:r>
      <w:rPr>
        <w:rFonts w:hint="eastAsia" w:ascii="黑体" w:eastAsia="黑体"/>
        <w:szCs w:val="18"/>
      </w:rPr>
      <w:t>广西桂春工程项目管理咨询有限公司编制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47</w:t>
    </w:r>
    <w:r>
      <w:fldChar w:fldCharType="end"/>
    </w:r>
  </w:p>
  <w:p>
    <w:pPr>
      <w:pStyle w:val="8"/>
      <w:tabs>
        <w:tab w:val="left" w:pos="7950"/>
        <w:tab w:val="clear" w:pos="4153"/>
        <w:tab w:val="clear" w:pos="8306"/>
      </w:tabs>
      <w:ind w:right="-56"/>
      <w:jc w:val="right"/>
      <w:rPr>
        <w:rFonts w:hint="eastAsia" w:ascii="黑体" w:eastAsia="黑体"/>
        <w:szCs w:val="18"/>
      </w:rPr>
    </w:pPr>
    <w:r>
      <w:rPr>
        <w:rFonts w:hint="eastAsia" w:hAnsi="宋体"/>
        <w:b/>
        <w:szCs w:val="18"/>
      </w:rPr>
      <w:t xml:space="preserve">北京诚佳信工程管理有限公司 </w:t>
    </w:r>
    <w:r>
      <w:rPr>
        <w:rFonts w:hint="eastAsia" w:hAnsi="宋体"/>
        <w:b/>
        <w:sz w:val="32"/>
        <w:szCs w:val="32"/>
      </w:rPr>
      <w:t xml:space="preserve">  </w:t>
    </w:r>
    <w:r>
      <w:rPr>
        <w:rFonts w:hint="eastAsia" w:ascii="黑体" w:eastAsia="黑体"/>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黑体" w:hAnsi="黑体" w:eastAsia="黑体" w:cs="宋体"/>
        <w:bCs/>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黑体" w:hAnsi="黑体" w:eastAsia="黑体"/>
        <w:sz w:val="18"/>
        <w:szCs w:val="18"/>
      </w:rPr>
    </w:pPr>
    <w:r>
      <w:rPr>
        <w:rFonts w:hint="eastAsia" w:ascii="黑体" w:hAnsi="黑体" w:eastAsia="黑体"/>
        <w:sz w:val="18"/>
        <w:szCs w:val="18"/>
      </w:rPr>
      <w:t>采购项目名称：钟山县贫困村太阳能路灯购置项目安防监控系统设备购置项目</w:t>
    </w:r>
  </w:p>
  <w:p>
    <w:pPr>
      <w:jc w:val="right"/>
      <w:rPr>
        <w:rFonts w:hint="eastAsia" w:ascii="黑体" w:hAnsi="黑体" w:eastAsia="黑体" w:cs="宋体"/>
        <w:bCs/>
        <w:color w:val="000000"/>
        <w:sz w:val="18"/>
        <w:szCs w:val="18"/>
      </w:rPr>
    </w:pPr>
    <w:r>
      <w:rPr>
        <w:rFonts w:hint="eastAsia" w:ascii="黑体" w:hAnsi="黑体" w:eastAsia="黑体"/>
        <w:sz w:val="18"/>
        <w:szCs w:val="18"/>
      </w:rPr>
      <w:t>项目采购编号：</w:t>
    </w:r>
    <w:r>
      <w:rPr>
        <w:rFonts w:hint="eastAsia" w:ascii="黑体" w:hAnsi="黑体" w:eastAsia="黑体" w:cs="宋体"/>
        <w:bCs/>
        <w:color w:val="000000"/>
        <w:sz w:val="18"/>
        <w:szCs w:val="18"/>
      </w:rPr>
      <w:t>贺新城招（2017）24号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黑体" w:hAnsi="黑体" w:eastAsia="黑体"/>
        <w:sz w:val="18"/>
        <w:szCs w:val="18"/>
      </w:rPr>
    </w:pPr>
  </w:p>
  <w:p>
    <w:pPr>
      <w:rPr>
        <w:rFonts w:hint="eastAsia" w:ascii="黑体" w:hAnsi="黑体" w:eastAsia="黑体" w:cs="宋体"/>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D10CC"/>
    <w:multiLevelType w:val="singleLevel"/>
    <w:tmpl w:val="92DD10CC"/>
    <w:lvl w:ilvl="0" w:tentative="0">
      <w:start w:val="1"/>
      <w:numFmt w:val="decimal"/>
      <w:suff w:val="nothing"/>
      <w:lvlText w:val="%1、"/>
      <w:lvlJc w:val="left"/>
    </w:lvl>
  </w:abstractNum>
  <w:abstractNum w:abstractNumId="1">
    <w:nsid w:val="9DF60233"/>
    <w:multiLevelType w:val="singleLevel"/>
    <w:tmpl w:val="9DF60233"/>
    <w:lvl w:ilvl="0" w:tentative="0">
      <w:start w:val="3"/>
      <w:numFmt w:val="chineseCounting"/>
      <w:suff w:val="nothing"/>
      <w:lvlText w:val="（%1）"/>
      <w:lvlJc w:val="left"/>
      <w:rPr>
        <w:rFonts w:hint="eastAsia"/>
      </w:rPr>
    </w:lvl>
  </w:abstractNum>
  <w:abstractNum w:abstractNumId="2">
    <w:nsid w:val="A9671F06"/>
    <w:multiLevelType w:val="singleLevel"/>
    <w:tmpl w:val="A9671F06"/>
    <w:lvl w:ilvl="0" w:tentative="0">
      <w:start w:val="5"/>
      <w:numFmt w:val="chineseCounting"/>
      <w:suff w:val="space"/>
      <w:lvlText w:val="第%1章"/>
      <w:lvlJc w:val="left"/>
      <w:rPr>
        <w:rFonts w:hint="eastAsia"/>
      </w:rPr>
    </w:lvl>
  </w:abstractNum>
  <w:abstractNum w:abstractNumId="3">
    <w:nsid w:val="B2AFA7FD"/>
    <w:multiLevelType w:val="singleLevel"/>
    <w:tmpl w:val="B2AFA7FD"/>
    <w:lvl w:ilvl="0" w:tentative="0">
      <w:start w:val="3"/>
      <w:numFmt w:val="chineseCounting"/>
      <w:suff w:val="space"/>
      <w:lvlText w:val="第%1章"/>
      <w:lvlJc w:val="left"/>
      <w:rPr>
        <w:rFonts w:hint="eastAsia"/>
      </w:rPr>
    </w:lvl>
  </w:abstractNum>
  <w:abstractNum w:abstractNumId="4">
    <w:nsid w:val="093EA142"/>
    <w:multiLevelType w:val="singleLevel"/>
    <w:tmpl w:val="093EA142"/>
    <w:lvl w:ilvl="0" w:tentative="0">
      <w:start w:val="1"/>
      <w:numFmt w:val="decimal"/>
      <w:suff w:val="nothing"/>
      <w:lvlText w:val="%1、"/>
      <w:lvlJc w:val="left"/>
    </w:lvl>
  </w:abstractNum>
  <w:abstractNum w:abstractNumId="5">
    <w:nsid w:val="100E72B8"/>
    <w:multiLevelType w:val="singleLevel"/>
    <w:tmpl w:val="100E72B8"/>
    <w:lvl w:ilvl="0" w:tentative="0">
      <w:start w:val="1"/>
      <w:numFmt w:val="decimal"/>
      <w:suff w:val="nothing"/>
      <w:lvlText w:val="%1、"/>
      <w:lvlJc w:val="left"/>
    </w:lvl>
  </w:abstractNum>
  <w:abstractNum w:abstractNumId="6">
    <w:nsid w:val="41661EE0"/>
    <w:multiLevelType w:val="multilevel"/>
    <w:tmpl w:val="41661EE0"/>
    <w:lvl w:ilvl="0" w:tentative="0">
      <w:start w:val="1"/>
      <w:numFmt w:val="japaneseCounting"/>
      <w:lvlText w:val="%1、"/>
      <w:lvlJc w:val="left"/>
      <w:pPr>
        <w:ind w:left="720" w:hanging="720"/>
      </w:pPr>
      <w:rPr>
        <w:rFonts w:ascii="宋体" w:hAnsi="宋体"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863467"/>
    <w:multiLevelType w:val="singleLevel"/>
    <w:tmpl w:val="7F863467"/>
    <w:lvl w:ilvl="0" w:tentative="0">
      <w:start w:val="1"/>
      <w:numFmt w:val="decimal"/>
      <w:lvlText w:val="%1."/>
      <w:lvlJc w:val="left"/>
      <w:pPr>
        <w:tabs>
          <w:tab w:val="left" w:pos="312"/>
        </w:tabs>
      </w:pPr>
    </w:lvl>
  </w:abstractNum>
  <w:num w:numId="1">
    <w:abstractNumId w:val="3"/>
  </w:num>
  <w:num w:numId="2">
    <w:abstractNumId w:val="6"/>
  </w:num>
  <w:num w:numId="3">
    <w:abstractNumId w:val="2"/>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E5F04"/>
    <w:rsid w:val="1B7E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Times New Roman" w:hAnsi="Times New Roman" w:eastAsia="宋体"/>
      <w:b/>
      <w:sz w:val="32"/>
    </w:rPr>
  </w:style>
  <w:style w:type="paragraph" w:styleId="4">
    <w:name w:val="heading 2"/>
    <w:basedOn w:val="1"/>
    <w:next w:val="1"/>
    <w:qFormat/>
    <w:uiPriority w:val="0"/>
    <w:pPr>
      <w:keepNext/>
      <w:spacing w:line="240" w:lineRule="exact"/>
      <w:jc w:val="center"/>
      <w:outlineLvl w:val="1"/>
    </w:pPr>
    <w:rPr>
      <w:sz w:val="28"/>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caption"/>
    <w:basedOn w:val="1"/>
    <w:next w:val="1"/>
    <w:qFormat/>
    <w:uiPriority w:val="0"/>
    <w:rPr>
      <w:rFonts w:ascii="Arial" w:hAnsi="Arial" w:eastAsia="黑体" w:cs="Arial"/>
      <w:sz w:val="20"/>
      <w:szCs w:val="20"/>
    </w:rPr>
  </w:style>
  <w:style w:type="paragraph" w:styleId="6">
    <w:name w:val="Body Text Indent"/>
    <w:basedOn w:val="1"/>
    <w:uiPriority w:val="0"/>
    <w:pPr>
      <w:spacing w:line="200" w:lineRule="exact"/>
      <w:ind w:firstLine="301"/>
    </w:pPr>
    <w:rPr>
      <w:rFonts w:ascii="宋体" w:hAnsi="Courier New"/>
      <w:spacing w:val="-4"/>
      <w:sz w:val="18"/>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rFonts w:ascii="宋体" w:hAnsi="Courier New"/>
      <w:sz w:val="18"/>
    </w:rPr>
  </w:style>
  <w:style w:type="paragraph" w:styleId="9">
    <w:name w:val="index heading"/>
    <w:basedOn w:val="1"/>
    <w:next w:val="10"/>
    <w:uiPriority w:val="0"/>
    <w:rPr>
      <w:szCs w:val="21"/>
    </w:rPr>
  </w:style>
  <w:style w:type="paragraph" w:styleId="10">
    <w:name w:val="index 1"/>
    <w:basedOn w:val="1"/>
    <w:next w:val="1"/>
    <w:semiHidden/>
    <w:uiPriority w:val="0"/>
    <w:pPr>
      <w:spacing w:line="240" w:lineRule="exact"/>
      <w:ind w:firstLine="420" w:firstLineChars="200"/>
    </w:pPr>
    <w:rPr>
      <w:rFonts w:ascii="宋体" w:hAnsi="宋体"/>
    </w:r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olor w:val="000000"/>
      <w:kern w:val="0"/>
      <w:sz w:val="24"/>
    </w:rPr>
  </w:style>
  <w:style w:type="character" w:styleId="14">
    <w:name w:val="Strong"/>
    <w:qFormat/>
    <w:uiPriority w:val="0"/>
    <w:rPr>
      <w:b/>
    </w:rPr>
  </w:style>
  <w:style w:type="character" w:styleId="15">
    <w:name w:val="page number"/>
    <w:basedOn w:val="13"/>
    <w:uiPriority w:val="0"/>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List Paragraph"/>
    <w:basedOn w:val="1"/>
    <w:qFormat/>
    <w:uiPriority w:val="0"/>
    <w:pPr>
      <w:ind w:firstLine="420" w:firstLineChars="200"/>
    </w:pPr>
    <w:rPr>
      <w:rFonts w:ascii="Calibri" w:hAnsi="Calibri"/>
    </w:rPr>
  </w:style>
  <w:style w:type="paragraph" w:customStyle="1" w:styleId="19">
    <w:name w:val="1"/>
    <w:basedOn w:val="1"/>
    <w:next w:val="7"/>
    <w:uiPriority w:val="0"/>
    <w:rPr>
      <w:rFonts w:ascii="宋体" w:hAnsi="Courier New"/>
    </w:rPr>
  </w:style>
  <w:style w:type="paragraph" w:customStyle="1" w:styleId="20">
    <w:name w:val="Normal_4"/>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1">
    <w:name w:val="Normal_8"/>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2">
    <w:name w:val="默认段落字体 Para Char Char Char Char Char Char Char Char Char1 Char Char Char Char"/>
    <w:basedOn w:val="1"/>
    <w:uiPriority w:val="0"/>
    <w:pPr>
      <w:adjustRightInd w:val="0"/>
      <w:snapToGrid w:val="0"/>
      <w:spacing w:line="360" w:lineRule="auto"/>
      <w:ind w:firstLine="200" w:firstLineChars="200"/>
    </w:pPr>
    <w:rPr>
      <w:rFonts w:ascii="Tahoma" w:hAnsi="Tahoma"/>
      <w:sz w:val="24"/>
      <w:szCs w:val="20"/>
    </w:rPr>
  </w:style>
  <w:style w:type="paragraph" w:customStyle="1" w:styleId="23">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24">
    <w:name w:val="题注5"/>
    <w:basedOn w:val="1"/>
    <w:next w:val="5"/>
    <w:uiPriority w:val="0"/>
    <w:pPr>
      <w:jc w:val="center"/>
    </w:pPr>
    <w:rPr>
      <w:b/>
      <w:bCs/>
      <w:color w:val="000000"/>
      <w:sz w:val="24"/>
    </w:rPr>
  </w:style>
  <w:style w:type="paragraph" w:customStyle="1" w:styleId="25">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2020-08-17T01:30:00Z</dcterms:created>
  <dc:creator>Administrator</dc:creator>
  <cp:lastModifiedBy>Administrator</cp:lastModifiedBy>
  <dcterms:modified xsi:type="dcterms:W3CDTF">2020-08-17T01:32:13Z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