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rPr>
          <w:rFonts w:ascii="仿宋_GB2312" w:hAnsi="宋体" w:eastAsia="仿宋_GB2312"/>
          <w:color w:val="auto"/>
          <w:sz w:val="72"/>
          <w:szCs w:val="72"/>
          <w:highlight w:val="none"/>
        </w:rPr>
      </w:pPr>
    </w:p>
    <w:p>
      <w:pPr>
        <w:spacing w:beforeLines="50"/>
        <w:jc w:val="center"/>
        <w:rPr>
          <w:rFonts w:ascii="仿宋_GB2312" w:hAnsi="宋体" w:eastAsia="仿宋_GB2312"/>
          <w:b/>
          <w:bCs/>
          <w:color w:val="auto"/>
          <w:sz w:val="72"/>
          <w:szCs w:val="72"/>
          <w:highlight w:val="none"/>
        </w:rPr>
      </w:pPr>
      <w:r>
        <w:rPr>
          <w:rFonts w:hint="eastAsia" w:ascii="仿宋_GB2312" w:hAnsi="宋体" w:eastAsia="仿宋_GB2312"/>
          <w:b/>
          <w:bCs/>
          <w:color w:val="auto"/>
          <w:sz w:val="72"/>
          <w:szCs w:val="72"/>
          <w:highlight w:val="none"/>
        </w:rPr>
        <w:t>公开招标采购文件</w:t>
      </w:r>
    </w:p>
    <w:p>
      <w:pPr>
        <w:snapToGrid w:val="0"/>
        <w:spacing w:beforeLines="50" w:line="360" w:lineRule="auto"/>
        <w:rPr>
          <w:rFonts w:ascii="仿宋_GB2312" w:hAnsi="宋体" w:eastAsia="仿宋_GB2312"/>
          <w:color w:val="auto"/>
          <w:sz w:val="30"/>
          <w:szCs w:val="72"/>
          <w:highlight w:val="none"/>
        </w:rPr>
      </w:pPr>
      <w:bookmarkStart w:id="51" w:name="_GoBack"/>
    </w:p>
    <w:bookmarkEnd w:id="51"/>
    <w:p>
      <w:pPr>
        <w:pStyle w:val="26"/>
        <w:snapToGrid w:val="0"/>
        <w:spacing w:before="120" w:after="120" w:line="360" w:lineRule="auto"/>
        <w:ind w:firstLine="1042" w:firstLineChars="346"/>
        <w:rPr>
          <w:rFonts w:ascii="仿宋_GB2312" w:hAnsi="宋体" w:eastAsia="仿宋_GB2312"/>
          <w:b/>
          <w:bCs/>
          <w:color w:val="auto"/>
          <w:sz w:val="30"/>
          <w:szCs w:val="30"/>
          <w:highlight w:val="none"/>
        </w:rPr>
      </w:pPr>
    </w:p>
    <w:p>
      <w:pPr>
        <w:ind w:firstLine="1431" w:firstLineChars="475"/>
        <w:rPr>
          <w:rFonts w:ascii="仿宋_GB2312" w:hAnsi="宋体" w:eastAsia="仿宋_GB2312"/>
          <w:b/>
          <w:bCs/>
          <w:color w:val="auto"/>
          <w:sz w:val="30"/>
          <w:szCs w:val="30"/>
          <w:highlight w:val="none"/>
        </w:rPr>
      </w:pPr>
      <w:r>
        <w:rPr>
          <w:rFonts w:hint="eastAsia" w:ascii="仿宋_GB2312" w:hAnsi="宋体" w:eastAsia="仿宋_GB2312"/>
          <w:b/>
          <w:bCs/>
          <w:color w:val="auto"/>
          <w:sz w:val="30"/>
          <w:szCs w:val="30"/>
          <w:highlight w:val="none"/>
        </w:rPr>
        <w:t>项目编号：</w:t>
      </w:r>
      <w:r>
        <w:rPr>
          <w:rFonts w:ascii="仿宋_GB2312" w:hAnsi="宋体" w:eastAsia="仿宋_GB2312"/>
          <w:b/>
          <w:bCs/>
          <w:color w:val="auto"/>
          <w:sz w:val="30"/>
          <w:szCs w:val="30"/>
          <w:highlight w:val="none"/>
        </w:rPr>
        <w:t>GXZC20</w:t>
      </w:r>
      <w:r>
        <w:rPr>
          <w:rFonts w:hint="eastAsia" w:ascii="仿宋_GB2312" w:hAnsi="宋体" w:eastAsia="仿宋_GB2312"/>
          <w:b/>
          <w:bCs/>
          <w:color w:val="auto"/>
          <w:sz w:val="30"/>
          <w:szCs w:val="30"/>
          <w:highlight w:val="none"/>
        </w:rPr>
        <w:t>20</w:t>
      </w:r>
      <w:r>
        <w:rPr>
          <w:rFonts w:ascii="仿宋_GB2312" w:hAnsi="宋体" w:eastAsia="仿宋_GB2312"/>
          <w:b/>
          <w:bCs/>
          <w:color w:val="auto"/>
          <w:sz w:val="30"/>
          <w:szCs w:val="30"/>
          <w:highlight w:val="none"/>
        </w:rPr>
        <w:t>-G3-</w:t>
      </w:r>
      <w:r>
        <w:rPr>
          <w:rFonts w:hint="eastAsia" w:ascii="仿宋_GB2312" w:hAnsi="宋体" w:eastAsia="仿宋_GB2312"/>
          <w:b/>
          <w:bCs/>
          <w:color w:val="auto"/>
          <w:sz w:val="30"/>
          <w:szCs w:val="30"/>
          <w:highlight w:val="none"/>
        </w:rPr>
        <w:t>001624</w:t>
      </w:r>
      <w:r>
        <w:rPr>
          <w:rFonts w:ascii="仿宋_GB2312" w:hAnsi="宋体" w:eastAsia="仿宋_GB2312"/>
          <w:b/>
          <w:bCs/>
          <w:color w:val="auto"/>
          <w:sz w:val="30"/>
          <w:szCs w:val="30"/>
          <w:highlight w:val="none"/>
        </w:rPr>
        <w:t>-GDZB</w:t>
      </w:r>
    </w:p>
    <w:p>
      <w:pPr>
        <w:snapToGrid w:val="0"/>
        <w:spacing w:beforeLines="50" w:line="360" w:lineRule="auto"/>
        <w:ind w:firstLine="1431" w:firstLineChars="475"/>
        <w:rPr>
          <w:rFonts w:ascii="仿宋_GB2312" w:hAnsi="宋体" w:eastAsia="仿宋_GB2312"/>
          <w:b/>
          <w:bCs/>
          <w:color w:val="auto"/>
          <w:sz w:val="30"/>
          <w:szCs w:val="30"/>
          <w:highlight w:val="none"/>
        </w:rPr>
      </w:pPr>
      <w:r>
        <w:rPr>
          <w:rFonts w:hint="eastAsia" w:ascii="仿宋_GB2312" w:hAnsi="宋体" w:eastAsia="仿宋_GB2312"/>
          <w:b/>
          <w:bCs/>
          <w:color w:val="auto"/>
          <w:sz w:val="30"/>
          <w:szCs w:val="30"/>
          <w:highlight w:val="none"/>
        </w:rPr>
        <w:t>项目名称：中药配方颗粒配送服务采购</w:t>
      </w:r>
    </w:p>
    <w:p>
      <w:pPr>
        <w:snapToGrid w:val="0"/>
        <w:spacing w:beforeLines="50" w:line="360" w:lineRule="auto"/>
        <w:ind w:firstLine="1431" w:firstLineChars="475"/>
        <w:rPr>
          <w:rFonts w:ascii="仿宋_GB2312" w:hAnsi="宋体" w:eastAsia="仿宋_GB2312"/>
          <w:b/>
          <w:color w:val="auto"/>
          <w:sz w:val="30"/>
          <w:szCs w:val="72"/>
          <w:highlight w:val="none"/>
        </w:rPr>
      </w:pPr>
      <w:r>
        <w:rPr>
          <w:rFonts w:hint="eastAsia" w:ascii="仿宋_GB2312" w:hAnsi="宋体" w:eastAsia="仿宋_GB2312"/>
          <w:b/>
          <w:bCs/>
          <w:color w:val="auto"/>
          <w:sz w:val="30"/>
          <w:szCs w:val="30"/>
          <w:highlight w:val="none"/>
        </w:rPr>
        <w:t>采购单位：</w:t>
      </w:r>
      <w:r>
        <w:rPr>
          <w:rFonts w:ascii="仿宋_GB2312" w:hAnsi="宋体" w:eastAsia="仿宋_GB2312"/>
          <w:b/>
          <w:bCs/>
          <w:color w:val="auto"/>
          <w:sz w:val="30"/>
          <w:szCs w:val="30"/>
          <w:highlight w:val="none"/>
        </w:rPr>
        <w:t xml:space="preserve"> </w:t>
      </w:r>
      <w:r>
        <w:rPr>
          <w:rFonts w:hint="eastAsia" w:ascii="仿宋_GB2312" w:hAnsi="宋体" w:eastAsia="仿宋_GB2312"/>
          <w:b/>
          <w:bCs/>
          <w:color w:val="auto"/>
          <w:sz w:val="30"/>
          <w:szCs w:val="30"/>
          <w:highlight w:val="none"/>
        </w:rPr>
        <w:t>广西壮族自治区人民医院</w:t>
      </w:r>
    </w:p>
    <w:p>
      <w:pPr>
        <w:snapToGrid w:val="0"/>
        <w:spacing w:beforeLines="50" w:line="360" w:lineRule="auto"/>
        <w:ind w:firstLine="1560" w:firstLineChars="518"/>
        <w:rPr>
          <w:rFonts w:ascii="仿宋_GB2312" w:hAnsi="宋体" w:eastAsia="仿宋_GB2312"/>
          <w:b/>
          <w:color w:val="auto"/>
          <w:sz w:val="30"/>
          <w:szCs w:val="72"/>
          <w:highlight w:val="none"/>
        </w:rPr>
      </w:pPr>
    </w:p>
    <w:p>
      <w:pPr>
        <w:snapToGrid w:val="0"/>
        <w:spacing w:beforeLines="50" w:line="360" w:lineRule="auto"/>
        <w:ind w:firstLine="1560" w:firstLineChars="518"/>
        <w:rPr>
          <w:rFonts w:ascii="仿宋_GB2312" w:hAnsi="宋体" w:eastAsia="仿宋_GB2312"/>
          <w:b/>
          <w:color w:val="auto"/>
          <w:sz w:val="30"/>
          <w:szCs w:val="72"/>
          <w:highlight w:val="none"/>
        </w:rPr>
      </w:pPr>
    </w:p>
    <w:p>
      <w:pPr>
        <w:snapToGrid w:val="0"/>
        <w:spacing w:beforeLines="50" w:line="360" w:lineRule="auto"/>
        <w:ind w:firstLine="1560" w:firstLineChars="518"/>
        <w:rPr>
          <w:rFonts w:ascii="仿宋_GB2312" w:hAnsi="宋体" w:eastAsia="仿宋_GB2312"/>
          <w:b/>
          <w:color w:val="auto"/>
          <w:sz w:val="30"/>
          <w:szCs w:val="72"/>
          <w:highlight w:val="none"/>
        </w:rPr>
      </w:pPr>
    </w:p>
    <w:p>
      <w:pPr>
        <w:snapToGrid w:val="0"/>
        <w:spacing w:beforeLines="50" w:line="360" w:lineRule="auto"/>
        <w:ind w:firstLine="1560" w:firstLineChars="518"/>
        <w:rPr>
          <w:rFonts w:ascii="仿宋_GB2312" w:hAnsi="宋体" w:eastAsia="仿宋_GB2312"/>
          <w:b/>
          <w:color w:val="auto"/>
          <w:sz w:val="30"/>
          <w:szCs w:val="72"/>
          <w:highlight w:val="none"/>
        </w:rPr>
      </w:pPr>
    </w:p>
    <w:p>
      <w:pPr>
        <w:snapToGrid w:val="0"/>
        <w:spacing w:beforeLines="50" w:line="360" w:lineRule="auto"/>
        <w:ind w:firstLine="1560" w:firstLineChars="518"/>
        <w:rPr>
          <w:rFonts w:ascii="仿宋_GB2312" w:hAnsi="宋体" w:eastAsia="仿宋_GB2312"/>
          <w:b/>
          <w:color w:val="auto"/>
          <w:sz w:val="30"/>
          <w:szCs w:val="72"/>
          <w:highlight w:val="none"/>
        </w:rPr>
      </w:pPr>
    </w:p>
    <w:p>
      <w:pPr>
        <w:snapToGrid w:val="0"/>
        <w:spacing w:beforeLines="50" w:line="360" w:lineRule="auto"/>
        <w:ind w:firstLine="1560" w:firstLineChars="518"/>
        <w:rPr>
          <w:rFonts w:ascii="仿宋_GB2312" w:hAnsi="宋体" w:eastAsia="仿宋_GB2312"/>
          <w:b/>
          <w:color w:val="auto"/>
          <w:sz w:val="30"/>
          <w:szCs w:val="72"/>
          <w:highlight w:val="none"/>
        </w:rPr>
      </w:pPr>
      <w:r>
        <w:rPr>
          <w:rFonts w:hint="eastAsia" w:ascii="仿宋_GB2312" w:hAnsi="宋体" w:eastAsia="仿宋_GB2312"/>
          <w:b/>
          <w:color w:val="auto"/>
          <w:sz w:val="30"/>
          <w:szCs w:val="72"/>
          <w:highlight w:val="none"/>
        </w:rPr>
        <w:t>采购代理机构：</w:t>
      </w:r>
      <w:r>
        <w:rPr>
          <w:rFonts w:hint="eastAsia" w:eastAsia="仿宋_GB2312"/>
          <w:b/>
          <w:color w:val="auto"/>
          <w:sz w:val="30"/>
          <w:szCs w:val="72"/>
          <w:highlight w:val="none"/>
        </w:rPr>
        <w:t>广西国栋招标有限公司</w:t>
      </w:r>
    </w:p>
    <w:p>
      <w:pPr>
        <w:snapToGrid w:val="0"/>
        <w:spacing w:beforeLines="50" w:line="360" w:lineRule="auto"/>
        <w:ind w:firstLine="3915" w:firstLineChars="1300"/>
        <w:rPr>
          <w:rFonts w:ascii="仿宋_GB2312" w:hAnsi="宋体" w:eastAsia="仿宋_GB2312"/>
          <w:b/>
          <w:color w:val="auto"/>
          <w:sz w:val="30"/>
          <w:szCs w:val="72"/>
          <w:highlight w:val="none"/>
        </w:rPr>
      </w:pPr>
      <w:r>
        <w:rPr>
          <w:rFonts w:hint="eastAsia" w:ascii="仿宋_GB2312" w:hAnsi="宋体" w:eastAsia="仿宋_GB2312"/>
          <w:b/>
          <w:color w:val="auto"/>
          <w:sz w:val="30"/>
          <w:szCs w:val="72"/>
          <w:highlight w:val="none"/>
        </w:rPr>
        <w:t>2020年6月</w:t>
      </w:r>
    </w:p>
    <w:p>
      <w:pPr>
        <w:snapToGrid w:val="0"/>
        <w:spacing w:beforeLines="50" w:line="360" w:lineRule="auto"/>
        <w:rPr>
          <w:rFonts w:ascii="仿宋_GB2312" w:hAnsi="宋体" w:eastAsia="仿宋_GB2312"/>
          <w:color w:val="auto"/>
          <w:sz w:val="30"/>
          <w:szCs w:val="72"/>
          <w:highlight w:val="none"/>
        </w:rPr>
      </w:pPr>
    </w:p>
    <w:p>
      <w:pPr>
        <w:snapToGrid w:val="0"/>
        <w:spacing w:beforeLines="50" w:line="360" w:lineRule="auto"/>
        <w:jc w:val="center"/>
        <w:rPr>
          <w:rFonts w:ascii="隶书" w:eastAsia="隶书"/>
          <w:color w:val="auto"/>
          <w:sz w:val="44"/>
          <w:highlight w:val="none"/>
        </w:rPr>
      </w:pPr>
    </w:p>
    <w:p>
      <w:pPr>
        <w:snapToGrid w:val="0"/>
        <w:spacing w:beforeLines="50" w:line="360" w:lineRule="auto"/>
        <w:jc w:val="center"/>
        <w:rPr>
          <w:rFonts w:ascii="隶书" w:eastAsia="隶书"/>
          <w:color w:val="auto"/>
          <w:sz w:val="48"/>
          <w:szCs w:val="48"/>
          <w:highlight w:val="none"/>
        </w:rPr>
      </w:pPr>
    </w:p>
    <w:p>
      <w:pPr>
        <w:snapToGrid w:val="0"/>
        <w:spacing w:beforeLines="50" w:line="360" w:lineRule="auto"/>
        <w:jc w:val="center"/>
        <w:rPr>
          <w:rFonts w:ascii="隶书" w:eastAsia="隶书"/>
          <w:color w:val="auto"/>
          <w:sz w:val="48"/>
          <w:szCs w:val="48"/>
          <w:highlight w:val="none"/>
        </w:rPr>
      </w:pPr>
      <w:r>
        <w:rPr>
          <w:rFonts w:hint="eastAsia" w:ascii="隶书" w:eastAsia="隶书"/>
          <w:color w:val="auto"/>
          <w:sz w:val="48"/>
          <w:szCs w:val="48"/>
          <w:highlight w:val="none"/>
        </w:rPr>
        <w:t>目   录</w:t>
      </w:r>
    </w:p>
    <w:p>
      <w:pPr>
        <w:spacing w:beforeLines="50" w:line="600" w:lineRule="auto"/>
        <w:ind w:left="36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第一章 公开招标公告……………………………………………… 2</w:t>
      </w:r>
    </w:p>
    <w:p>
      <w:pPr>
        <w:spacing w:beforeLines="50" w:line="600" w:lineRule="auto"/>
        <w:ind w:firstLine="358" w:firstLineChars="128"/>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第二章 招标项目采购需求 …………………………………………5</w:t>
      </w:r>
    </w:p>
    <w:p>
      <w:pPr>
        <w:spacing w:beforeLines="50" w:line="600" w:lineRule="auto"/>
        <w:ind w:left="36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第三章 投标人须知 …………………………………………………13</w:t>
      </w:r>
    </w:p>
    <w:p>
      <w:pPr>
        <w:spacing w:beforeLines="50" w:line="600" w:lineRule="auto"/>
        <w:ind w:left="36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第四章 评标方法及评定标准 ………………………………………25</w:t>
      </w:r>
    </w:p>
    <w:p>
      <w:pPr>
        <w:spacing w:beforeLines="50" w:line="600" w:lineRule="auto"/>
        <w:ind w:left="36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第五章 政府采购合同主要条款 ……………………………………28</w:t>
      </w:r>
    </w:p>
    <w:p>
      <w:pPr>
        <w:spacing w:beforeLines="50" w:line="600" w:lineRule="auto"/>
        <w:ind w:left="36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第六章 投标文件格式 ………………………………………………36</w:t>
      </w:r>
    </w:p>
    <w:p>
      <w:pPr>
        <w:spacing w:beforeLines="50" w:line="480" w:lineRule="exact"/>
        <w:rPr>
          <w:rFonts w:ascii="仿宋_GB2312" w:hAnsi="宋体" w:eastAsia="仿宋_GB2312"/>
          <w:color w:val="auto"/>
          <w:sz w:val="28"/>
          <w:szCs w:val="28"/>
          <w:highlight w:val="none"/>
        </w:rPr>
      </w:pPr>
    </w:p>
    <w:p>
      <w:pPr>
        <w:spacing w:beforeLines="50" w:line="480" w:lineRule="exact"/>
        <w:rPr>
          <w:rFonts w:ascii="仿宋_GB2312" w:hAnsi="宋体" w:eastAsia="仿宋_GB2312"/>
          <w:color w:val="auto"/>
          <w:sz w:val="30"/>
          <w:highlight w:val="none"/>
        </w:rPr>
      </w:pPr>
    </w:p>
    <w:p>
      <w:pPr>
        <w:spacing w:beforeLines="50" w:line="480" w:lineRule="exact"/>
        <w:rPr>
          <w:rFonts w:ascii="仿宋_GB2312" w:hAnsi="宋体" w:eastAsia="仿宋_GB2312"/>
          <w:color w:val="auto"/>
          <w:sz w:val="30"/>
          <w:highlight w:val="none"/>
        </w:rPr>
      </w:pPr>
    </w:p>
    <w:p>
      <w:pPr>
        <w:spacing w:beforeLines="50" w:line="480" w:lineRule="exact"/>
        <w:rPr>
          <w:rFonts w:ascii="仿宋_GB2312" w:hAnsi="宋体" w:eastAsia="仿宋_GB2312"/>
          <w:color w:val="auto"/>
          <w:sz w:val="30"/>
          <w:highlight w:val="none"/>
        </w:rPr>
      </w:pPr>
    </w:p>
    <w:p>
      <w:pPr>
        <w:spacing w:beforeLines="50" w:line="480" w:lineRule="exact"/>
        <w:rPr>
          <w:rFonts w:ascii="仿宋_GB2312" w:hAnsi="宋体" w:eastAsia="仿宋_GB2312"/>
          <w:color w:val="auto"/>
          <w:sz w:val="30"/>
          <w:highlight w:val="none"/>
        </w:rPr>
      </w:pPr>
    </w:p>
    <w:p>
      <w:pPr>
        <w:spacing w:beforeLines="50" w:line="480" w:lineRule="exact"/>
        <w:rPr>
          <w:rFonts w:ascii="仿宋_GB2312" w:hAnsi="宋体" w:eastAsia="仿宋_GB2312"/>
          <w:color w:val="auto"/>
          <w:sz w:val="30"/>
          <w:highlight w:val="none"/>
        </w:rPr>
      </w:pPr>
    </w:p>
    <w:p>
      <w:pPr>
        <w:pStyle w:val="180"/>
        <w:widowControl w:val="0"/>
        <w:spacing w:after="156"/>
        <w:ind w:firstLine="883"/>
        <w:jc w:val="center"/>
        <w:rPr>
          <w:rFonts w:ascii="仿宋_GB2312" w:hAnsi="宋体" w:eastAsia="仿宋_GB2312"/>
          <w:b/>
          <w:color w:val="auto"/>
          <w:sz w:val="44"/>
          <w:szCs w:val="44"/>
          <w:highlight w:val="none"/>
        </w:rPr>
      </w:pPr>
      <w:r>
        <w:rPr>
          <w:rFonts w:ascii="仿宋_GB2312" w:hAnsi="宋体" w:eastAsia="仿宋_GB2312"/>
          <w:b/>
          <w:color w:val="auto"/>
          <w:sz w:val="44"/>
          <w:szCs w:val="44"/>
          <w:highlight w:val="none"/>
        </w:rPr>
        <w:br w:type="page"/>
      </w:r>
    </w:p>
    <w:p>
      <w:pPr>
        <w:pStyle w:val="180"/>
        <w:widowControl w:val="0"/>
        <w:spacing w:after="156"/>
        <w:ind w:firstLine="883"/>
        <w:jc w:val="center"/>
        <w:rPr>
          <w:rFonts w:ascii="仿宋_GB2312" w:hAnsi="宋体" w:eastAsia="仿宋_GB2312"/>
          <w:b/>
          <w:color w:val="auto"/>
          <w:sz w:val="44"/>
          <w:szCs w:val="44"/>
          <w:highlight w:val="none"/>
        </w:rPr>
      </w:pPr>
    </w:p>
    <w:p>
      <w:pPr>
        <w:pStyle w:val="180"/>
        <w:widowControl w:val="0"/>
        <w:spacing w:after="156"/>
        <w:ind w:firstLine="883"/>
        <w:jc w:val="center"/>
        <w:rPr>
          <w:rFonts w:ascii="仿宋_GB2312" w:hAnsi="宋体" w:eastAsia="仿宋_GB2312"/>
          <w:b/>
          <w:color w:val="auto"/>
          <w:sz w:val="44"/>
          <w:szCs w:val="44"/>
          <w:highlight w:val="none"/>
        </w:rPr>
      </w:pPr>
    </w:p>
    <w:p>
      <w:pPr>
        <w:pStyle w:val="180"/>
        <w:widowControl w:val="0"/>
        <w:spacing w:after="156"/>
        <w:ind w:firstLine="883"/>
        <w:jc w:val="center"/>
        <w:rPr>
          <w:rFonts w:ascii="仿宋_GB2312" w:hAnsi="宋体" w:eastAsia="仿宋_GB2312"/>
          <w:b/>
          <w:color w:val="auto"/>
          <w:sz w:val="44"/>
          <w:szCs w:val="44"/>
          <w:highlight w:val="none"/>
        </w:rPr>
      </w:pPr>
    </w:p>
    <w:p>
      <w:pPr>
        <w:pStyle w:val="180"/>
        <w:widowControl w:val="0"/>
        <w:spacing w:after="156"/>
        <w:ind w:firstLine="883"/>
        <w:jc w:val="center"/>
        <w:rPr>
          <w:rFonts w:ascii="仿宋_GB2312" w:hAnsi="宋体" w:eastAsia="仿宋_GB2312"/>
          <w:b/>
          <w:color w:val="auto"/>
          <w:sz w:val="44"/>
          <w:szCs w:val="44"/>
          <w:highlight w:val="none"/>
        </w:rPr>
      </w:pPr>
    </w:p>
    <w:p>
      <w:pPr>
        <w:pStyle w:val="180"/>
        <w:widowControl w:val="0"/>
        <w:spacing w:after="156"/>
        <w:ind w:firstLine="883"/>
        <w:jc w:val="center"/>
        <w:rPr>
          <w:rFonts w:ascii="仿宋_GB2312" w:hAnsi="宋体" w:eastAsia="仿宋_GB2312"/>
          <w:b/>
          <w:color w:val="auto"/>
          <w:sz w:val="44"/>
          <w:szCs w:val="44"/>
          <w:highlight w:val="none"/>
        </w:rPr>
      </w:pPr>
    </w:p>
    <w:p>
      <w:pPr>
        <w:pStyle w:val="180"/>
        <w:widowControl w:val="0"/>
        <w:spacing w:after="156"/>
        <w:ind w:firstLine="883"/>
        <w:jc w:val="center"/>
        <w:rPr>
          <w:rFonts w:ascii="仿宋_GB2312" w:hAnsi="宋体" w:eastAsia="仿宋_GB2312"/>
          <w:b/>
          <w:color w:val="auto"/>
          <w:sz w:val="44"/>
          <w:szCs w:val="44"/>
          <w:highlight w:val="none"/>
        </w:rPr>
      </w:pPr>
    </w:p>
    <w:p>
      <w:pPr>
        <w:pStyle w:val="180"/>
        <w:widowControl w:val="0"/>
        <w:spacing w:after="156"/>
        <w:ind w:firstLine="883"/>
        <w:jc w:val="center"/>
        <w:rPr>
          <w:rFonts w:ascii="仿宋_GB2312" w:hAnsi="宋体" w:eastAsia="仿宋_GB2312"/>
          <w:b/>
          <w:color w:val="auto"/>
          <w:sz w:val="44"/>
          <w:szCs w:val="44"/>
          <w:highlight w:val="none"/>
        </w:rPr>
      </w:pPr>
    </w:p>
    <w:p>
      <w:pPr>
        <w:pStyle w:val="180"/>
        <w:widowControl w:val="0"/>
        <w:spacing w:after="156"/>
        <w:ind w:firstLine="883"/>
        <w:jc w:val="center"/>
        <w:rPr>
          <w:rFonts w:ascii="仿宋_GB2312" w:hAnsi="宋体" w:eastAsia="仿宋_GB2312"/>
          <w:b/>
          <w:color w:val="auto"/>
          <w:sz w:val="44"/>
          <w:szCs w:val="44"/>
          <w:highlight w:val="none"/>
        </w:rPr>
      </w:pPr>
    </w:p>
    <w:p>
      <w:pPr>
        <w:pStyle w:val="180"/>
        <w:widowControl w:val="0"/>
        <w:spacing w:after="156"/>
        <w:ind w:firstLine="0" w:firstLineChars="0"/>
        <w:jc w:val="center"/>
        <w:rPr>
          <w:rFonts w:ascii="黑体" w:hAnsi="宋体" w:eastAsia="黑体"/>
          <w:color w:val="auto"/>
          <w:sz w:val="32"/>
          <w:szCs w:val="32"/>
          <w:highlight w:val="none"/>
        </w:rPr>
      </w:pPr>
      <w:r>
        <w:rPr>
          <w:rFonts w:hint="eastAsia" w:ascii="仿宋_GB2312" w:hAnsi="宋体" w:eastAsia="仿宋_GB2312"/>
          <w:b/>
          <w:color w:val="auto"/>
          <w:sz w:val="44"/>
          <w:szCs w:val="44"/>
          <w:highlight w:val="none"/>
        </w:rPr>
        <w:t>第一章  公开招标公告</w:t>
      </w:r>
    </w:p>
    <w:p>
      <w:pPr>
        <w:pStyle w:val="180"/>
        <w:widowControl w:val="0"/>
        <w:spacing w:after="156" w:line="300" w:lineRule="exact"/>
        <w:ind w:firstLine="640"/>
        <w:jc w:val="center"/>
        <w:rPr>
          <w:rFonts w:ascii="黑体" w:hAnsi="宋体" w:eastAsia="黑体"/>
          <w:color w:val="auto"/>
          <w:sz w:val="32"/>
          <w:szCs w:val="32"/>
          <w:highlight w:val="none"/>
        </w:rPr>
      </w:pPr>
    </w:p>
    <w:p>
      <w:pPr>
        <w:pStyle w:val="180"/>
        <w:widowControl w:val="0"/>
        <w:spacing w:after="156" w:line="300" w:lineRule="exact"/>
        <w:ind w:firstLine="640"/>
        <w:jc w:val="center"/>
        <w:rPr>
          <w:rFonts w:ascii="黑体" w:hAnsi="宋体" w:eastAsia="黑体"/>
          <w:color w:val="auto"/>
          <w:sz w:val="32"/>
          <w:szCs w:val="32"/>
          <w:highlight w:val="none"/>
        </w:rPr>
      </w:pPr>
    </w:p>
    <w:p>
      <w:pPr>
        <w:pStyle w:val="180"/>
        <w:widowControl w:val="0"/>
        <w:spacing w:after="156" w:line="300" w:lineRule="exact"/>
        <w:ind w:firstLine="640"/>
        <w:jc w:val="center"/>
        <w:rPr>
          <w:rFonts w:ascii="黑体" w:hAnsi="宋体" w:eastAsia="黑体"/>
          <w:color w:val="auto"/>
          <w:sz w:val="32"/>
          <w:szCs w:val="32"/>
          <w:highlight w:val="none"/>
        </w:rPr>
      </w:pPr>
    </w:p>
    <w:p>
      <w:pPr>
        <w:pStyle w:val="180"/>
        <w:widowControl w:val="0"/>
        <w:spacing w:after="156" w:line="300" w:lineRule="exact"/>
        <w:ind w:firstLine="640"/>
        <w:jc w:val="center"/>
        <w:rPr>
          <w:rFonts w:ascii="黑体" w:hAnsi="宋体" w:eastAsia="黑体"/>
          <w:color w:val="auto"/>
          <w:sz w:val="32"/>
          <w:szCs w:val="32"/>
          <w:highlight w:val="none"/>
        </w:rPr>
      </w:pPr>
    </w:p>
    <w:p>
      <w:pPr>
        <w:pStyle w:val="180"/>
        <w:widowControl w:val="0"/>
        <w:spacing w:after="156" w:line="300" w:lineRule="exact"/>
        <w:ind w:firstLine="640"/>
        <w:jc w:val="center"/>
        <w:rPr>
          <w:rFonts w:ascii="黑体" w:hAnsi="宋体" w:eastAsia="黑体"/>
          <w:color w:val="auto"/>
          <w:sz w:val="32"/>
          <w:szCs w:val="32"/>
          <w:highlight w:val="none"/>
        </w:rPr>
      </w:pPr>
    </w:p>
    <w:p>
      <w:pPr>
        <w:pStyle w:val="180"/>
        <w:widowControl w:val="0"/>
        <w:spacing w:after="156" w:line="300" w:lineRule="exact"/>
        <w:ind w:firstLine="640"/>
        <w:jc w:val="center"/>
        <w:rPr>
          <w:rFonts w:ascii="黑体" w:hAnsi="宋体" w:eastAsia="黑体"/>
          <w:color w:val="auto"/>
          <w:sz w:val="32"/>
          <w:szCs w:val="32"/>
          <w:highlight w:val="none"/>
        </w:rPr>
      </w:pPr>
    </w:p>
    <w:p>
      <w:pPr>
        <w:pStyle w:val="180"/>
        <w:widowControl w:val="0"/>
        <w:spacing w:after="156" w:line="300" w:lineRule="exact"/>
        <w:ind w:firstLine="640"/>
        <w:jc w:val="center"/>
        <w:rPr>
          <w:rFonts w:ascii="黑体" w:hAnsi="宋体" w:eastAsia="黑体"/>
          <w:color w:val="auto"/>
          <w:sz w:val="32"/>
          <w:szCs w:val="32"/>
          <w:highlight w:val="none"/>
        </w:rPr>
      </w:pPr>
    </w:p>
    <w:p>
      <w:pPr>
        <w:pStyle w:val="180"/>
        <w:widowControl w:val="0"/>
        <w:spacing w:after="156" w:line="300" w:lineRule="exact"/>
        <w:ind w:firstLine="640"/>
        <w:jc w:val="center"/>
        <w:rPr>
          <w:rFonts w:ascii="黑体" w:hAnsi="宋体" w:eastAsia="黑体"/>
          <w:color w:val="auto"/>
          <w:sz w:val="32"/>
          <w:szCs w:val="32"/>
          <w:highlight w:val="none"/>
        </w:rPr>
      </w:pPr>
    </w:p>
    <w:p>
      <w:pPr>
        <w:pStyle w:val="180"/>
        <w:widowControl w:val="0"/>
        <w:spacing w:after="156" w:line="300" w:lineRule="exact"/>
        <w:ind w:firstLine="640"/>
        <w:jc w:val="center"/>
        <w:rPr>
          <w:rFonts w:ascii="黑体" w:hAnsi="宋体" w:eastAsia="黑体"/>
          <w:color w:val="auto"/>
          <w:sz w:val="32"/>
          <w:szCs w:val="32"/>
          <w:highlight w:val="none"/>
        </w:rPr>
      </w:pPr>
    </w:p>
    <w:p>
      <w:pPr>
        <w:pStyle w:val="180"/>
        <w:widowControl w:val="0"/>
        <w:spacing w:after="156" w:line="300" w:lineRule="exact"/>
        <w:ind w:firstLine="640"/>
        <w:jc w:val="center"/>
        <w:rPr>
          <w:rFonts w:ascii="黑体" w:hAnsi="宋体" w:eastAsia="黑体"/>
          <w:color w:val="auto"/>
          <w:sz w:val="32"/>
          <w:szCs w:val="32"/>
          <w:highlight w:val="none"/>
        </w:rPr>
      </w:pPr>
    </w:p>
    <w:p>
      <w:pPr>
        <w:pStyle w:val="180"/>
        <w:widowControl w:val="0"/>
        <w:spacing w:after="156" w:line="300" w:lineRule="exact"/>
        <w:ind w:firstLine="640"/>
        <w:jc w:val="center"/>
        <w:rPr>
          <w:rFonts w:ascii="黑体" w:hAnsi="宋体" w:eastAsia="黑体"/>
          <w:color w:val="auto"/>
          <w:sz w:val="32"/>
          <w:szCs w:val="32"/>
          <w:highlight w:val="none"/>
        </w:rPr>
      </w:pPr>
    </w:p>
    <w:p>
      <w:pPr>
        <w:pStyle w:val="180"/>
        <w:widowControl w:val="0"/>
        <w:spacing w:after="156" w:line="300" w:lineRule="exact"/>
        <w:ind w:firstLine="640"/>
        <w:jc w:val="center"/>
        <w:rPr>
          <w:rFonts w:ascii="黑体" w:hAnsi="宋体" w:eastAsia="黑体"/>
          <w:color w:val="auto"/>
          <w:sz w:val="32"/>
          <w:szCs w:val="32"/>
          <w:highlight w:val="none"/>
        </w:rPr>
      </w:pPr>
    </w:p>
    <w:p>
      <w:pPr>
        <w:pStyle w:val="180"/>
        <w:widowControl w:val="0"/>
        <w:spacing w:after="156" w:line="300" w:lineRule="exact"/>
        <w:ind w:firstLine="640"/>
        <w:jc w:val="center"/>
        <w:rPr>
          <w:rFonts w:ascii="黑体" w:hAnsi="宋体" w:eastAsia="黑体"/>
          <w:color w:val="auto"/>
          <w:sz w:val="32"/>
          <w:szCs w:val="32"/>
          <w:highlight w:val="none"/>
        </w:rPr>
      </w:pPr>
    </w:p>
    <w:p>
      <w:pPr>
        <w:pStyle w:val="180"/>
        <w:widowControl w:val="0"/>
        <w:spacing w:after="156" w:line="300" w:lineRule="exact"/>
        <w:ind w:firstLine="640"/>
        <w:jc w:val="center"/>
        <w:rPr>
          <w:rFonts w:ascii="黑体" w:hAnsi="宋体" w:eastAsia="黑体"/>
          <w:color w:val="auto"/>
          <w:sz w:val="32"/>
          <w:szCs w:val="32"/>
          <w:highlight w:val="none"/>
        </w:rPr>
      </w:pPr>
    </w:p>
    <w:p>
      <w:pPr>
        <w:pStyle w:val="180"/>
        <w:widowControl w:val="0"/>
        <w:spacing w:after="156" w:line="300" w:lineRule="exact"/>
        <w:ind w:firstLine="640"/>
        <w:jc w:val="center"/>
        <w:rPr>
          <w:rFonts w:ascii="黑体" w:hAnsi="宋体" w:eastAsia="黑体"/>
          <w:color w:val="auto"/>
          <w:sz w:val="32"/>
          <w:szCs w:val="32"/>
          <w:highlight w:val="none"/>
        </w:rPr>
      </w:pPr>
    </w:p>
    <w:p>
      <w:pPr>
        <w:pStyle w:val="180"/>
        <w:widowControl w:val="0"/>
        <w:spacing w:after="156" w:line="300" w:lineRule="exact"/>
        <w:ind w:firstLine="640"/>
        <w:jc w:val="center"/>
        <w:rPr>
          <w:rFonts w:ascii="黑体" w:hAnsi="宋体" w:eastAsia="黑体"/>
          <w:color w:val="auto"/>
          <w:sz w:val="32"/>
          <w:szCs w:val="32"/>
          <w:highlight w:val="none"/>
        </w:rPr>
      </w:pPr>
    </w:p>
    <w:p>
      <w:pPr>
        <w:pStyle w:val="180"/>
        <w:widowControl w:val="0"/>
        <w:spacing w:after="156" w:line="300" w:lineRule="exact"/>
        <w:ind w:firstLine="640"/>
        <w:jc w:val="center"/>
        <w:rPr>
          <w:rFonts w:ascii="黑体" w:hAnsi="宋体" w:eastAsia="黑体"/>
          <w:color w:val="auto"/>
          <w:sz w:val="32"/>
          <w:szCs w:val="32"/>
          <w:highlight w:val="none"/>
        </w:rPr>
      </w:pPr>
    </w:p>
    <w:p>
      <w:pPr>
        <w:pStyle w:val="180"/>
        <w:widowControl w:val="0"/>
        <w:spacing w:after="156" w:line="300" w:lineRule="exact"/>
        <w:ind w:firstLine="0" w:firstLineChars="0"/>
        <w:jc w:val="center"/>
        <w:rPr>
          <w:rFonts w:ascii="黑体" w:hAnsi="宋体" w:eastAsia="黑体"/>
          <w:color w:val="auto"/>
          <w:sz w:val="32"/>
          <w:szCs w:val="32"/>
          <w:highlight w:val="none"/>
        </w:rPr>
      </w:pPr>
      <w:r>
        <w:rPr>
          <w:rFonts w:hint="eastAsia" w:ascii="黑体" w:hAnsi="宋体" w:eastAsia="黑体"/>
          <w:color w:val="auto"/>
          <w:sz w:val="32"/>
          <w:szCs w:val="32"/>
          <w:highlight w:val="none"/>
        </w:rPr>
        <w:t>公开招标公告</w:t>
      </w:r>
    </w:p>
    <w:p>
      <w:pPr>
        <w:pStyle w:val="180"/>
        <w:widowControl w:val="0"/>
        <w:spacing w:after="156" w:line="300" w:lineRule="exact"/>
        <w:ind w:firstLine="0" w:firstLineChars="0"/>
        <w:jc w:val="center"/>
        <w:rPr>
          <w:rFonts w:ascii="仿宋_GB2312" w:hAnsi="宋体" w:eastAsia="仿宋_GB2312"/>
          <w:color w:val="auto"/>
          <w:sz w:val="28"/>
          <w:szCs w:val="28"/>
          <w:highlight w:val="none"/>
        </w:rPr>
      </w:pPr>
    </w:p>
    <w:p>
      <w:pPr>
        <w:pStyle w:val="180"/>
        <w:widowControl w:val="0"/>
        <w:spacing w:after="156" w:line="360" w:lineRule="exact"/>
        <w:ind w:firstLine="420"/>
        <w:rPr>
          <w:rFonts w:ascii="宋体" w:hAnsi="宋体"/>
          <w:color w:val="auto"/>
          <w:sz w:val="21"/>
          <w:szCs w:val="21"/>
          <w:highlight w:val="none"/>
        </w:rPr>
      </w:pPr>
      <w:r>
        <w:rPr>
          <w:rFonts w:hint="eastAsia" w:ascii="宋体" w:hAnsi="宋体"/>
          <w:color w:val="auto"/>
          <w:sz w:val="21"/>
          <w:szCs w:val="21"/>
          <w:highlight w:val="none"/>
        </w:rPr>
        <w:t>根据《中华人民共和国政府采购法》、《政府采购货物和服务招标投标管理办法》等有关规定，以及广西壮族自治区财政厅政府采购监督管理处的采购计划文号（广西政采[2020]8311号-001），现对</w:t>
      </w:r>
      <w:r>
        <w:rPr>
          <w:rFonts w:hint="eastAsia" w:ascii="宋体" w:hAnsi="宋体"/>
          <w:color w:val="auto"/>
          <w:sz w:val="21"/>
          <w:szCs w:val="21"/>
          <w:highlight w:val="none"/>
          <w:u w:val="single"/>
        </w:rPr>
        <w:t>广西壮族自治区人民医院</w:t>
      </w:r>
      <w:r>
        <w:rPr>
          <w:rFonts w:hint="eastAsia" w:ascii="宋体" w:hAnsi="宋体"/>
          <w:color w:val="auto"/>
          <w:sz w:val="21"/>
          <w:szCs w:val="21"/>
          <w:highlight w:val="none"/>
        </w:rPr>
        <w:t>的</w:t>
      </w:r>
      <w:r>
        <w:rPr>
          <w:rFonts w:hint="eastAsia" w:ascii="宋体" w:hAnsi="宋体"/>
          <w:color w:val="auto"/>
          <w:sz w:val="21"/>
          <w:szCs w:val="21"/>
          <w:highlight w:val="none"/>
          <w:u w:val="single"/>
        </w:rPr>
        <w:t>中药配方颗粒配送服务</w:t>
      </w:r>
      <w:r>
        <w:rPr>
          <w:rFonts w:hint="eastAsia" w:ascii="宋体" w:hAnsi="宋体"/>
          <w:color w:val="auto"/>
          <w:sz w:val="21"/>
          <w:szCs w:val="21"/>
          <w:highlight w:val="none"/>
        </w:rPr>
        <w:t>项目进行公开招标，欢迎符合条件的供应商前来投标。</w:t>
      </w:r>
    </w:p>
    <w:p>
      <w:pPr>
        <w:snapToGrid w:val="0"/>
        <w:spacing w:line="340" w:lineRule="exact"/>
        <w:ind w:firstLine="422" w:firstLineChars="200"/>
        <w:rPr>
          <w:rFonts w:ascii="宋体" w:hAnsi="宋体"/>
          <w:b/>
          <w:bCs/>
          <w:color w:val="auto"/>
          <w:szCs w:val="21"/>
          <w:highlight w:val="none"/>
        </w:rPr>
      </w:pPr>
      <w:r>
        <w:rPr>
          <w:rFonts w:hint="eastAsia" w:ascii="宋体" w:hAnsi="宋体" w:cs="Arial"/>
          <w:b/>
          <w:color w:val="auto"/>
          <w:szCs w:val="21"/>
          <w:highlight w:val="none"/>
        </w:rPr>
        <w:t>一、采购项目名称：</w:t>
      </w:r>
      <w:r>
        <w:rPr>
          <w:rFonts w:hint="eastAsia" w:ascii="宋体" w:hAnsi="宋体"/>
          <w:b/>
          <w:bCs/>
          <w:color w:val="auto"/>
          <w:szCs w:val="21"/>
          <w:highlight w:val="none"/>
        </w:rPr>
        <w:t>中药配方颗粒配送服务采购</w:t>
      </w:r>
    </w:p>
    <w:p>
      <w:pPr>
        <w:ind w:firstLine="422" w:firstLineChars="200"/>
        <w:rPr>
          <w:rFonts w:ascii="宋体" w:hAnsi="宋体" w:cs="Arial"/>
          <w:b/>
          <w:color w:val="auto"/>
          <w:szCs w:val="21"/>
          <w:highlight w:val="none"/>
        </w:rPr>
      </w:pPr>
      <w:r>
        <w:rPr>
          <w:rFonts w:hint="eastAsia" w:ascii="宋体" w:hAnsi="宋体" w:cs="Arial"/>
          <w:b/>
          <w:bCs/>
          <w:color w:val="auto"/>
          <w:szCs w:val="21"/>
          <w:highlight w:val="none"/>
        </w:rPr>
        <w:t>二、采购项目编号：</w:t>
      </w:r>
      <w:r>
        <w:rPr>
          <w:rFonts w:ascii="宋体" w:hAnsi="宋体" w:cs="Arial"/>
          <w:b/>
          <w:bCs/>
          <w:color w:val="auto"/>
          <w:szCs w:val="21"/>
          <w:highlight w:val="none"/>
        </w:rPr>
        <w:t>GXZC2020-G3-001624-GDZB</w:t>
      </w:r>
    </w:p>
    <w:p>
      <w:pPr>
        <w:snapToGrid w:val="0"/>
        <w:spacing w:line="340" w:lineRule="exact"/>
        <w:ind w:firstLine="422" w:firstLineChars="200"/>
        <w:rPr>
          <w:rFonts w:ascii="宋体" w:hAnsi="宋体" w:cs="Arial"/>
          <w:b/>
          <w:color w:val="auto"/>
          <w:szCs w:val="21"/>
          <w:highlight w:val="none"/>
        </w:rPr>
      </w:pPr>
      <w:r>
        <w:rPr>
          <w:rFonts w:hint="eastAsia" w:ascii="宋体" w:hAnsi="宋体" w:cs="Arial"/>
          <w:b/>
          <w:color w:val="auto"/>
          <w:szCs w:val="21"/>
          <w:highlight w:val="none"/>
        </w:rPr>
        <w:t>三、采购项目的名称及数量或项目基本概况介绍：</w:t>
      </w:r>
    </w:p>
    <w:p>
      <w:pPr>
        <w:snapToGrid w:val="0"/>
        <w:spacing w:line="340" w:lineRule="exact"/>
        <w:ind w:firstLine="843" w:firstLineChars="400"/>
        <w:rPr>
          <w:rFonts w:ascii="宋体" w:hAnsi="宋体" w:cs="Arial"/>
          <w:b/>
          <w:color w:val="auto"/>
          <w:szCs w:val="21"/>
          <w:highlight w:val="none"/>
        </w:rPr>
      </w:pPr>
      <w:r>
        <w:rPr>
          <w:rFonts w:hint="eastAsia" w:ascii="宋体" w:hAnsi="宋体" w:cs="Arial"/>
          <w:b/>
          <w:color w:val="auto"/>
          <w:szCs w:val="21"/>
          <w:highlight w:val="none"/>
        </w:rPr>
        <w:t>本项目：中药配方颗粒配送服务1项。</w:t>
      </w:r>
      <w:r>
        <w:rPr>
          <w:rFonts w:hint="eastAsia" w:ascii="宋体" w:hAnsi="宋体"/>
          <w:color w:val="auto"/>
          <w:szCs w:val="21"/>
          <w:highlight w:val="none"/>
        </w:rPr>
        <w:t>如需进一步了解详细内容，详见招标文件。</w:t>
      </w:r>
    </w:p>
    <w:p>
      <w:pPr>
        <w:snapToGrid w:val="0"/>
        <w:spacing w:line="340" w:lineRule="exact"/>
        <w:ind w:firstLine="422" w:firstLineChars="200"/>
        <w:rPr>
          <w:rFonts w:ascii="宋体" w:hAnsi="宋体"/>
          <w:color w:val="auto"/>
          <w:szCs w:val="21"/>
          <w:highlight w:val="none"/>
        </w:rPr>
      </w:pPr>
      <w:r>
        <w:rPr>
          <w:rFonts w:hint="eastAsia" w:ascii="宋体" w:hAnsi="宋体" w:cs="Arial"/>
          <w:b/>
          <w:color w:val="auto"/>
          <w:szCs w:val="21"/>
          <w:highlight w:val="none"/>
        </w:rPr>
        <w:t>四、采购项目预算金额（人民币）约：</w:t>
      </w:r>
      <w:r>
        <w:rPr>
          <w:rFonts w:hint="eastAsia" w:ascii="宋体" w:hAnsi="宋体"/>
          <w:b/>
          <w:color w:val="auto"/>
          <w:szCs w:val="21"/>
          <w:highlight w:val="none"/>
          <w:u w:val="single"/>
        </w:rPr>
        <w:t xml:space="preserve">  900</w:t>
      </w:r>
      <w:r>
        <w:rPr>
          <w:rFonts w:hint="eastAsia" w:ascii="宋体" w:hAnsi="宋体"/>
          <w:b/>
          <w:color w:val="auto"/>
          <w:szCs w:val="21"/>
          <w:highlight w:val="none"/>
        </w:rPr>
        <w:t>万元/年</w:t>
      </w:r>
      <w:r>
        <w:rPr>
          <w:rFonts w:hint="eastAsia" w:ascii="宋体" w:hAnsi="宋体"/>
          <w:b/>
          <w:color w:val="auto"/>
          <w:szCs w:val="21"/>
          <w:highlight w:val="none"/>
          <w:u w:val="single"/>
        </w:rPr>
        <w:t>； 2700</w:t>
      </w:r>
      <w:r>
        <w:rPr>
          <w:rFonts w:hint="eastAsia" w:ascii="宋体" w:hAnsi="宋体"/>
          <w:b/>
          <w:color w:val="auto"/>
          <w:szCs w:val="21"/>
          <w:highlight w:val="none"/>
        </w:rPr>
        <w:t>万元/三年</w:t>
      </w:r>
      <w:r>
        <w:rPr>
          <w:rFonts w:hint="eastAsia" w:ascii="宋体" w:hAnsi="宋体"/>
          <w:color w:val="auto"/>
          <w:szCs w:val="21"/>
          <w:highlight w:val="none"/>
        </w:rPr>
        <w:t>。</w:t>
      </w:r>
    </w:p>
    <w:p>
      <w:pPr>
        <w:widowControl/>
        <w:spacing w:line="340" w:lineRule="exact"/>
        <w:ind w:firstLine="413" w:firstLineChars="196"/>
        <w:rPr>
          <w:rFonts w:ascii="宋体" w:hAnsi="宋体"/>
          <w:color w:val="auto"/>
          <w:szCs w:val="21"/>
          <w:highlight w:val="none"/>
        </w:rPr>
      </w:pPr>
      <w:r>
        <w:rPr>
          <w:rFonts w:hint="eastAsia" w:ascii="宋体" w:hAnsi="宋体" w:cs="Arial"/>
          <w:b/>
          <w:color w:val="auto"/>
          <w:szCs w:val="21"/>
          <w:highlight w:val="none"/>
        </w:rPr>
        <w:t>五、</w:t>
      </w:r>
      <w:r>
        <w:rPr>
          <w:rFonts w:hint="eastAsia" w:ascii="宋体" w:hAnsi="宋体" w:cs="Arial"/>
          <w:b/>
          <w:bCs/>
          <w:color w:val="auto"/>
          <w:szCs w:val="21"/>
          <w:highlight w:val="none"/>
        </w:rPr>
        <w:t>本项目需要落实的政府采购政策:</w:t>
      </w:r>
      <w:r>
        <w:rPr>
          <w:rFonts w:hint="eastAsia" w:ascii="宋体" w:hAnsi="宋体"/>
          <w:color w:val="auto"/>
          <w:szCs w:val="21"/>
          <w:highlight w:val="none"/>
        </w:rPr>
        <w:t xml:space="preserve"> </w:t>
      </w:r>
    </w:p>
    <w:p>
      <w:pPr>
        <w:snapToGrid w:val="0"/>
        <w:spacing w:line="340" w:lineRule="exact"/>
        <w:ind w:firstLine="411" w:firstLineChars="196"/>
        <w:rPr>
          <w:rFonts w:cs="宋体"/>
          <w:color w:val="auto"/>
          <w:highlight w:val="none"/>
          <w:lang w:val="zh-CN"/>
        </w:rPr>
      </w:pPr>
      <w:r>
        <w:rPr>
          <w:rFonts w:hint="eastAsia" w:cs="宋体"/>
          <w:color w:val="auto"/>
          <w:highlight w:val="none"/>
          <w:lang w:val="zh-CN"/>
        </w:rPr>
        <w:t>扶持中小企业政策：评审时小型和微型企业产品的价格给予6%的扣除。监狱企业、残疾人福利性单位视同小型和微型企业，其产品在评审时给予相同的价格扣除。如需进一步了解详细内容，详见招标文件《招标项目采购需求》及《评标方法及评定标准》。</w:t>
      </w:r>
    </w:p>
    <w:p>
      <w:pPr>
        <w:spacing w:line="340" w:lineRule="exact"/>
        <w:ind w:firstLine="420"/>
        <w:rPr>
          <w:rFonts w:ascii="宋体" w:hAnsi="宋体"/>
          <w:b/>
          <w:color w:val="auto"/>
          <w:szCs w:val="21"/>
          <w:highlight w:val="none"/>
        </w:rPr>
      </w:pPr>
      <w:r>
        <w:rPr>
          <w:rFonts w:hint="eastAsia" w:ascii="宋体" w:hAnsi="宋体"/>
          <w:b/>
          <w:color w:val="auto"/>
          <w:szCs w:val="21"/>
          <w:highlight w:val="none"/>
        </w:rPr>
        <w:t>六、投标人资格要求：</w:t>
      </w:r>
    </w:p>
    <w:p>
      <w:pPr>
        <w:spacing w:line="340" w:lineRule="exact"/>
        <w:ind w:right="-178" w:rightChars="-85" w:firstLine="420" w:firstLineChars="200"/>
        <w:jc w:val="left"/>
        <w:rPr>
          <w:rFonts w:ascii="宋体" w:hAnsi="宋体"/>
          <w:color w:val="auto"/>
          <w:szCs w:val="21"/>
          <w:highlight w:val="none"/>
        </w:rPr>
      </w:pPr>
      <w:r>
        <w:rPr>
          <w:rFonts w:hint="eastAsia" w:ascii="宋体" w:hAnsi="宋体"/>
          <w:color w:val="auto"/>
          <w:szCs w:val="21"/>
          <w:highlight w:val="none"/>
        </w:rPr>
        <w:t>1、国内注册（指按国家有关规定要求注册的）生产或注册经营范围达到本次招标服务采购要求，符合《中华人民共和国政府采购法》第二十二条的规定，并在人员、设备、资金等方面具备承担本次采购服务项的企事业单位。</w:t>
      </w:r>
    </w:p>
    <w:p>
      <w:pPr>
        <w:spacing w:line="340" w:lineRule="exact"/>
        <w:ind w:right="-178" w:rightChars="-85" w:firstLine="420" w:firstLineChars="200"/>
        <w:jc w:val="left"/>
        <w:rPr>
          <w:rFonts w:ascii="宋体" w:hAnsi="宋体" w:cs="宋体"/>
          <w:color w:val="auto"/>
          <w:szCs w:val="21"/>
          <w:highlight w:val="none"/>
        </w:rPr>
      </w:pPr>
      <w:r>
        <w:rPr>
          <w:rFonts w:hint="eastAsia" w:ascii="宋体" w:hAnsi="宋体"/>
          <w:color w:val="auto"/>
          <w:szCs w:val="21"/>
          <w:highlight w:val="none"/>
        </w:rPr>
        <w:t>2、</w:t>
      </w:r>
      <w:r>
        <w:rPr>
          <w:rFonts w:hint="eastAsia" w:ascii="宋体" w:hAnsi="宋体" w:cs="宋体"/>
          <w:color w:val="auto"/>
          <w:szCs w:val="21"/>
          <w:highlight w:val="none"/>
        </w:rPr>
        <w:t>投标人须具有《药品生产许可证》、《GMP认证证书》(投标时须提供复印件)。</w:t>
      </w:r>
    </w:p>
    <w:p>
      <w:pPr>
        <w:spacing w:line="340" w:lineRule="exact"/>
        <w:ind w:right="-178" w:rightChars="-85"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3、投标人在参加本项招标活动的最近三年内，在经营活动中无严重违法记录。</w:t>
      </w:r>
    </w:p>
    <w:p>
      <w:pPr>
        <w:widowControl/>
        <w:spacing w:line="340" w:lineRule="exact"/>
        <w:ind w:firstLine="420"/>
        <w:jc w:val="left"/>
        <w:rPr>
          <w:rFonts w:ascii="宋体" w:hAnsi="宋体" w:cs="宋体"/>
          <w:color w:val="auto"/>
          <w:szCs w:val="21"/>
          <w:highlight w:val="none"/>
        </w:rPr>
      </w:pPr>
      <w:r>
        <w:rPr>
          <w:rFonts w:hint="eastAsia" w:ascii="宋体" w:hAnsi="宋体" w:cs="宋体"/>
          <w:color w:val="auto"/>
          <w:szCs w:val="21"/>
          <w:highlight w:val="none"/>
        </w:rPr>
        <w:t>4、单位负责人为同一人或者存在直接控股、管理关系的不同供应商，不得参加同一合同项下的投标活动。除单一来源采购项目外，为采购项目提供整体设计、规范编制或者项目管理、监理、检测等服务的供应商，不得再参加该采购项目的其他投标活动。</w:t>
      </w:r>
    </w:p>
    <w:p>
      <w:pPr>
        <w:spacing w:line="340" w:lineRule="exact"/>
        <w:ind w:firstLine="420"/>
        <w:rPr>
          <w:color w:val="auto"/>
          <w:highlight w:val="none"/>
        </w:rPr>
      </w:pPr>
      <w:r>
        <w:rPr>
          <w:color w:val="auto"/>
          <w:highlight w:val="none"/>
        </w:rPr>
        <w:t>5</w:t>
      </w:r>
      <w:r>
        <w:rPr>
          <w:rFonts w:hint="eastAsia"/>
          <w:color w:val="auto"/>
          <w:highlight w:val="none"/>
        </w:rPr>
        <w:t>、本项目不接受联合体投标。</w:t>
      </w:r>
    </w:p>
    <w:p>
      <w:pPr>
        <w:spacing w:line="340" w:lineRule="exact"/>
        <w:ind w:firstLine="420" w:firstLineChars="200"/>
        <w:rPr>
          <w:rFonts w:ascii="宋体" w:hAnsi="宋体"/>
          <w:color w:val="auto"/>
          <w:szCs w:val="21"/>
          <w:highlight w:val="none"/>
        </w:rPr>
      </w:pPr>
      <w:r>
        <w:rPr>
          <w:color w:val="auto"/>
          <w:highlight w:val="none"/>
        </w:rPr>
        <w:t>6</w:t>
      </w:r>
      <w:r>
        <w:rPr>
          <w:rFonts w:hint="eastAsia"/>
          <w:color w:val="auto"/>
          <w:highlight w:val="none"/>
        </w:rPr>
        <w:t>、被列入失信被执行人、重大税收违法案件当事人名单、政府采购严重违法失信行为记录名单及其他不符合《中华人民共和国政府采购法》第二十二条规定条件的供应商，将被拒绝其参与本次投标活动。供应商可在“信用中国”网站（</w:t>
      </w:r>
      <w:r>
        <w:rPr>
          <w:color w:val="auto"/>
          <w:highlight w:val="none"/>
        </w:rPr>
        <w:t>www.creditchina.gov.cn</w:t>
      </w:r>
      <w:r>
        <w:rPr>
          <w:rFonts w:hint="eastAsia"/>
          <w:color w:val="auto"/>
          <w:highlight w:val="none"/>
        </w:rPr>
        <w:t>）、中国政府采购网（</w:t>
      </w:r>
      <w:r>
        <w:rPr>
          <w:color w:val="auto"/>
          <w:highlight w:val="none"/>
        </w:rPr>
        <w:t>www.ccgp.gov.cn</w:t>
      </w:r>
      <w:r>
        <w:rPr>
          <w:rFonts w:hint="eastAsia"/>
          <w:color w:val="auto"/>
          <w:highlight w:val="none"/>
        </w:rPr>
        <w:t>）查询相关供应商主体信用记录。</w:t>
      </w:r>
      <w:r>
        <w:rPr>
          <w:rFonts w:hint="eastAsia" w:ascii="宋体" w:hAnsi="宋体"/>
          <w:color w:val="auto"/>
          <w:szCs w:val="21"/>
          <w:highlight w:val="none"/>
        </w:rPr>
        <w:t xml:space="preserve">   </w:t>
      </w:r>
    </w:p>
    <w:p>
      <w:pPr>
        <w:spacing w:line="340" w:lineRule="exact"/>
        <w:ind w:firstLine="420"/>
        <w:rPr>
          <w:rFonts w:ascii="宋体" w:hAnsi="宋体"/>
          <w:b/>
          <w:color w:val="auto"/>
          <w:szCs w:val="21"/>
          <w:highlight w:val="none"/>
        </w:rPr>
      </w:pPr>
      <w:r>
        <w:rPr>
          <w:rFonts w:hint="eastAsia" w:ascii="宋体" w:hAnsi="宋体"/>
          <w:b/>
          <w:color w:val="auto"/>
          <w:szCs w:val="21"/>
          <w:highlight w:val="none"/>
        </w:rPr>
        <w:t>七、招标文件的获取：</w:t>
      </w:r>
    </w:p>
    <w:p>
      <w:pPr>
        <w:snapToGrid w:val="0"/>
        <w:spacing w:line="340" w:lineRule="exact"/>
        <w:ind w:firstLine="472" w:firstLineChars="225"/>
        <w:rPr>
          <w:rFonts w:ascii="宋体" w:hAnsi="宋体" w:cs="Arial"/>
          <w:color w:val="auto"/>
          <w:szCs w:val="21"/>
          <w:highlight w:val="none"/>
          <w:shd w:val="clear" w:color="auto" w:fill="FFFFFF"/>
        </w:rPr>
      </w:pPr>
      <w:r>
        <w:rPr>
          <w:rFonts w:hint="eastAsia" w:ascii="宋体" w:hAnsi="宋体" w:cs="Arial"/>
          <w:color w:val="auto"/>
          <w:szCs w:val="21"/>
          <w:highlight w:val="none"/>
          <w:shd w:val="clear" w:color="auto" w:fill="FFFFFF"/>
        </w:rPr>
        <w:t>1、</w:t>
      </w:r>
      <w:r>
        <w:rPr>
          <w:rFonts w:hint="eastAsia" w:ascii="宋体" w:hAnsi="宋体" w:cs="Arial"/>
          <w:b/>
          <w:color w:val="auto"/>
          <w:szCs w:val="21"/>
          <w:highlight w:val="none"/>
          <w:shd w:val="clear" w:color="auto" w:fill="FFFFFF"/>
        </w:rPr>
        <w:t>发售时间：自本公告发布之时起至</w:t>
      </w:r>
      <w:r>
        <w:rPr>
          <w:rFonts w:hint="eastAsia" w:ascii="宋体" w:hAnsi="宋体" w:cs="Arial"/>
          <w:b/>
          <w:color w:val="auto"/>
          <w:szCs w:val="21"/>
          <w:highlight w:val="none"/>
          <w:u w:val="single"/>
          <w:shd w:val="clear" w:color="auto" w:fill="FFFFFF"/>
        </w:rPr>
        <w:t>2020年</w:t>
      </w:r>
      <w:r>
        <w:rPr>
          <w:rFonts w:hint="eastAsia" w:ascii="宋体" w:hAnsi="宋体" w:cs="Arial"/>
          <w:b/>
          <w:color w:val="auto"/>
          <w:szCs w:val="21"/>
          <w:highlight w:val="none"/>
          <w:u w:val="single"/>
          <w:shd w:val="clear" w:color="auto" w:fill="FFFFFF"/>
          <w:lang w:val="en-US" w:eastAsia="zh-CN"/>
        </w:rPr>
        <w:t>6</w:t>
      </w:r>
      <w:r>
        <w:rPr>
          <w:rFonts w:hint="eastAsia" w:ascii="宋体" w:hAnsi="宋体" w:cs="Arial"/>
          <w:b/>
          <w:color w:val="auto"/>
          <w:szCs w:val="21"/>
          <w:highlight w:val="none"/>
          <w:u w:val="single"/>
          <w:shd w:val="clear" w:color="auto" w:fill="FFFFFF"/>
        </w:rPr>
        <w:t>月</w:t>
      </w:r>
      <w:r>
        <w:rPr>
          <w:rFonts w:hint="eastAsia" w:ascii="宋体" w:hAnsi="宋体" w:cs="Arial"/>
          <w:b/>
          <w:color w:val="auto"/>
          <w:szCs w:val="21"/>
          <w:highlight w:val="none"/>
          <w:u w:val="single"/>
          <w:shd w:val="clear" w:color="auto" w:fill="FFFFFF"/>
          <w:lang w:val="en-US" w:eastAsia="zh-CN"/>
        </w:rPr>
        <w:t>12</w:t>
      </w:r>
      <w:r>
        <w:rPr>
          <w:rFonts w:hint="eastAsia" w:ascii="宋体" w:hAnsi="宋体" w:cs="Arial"/>
          <w:b/>
          <w:color w:val="auto"/>
          <w:szCs w:val="21"/>
          <w:highlight w:val="none"/>
          <w:u w:val="single"/>
          <w:shd w:val="clear" w:color="auto" w:fill="FFFFFF"/>
        </w:rPr>
        <w:t>日</w:t>
      </w:r>
      <w:r>
        <w:rPr>
          <w:rFonts w:hint="eastAsia" w:ascii="宋体" w:hAnsi="宋体" w:cs="Arial"/>
          <w:b/>
          <w:color w:val="auto"/>
          <w:szCs w:val="21"/>
          <w:highlight w:val="none"/>
          <w:shd w:val="clear" w:color="auto" w:fill="FFFFFF"/>
        </w:rPr>
        <w:t>止的正常工作时间</w:t>
      </w:r>
      <w:r>
        <w:rPr>
          <w:rFonts w:hint="eastAsia" w:ascii="宋体" w:hAnsi="宋体" w:cs="Arial"/>
          <w:color w:val="auto"/>
          <w:szCs w:val="21"/>
          <w:highlight w:val="none"/>
          <w:shd w:val="clear" w:color="auto" w:fill="FFFFFF"/>
        </w:rPr>
        <w:t>，正常工作时间是指每天上午9时00分到12时00分，下午15时00分到18时00分，</w:t>
      </w:r>
      <w:r>
        <w:rPr>
          <w:rFonts w:hint="eastAsia"/>
          <w:color w:val="auto"/>
          <w:highlight w:val="none"/>
          <w:shd w:val="clear" w:color="auto" w:fill="FFFFFF"/>
        </w:rPr>
        <w:t>双休日和法定节假日不办理业务</w:t>
      </w:r>
      <w:r>
        <w:rPr>
          <w:rFonts w:hint="eastAsia" w:ascii="宋体" w:hAnsi="宋体" w:cs="Arial"/>
          <w:color w:val="auto"/>
          <w:szCs w:val="21"/>
          <w:highlight w:val="none"/>
          <w:shd w:val="clear" w:color="auto" w:fill="FFFFFF"/>
        </w:rPr>
        <w:t>。</w:t>
      </w:r>
    </w:p>
    <w:p>
      <w:pPr>
        <w:snapToGrid w:val="0"/>
        <w:spacing w:line="340" w:lineRule="exact"/>
        <w:ind w:firstLine="472" w:firstLineChars="225"/>
        <w:rPr>
          <w:color w:val="auto"/>
          <w:highlight w:val="none"/>
          <w:shd w:val="clear" w:color="auto" w:fill="FFFFFF"/>
        </w:rPr>
      </w:pPr>
      <w:r>
        <w:rPr>
          <w:rFonts w:hint="eastAsia" w:ascii="宋体" w:hAnsi="宋体" w:cs="Arial"/>
          <w:color w:val="auto"/>
          <w:szCs w:val="21"/>
          <w:highlight w:val="none"/>
          <w:shd w:val="clear" w:color="auto" w:fill="FFFFFF"/>
        </w:rPr>
        <w:t>2、发售地点：</w:t>
      </w:r>
      <w:r>
        <w:rPr>
          <w:rFonts w:hint="eastAsia"/>
          <w:color w:val="auto"/>
          <w:highlight w:val="none"/>
          <w:shd w:val="clear" w:color="auto" w:fill="FFFFFF"/>
        </w:rPr>
        <w:t>广西国栋招标有限公司（</w:t>
      </w:r>
      <w:r>
        <w:rPr>
          <w:rFonts w:hint="eastAsia" w:hAnsi="宋体"/>
          <w:color w:val="auto"/>
          <w:szCs w:val="21"/>
          <w:highlight w:val="none"/>
        </w:rPr>
        <w:t>南宁市青秀区双拥路40-1号东方明珠花园1栋1单元9层</w:t>
      </w:r>
      <w:r>
        <w:rPr>
          <w:rFonts w:hint="eastAsia"/>
          <w:color w:val="auto"/>
          <w:highlight w:val="none"/>
          <w:shd w:val="clear" w:color="auto" w:fill="FFFFFF"/>
        </w:rPr>
        <w:t>）</w:t>
      </w:r>
    </w:p>
    <w:p>
      <w:pPr>
        <w:snapToGrid w:val="0"/>
        <w:spacing w:line="340" w:lineRule="exact"/>
        <w:ind w:firstLine="474" w:firstLineChars="225"/>
        <w:rPr>
          <w:color w:val="auto"/>
          <w:highlight w:val="none"/>
          <w:shd w:val="clear" w:color="auto" w:fill="FFFFFF"/>
        </w:rPr>
      </w:pPr>
      <w:r>
        <w:rPr>
          <w:b/>
          <w:color w:val="auto"/>
          <w:highlight w:val="none"/>
          <w:shd w:val="clear" w:color="auto" w:fill="FFFFFF"/>
        </w:rPr>
        <w:t>3</w:t>
      </w:r>
      <w:r>
        <w:rPr>
          <w:rFonts w:hint="eastAsia"/>
          <w:b/>
          <w:color w:val="auto"/>
          <w:highlight w:val="none"/>
          <w:shd w:val="clear" w:color="auto" w:fill="FFFFFF"/>
        </w:rPr>
        <w:t>、售价：招标文件工本费每套</w:t>
      </w:r>
      <w:r>
        <w:rPr>
          <w:rFonts w:hint="eastAsia"/>
          <w:b/>
          <w:color w:val="auto"/>
          <w:highlight w:val="none"/>
          <w:u w:val="single"/>
          <w:shd w:val="clear" w:color="auto" w:fill="FFFFFF"/>
        </w:rPr>
        <w:t>300</w:t>
      </w:r>
      <w:r>
        <w:rPr>
          <w:rFonts w:hint="eastAsia"/>
          <w:b/>
          <w:color w:val="auto"/>
          <w:highlight w:val="none"/>
          <w:shd w:val="clear" w:color="auto" w:fill="FFFFFF"/>
        </w:rPr>
        <w:t>元，售后不退</w:t>
      </w:r>
      <w:r>
        <w:rPr>
          <w:rFonts w:hint="eastAsia"/>
          <w:color w:val="auto"/>
          <w:highlight w:val="none"/>
          <w:shd w:val="clear" w:color="auto" w:fill="FFFFFF"/>
        </w:rPr>
        <w:t>。</w:t>
      </w:r>
    </w:p>
    <w:p>
      <w:pPr>
        <w:snapToGrid w:val="0"/>
        <w:spacing w:line="340" w:lineRule="exact"/>
        <w:ind w:firstLine="472" w:firstLineChars="225"/>
        <w:rPr>
          <w:rFonts w:hAnsi="宋体"/>
          <w:color w:val="auto"/>
          <w:highlight w:val="none"/>
          <w:shd w:val="clear" w:color="auto" w:fill="FFFFFF"/>
        </w:rPr>
      </w:pPr>
      <w:r>
        <w:rPr>
          <w:rFonts w:asciiTheme="minorEastAsia" w:hAnsiTheme="minorEastAsia" w:eastAsiaTheme="minorEastAsia"/>
          <w:color w:val="auto"/>
          <w:szCs w:val="21"/>
          <w:highlight w:val="none"/>
          <w:shd w:val="clear" w:color="auto" w:fill="FFFFFF"/>
        </w:rPr>
        <w:t>4</w:t>
      </w:r>
      <w:r>
        <w:rPr>
          <w:rFonts w:hint="eastAsia" w:asciiTheme="minorEastAsia" w:hAnsiTheme="minorEastAsia" w:eastAsiaTheme="minorEastAsia"/>
          <w:color w:val="auto"/>
          <w:szCs w:val="21"/>
          <w:highlight w:val="none"/>
          <w:shd w:val="clear" w:color="auto" w:fill="FFFFFF"/>
        </w:rPr>
        <w:t>、</w:t>
      </w:r>
      <w:r>
        <w:rPr>
          <w:rFonts w:hint="eastAsia" w:ascii="宋体" w:hAnsi="宋体"/>
          <w:color w:val="auto"/>
          <w:szCs w:val="21"/>
          <w:highlight w:val="none"/>
          <w:shd w:val="clear" w:color="auto" w:fill="FFFFFF"/>
        </w:rPr>
        <w:t>获取招标文件的方式：</w:t>
      </w:r>
      <w:r>
        <w:rPr>
          <w:rFonts w:hint="eastAsia" w:ascii="宋体" w:hAnsi="宋体"/>
          <w:color w:val="auto"/>
          <w:szCs w:val="21"/>
          <w:highlight w:val="none"/>
        </w:rPr>
        <w:t>①投标人有效的营业执照副本复印件；②</w:t>
      </w:r>
      <w:r>
        <w:rPr>
          <w:rFonts w:hint="eastAsia" w:ascii="宋体" w:hAnsi="宋体"/>
          <w:color w:val="auto"/>
          <w:szCs w:val="21"/>
          <w:highlight w:val="none"/>
          <w:shd w:val="clear" w:color="auto" w:fill="FFFFFF"/>
        </w:rPr>
        <w:t>法定代表人或代理人（持法定代表人授权委托书原件）携带二代身份证及二代身份证复印件</w:t>
      </w:r>
      <w:r>
        <w:rPr>
          <w:rFonts w:hint="eastAsia" w:ascii="宋体" w:hAnsi="宋体"/>
          <w:color w:val="auto"/>
          <w:szCs w:val="21"/>
          <w:highlight w:val="none"/>
        </w:rPr>
        <w:t>；③</w:t>
      </w:r>
      <w:r>
        <w:rPr>
          <w:rFonts w:hint="eastAsia" w:ascii="宋体" w:hAnsi="宋体" w:cs="宋体"/>
          <w:color w:val="auto"/>
          <w:szCs w:val="21"/>
          <w:highlight w:val="none"/>
        </w:rPr>
        <w:t>投标人须提供《药品生产许可证》、《GMP认证证书》复印件。</w:t>
      </w:r>
      <w:r>
        <w:rPr>
          <w:rFonts w:hint="eastAsia" w:ascii="宋体" w:hAnsi="宋体"/>
          <w:color w:val="auto"/>
          <w:szCs w:val="21"/>
          <w:highlight w:val="none"/>
        </w:rPr>
        <w:t>﹝上述复印件必须清晰可辨认，按上述顺序装订成册并加盖单位公章（彩色打印件无效），以上所有材料均要求原件现场核查，原件核查后以予退还，复印件留存﹞。</w:t>
      </w:r>
    </w:p>
    <w:p>
      <w:pPr>
        <w:snapToGrid w:val="0"/>
        <w:spacing w:line="340" w:lineRule="exact"/>
        <w:ind w:firstLine="422" w:firstLineChars="200"/>
        <w:rPr>
          <w:rFonts w:ascii="宋体" w:hAnsi="宋体"/>
          <w:b/>
          <w:bCs/>
          <w:color w:val="auto"/>
          <w:szCs w:val="21"/>
          <w:highlight w:val="none"/>
        </w:rPr>
      </w:pPr>
      <w:r>
        <w:rPr>
          <w:rFonts w:hint="eastAsia" w:ascii="宋体" w:hAnsi="宋体"/>
          <w:b/>
          <w:color w:val="auto"/>
          <w:szCs w:val="21"/>
          <w:highlight w:val="none"/>
        </w:rPr>
        <w:t>八、投标保证金(人民币)：</w:t>
      </w:r>
      <w:r>
        <w:rPr>
          <w:rFonts w:hint="eastAsia" w:ascii="宋体" w:hAnsi="宋体"/>
          <w:b/>
          <w:color w:val="auto"/>
          <w:szCs w:val="21"/>
          <w:highlight w:val="none"/>
          <w:u w:val="single"/>
        </w:rPr>
        <w:t xml:space="preserve">     27   </w:t>
      </w:r>
      <w:r>
        <w:rPr>
          <w:rFonts w:hint="eastAsia" w:ascii="宋体" w:hAnsi="宋体"/>
          <w:b/>
          <w:color w:val="auto"/>
          <w:szCs w:val="21"/>
          <w:highlight w:val="none"/>
        </w:rPr>
        <w:t>万元</w:t>
      </w:r>
      <w:r>
        <w:rPr>
          <w:rFonts w:hint="eastAsia" w:ascii="宋体" w:hAnsi="宋体"/>
          <w:b/>
          <w:bCs/>
          <w:color w:val="auto"/>
          <w:szCs w:val="21"/>
          <w:highlight w:val="none"/>
        </w:rPr>
        <w:t>（必须足额交纳）</w:t>
      </w:r>
    </w:p>
    <w:p>
      <w:pPr>
        <w:snapToGrid w:val="0"/>
        <w:spacing w:line="340" w:lineRule="exact"/>
        <w:ind w:firstLine="420" w:firstLineChars="200"/>
        <w:rPr>
          <w:rFonts w:ascii="宋体" w:hAnsi="宋体"/>
          <w:b/>
          <w:bCs/>
          <w:color w:val="auto"/>
          <w:kern w:val="0"/>
          <w:szCs w:val="21"/>
          <w:highlight w:val="none"/>
        </w:rPr>
      </w:pPr>
      <w:r>
        <w:rPr>
          <w:rFonts w:hint="eastAsia" w:ascii="宋体" w:hAnsi="宋体" w:cs="Arial"/>
          <w:color w:val="auto"/>
          <w:szCs w:val="21"/>
          <w:highlight w:val="none"/>
          <w:shd w:val="clear" w:color="auto" w:fill="FFFFFF"/>
        </w:rPr>
        <w:t>投标保证金必须从投标人银行账户以</w:t>
      </w:r>
      <w:r>
        <w:rPr>
          <w:rFonts w:hint="eastAsia" w:ascii="宋体" w:hAnsi="宋体" w:cs="Arial"/>
          <w:bCs/>
          <w:color w:val="auto"/>
          <w:szCs w:val="21"/>
          <w:highlight w:val="none"/>
          <w:u w:val="single"/>
          <w:shd w:val="clear" w:color="auto" w:fill="FFFFFF"/>
        </w:rPr>
        <w:t>转账或电汇</w:t>
      </w:r>
      <w:r>
        <w:rPr>
          <w:rFonts w:hint="eastAsia" w:ascii="宋体" w:hAnsi="宋体" w:cs="Arial"/>
          <w:color w:val="auto"/>
          <w:szCs w:val="21"/>
          <w:highlight w:val="none"/>
          <w:shd w:val="clear" w:color="auto" w:fill="FFFFFF"/>
        </w:rPr>
        <w:t>形式转出，并于</w:t>
      </w:r>
      <w:r>
        <w:rPr>
          <w:rFonts w:hint="eastAsia" w:ascii="宋体" w:hAnsi="宋体" w:cs="Arial"/>
          <w:b/>
          <w:color w:val="auto"/>
          <w:szCs w:val="21"/>
          <w:highlight w:val="none"/>
          <w:u w:val="single"/>
          <w:shd w:val="clear" w:color="auto" w:fill="FFFFFF"/>
        </w:rPr>
        <w:t>2020年</w:t>
      </w:r>
      <w:r>
        <w:rPr>
          <w:rFonts w:hint="eastAsia" w:ascii="宋体" w:hAnsi="宋体" w:cs="Arial"/>
          <w:b/>
          <w:color w:val="auto"/>
          <w:szCs w:val="21"/>
          <w:highlight w:val="none"/>
          <w:u w:val="single"/>
          <w:shd w:val="clear" w:color="auto" w:fill="FFFFFF"/>
          <w:lang w:val="en-US" w:eastAsia="zh-CN"/>
        </w:rPr>
        <w:t>6</w:t>
      </w:r>
      <w:r>
        <w:rPr>
          <w:rFonts w:hint="eastAsia" w:ascii="宋体" w:hAnsi="宋体" w:cs="Arial"/>
          <w:b/>
          <w:color w:val="auto"/>
          <w:szCs w:val="21"/>
          <w:highlight w:val="none"/>
          <w:u w:val="single"/>
          <w:shd w:val="clear" w:color="auto" w:fill="FFFFFF"/>
        </w:rPr>
        <w:t>月</w:t>
      </w:r>
      <w:r>
        <w:rPr>
          <w:rFonts w:hint="eastAsia" w:ascii="宋体" w:hAnsi="宋体" w:cs="Arial"/>
          <w:b/>
          <w:color w:val="auto"/>
          <w:szCs w:val="21"/>
          <w:highlight w:val="none"/>
          <w:u w:val="single"/>
          <w:shd w:val="clear" w:color="auto" w:fill="FFFFFF"/>
          <w:lang w:val="en-US" w:eastAsia="zh-CN"/>
        </w:rPr>
        <w:t>30</w:t>
      </w:r>
      <w:r>
        <w:rPr>
          <w:rFonts w:hint="eastAsia" w:ascii="宋体" w:hAnsi="宋体" w:cs="Arial"/>
          <w:b/>
          <w:color w:val="auto"/>
          <w:szCs w:val="21"/>
          <w:highlight w:val="none"/>
          <w:u w:val="single"/>
          <w:shd w:val="clear" w:color="auto" w:fill="FFFFFF"/>
        </w:rPr>
        <w:t>日下午17点</w:t>
      </w:r>
      <w:r>
        <w:rPr>
          <w:rFonts w:hint="eastAsia" w:ascii="宋体" w:hAnsi="宋体" w:cs="Arial"/>
          <w:b/>
          <w:color w:val="auto"/>
          <w:szCs w:val="21"/>
          <w:highlight w:val="none"/>
          <w:shd w:val="clear" w:color="auto" w:fill="FFFFFF"/>
        </w:rPr>
        <w:t>前</w:t>
      </w:r>
      <w:r>
        <w:rPr>
          <w:rFonts w:hint="eastAsia" w:ascii="宋体" w:hAnsi="宋体" w:cs="Arial"/>
          <w:color w:val="auto"/>
          <w:szCs w:val="21"/>
          <w:highlight w:val="none"/>
          <w:shd w:val="clear" w:color="auto" w:fill="FFFFFF"/>
        </w:rPr>
        <w:t>到达</w:t>
      </w:r>
      <w:r>
        <w:rPr>
          <w:rFonts w:hint="eastAsia" w:ascii="宋体" w:hAnsi="宋体" w:cs="Arial"/>
          <w:color w:val="auto"/>
          <w:szCs w:val="21"/>
          <w:highlight w:val="none"/>
          <w:u w:val="single"/>
          <w:shd w:val="clear" w:color="auto" w:fill="FFFFFF"/>
        </w:rPr>
        <w:t>广西国栋招标有限公司指定账户</w:t>
      </w:r>
      <w:r>
        <w:rPr>
          <w:rFonts w:hint="eastAsia" w:ascii="宋体" w:hAnsi="宋体"/>
          <w:b/>
          <w:bCs/>
          <w:color w:val="auto"/>
          <w:kern w:val="0"/>
          <w:szCs w:val="21"/>
          <w:highlight w:val="none"/>
        </w:rPr>
        <w:t xml:space="preserve">： </w:t>
      </w:r>
    </w:p>
    <w:p>
      <w:pPr>
        <w:pStyle w:val="26"/>
        <w:tabs>
          <w:tab w:val="left" w:pos="455"/>
        </w:tabs>
        <w:spacing w:line="340" w:lineRule="exact"/>
        <w:jc w:val="left"/>
        <w:rPr>
          <w:rFonts w:hAnsi="宋体" w:cs="Arial"/>
          <w:color w:val="auto"/>
          <w:kern w:val="0"/>
          <w:highlight w:val="none"/>
          <w:shd w:val="clear" w:color="auto" w:fill="FFFFFF"/>
        </w:rPr>
      </w:pPr>
      <w:r>
        <w:rPr>
          <w:rFonts w:hint="eastAsia" w:hAnsi="宋体" w:cs="Arial"/>
          <w:color w:val="auto"/>
          <w:highlight w:val="none"/>
          <w:shd w:val="clear" w:color="auto" w:fill="FFFFFF"/>
        </w:rPr>
        <w:t xml:space="preserve">   开户名称：广西国栋招标有限公司</w:t>
      </w:r>
      <w:r>
        <w:rPr>
          <w:rFonts w:hint="eastAsia" w:hAnsi="宋体" w:cs="Arial"/>
          <w:color w:val="auto"/>
          <w:highlight w:val="none"/>
          <w:shd w:val="clear" w:color="auto" w:fill="FFFFFF"/>
        </w:rPr>
        <w:br w:type="textWrapping"/>
      </w:r>
      <w:r>
        <w:rPr>
          <w:rFonts w:hint="eastAsia" w:hAnsi="宋体" w:cs="Arial"/>
          <w:color w:val="auto"/>
          <w:highlight w:val="none"/>
          <w:shd w:val="clear" w:color="auto" w:fill="FFFFFF"/>
        </w:rPr>
        <w:t xml:space="preserve">   开户银行：建行南宁新华支行</w:t>
      </w:r>
      <w:r>
        <w:rPr>
          <w:rFonts w:hint="eastAsia" w:hAnsi="宋体" w:cs="Arial"/>
          <w:color w:val="auto"/>
          <w:highlight w:val="none"/>
          <w:shd w:val="clear" w:color="auto" w:fill="FFFFFF"/>
        </w:rPr>
        <w:br w:type="textWrapping"/>
      </w:r>
      <w:r>
        <w:rPr>
          <w:rFonts w:hint="eastAsia" w:hAnsi="宋体" w:cs="Arial"/>
          <w:color w:val="auto"/>
          <w:highlight w:val="none"/>
          <w:shd w:val="clear" w:color="auto" w:fill="FFFFFF"/>
        </w:rPr>
        <w:t xml:space="preserve">   开户行行号：105611046412</w:t>
      </w:r>
      <w:r>
        <w:rPr>
          <w:rFonts w:hint="eastAsia" w:hAnsi="宋体" w:cs="Arial"/>
          <w:color w:val="auto"/>
          <w:highlight w:val="none"/>
          <w:shd w:val="clear" w:color="auto" w:fill="FFFFFF"/>
        </w:rPr>
        <w:br w:type="textWrapping"/>
      </w:r>
      <w:r>
        <w:rPr>
          <w:rFonts w:hint="eastAsia" w:hAnsi="宋体" w:cs="Arial"/>
          <w:color w:val="auto"/>
          <w:highlight w:val="none"/>
          <w:shd w:val="clear" w:color="auto" w:fill="FFFFFF"/>
        </w:rPr>
        <w:t xml:space="preserve">   银行账号：45001604655050503263</w:t>
      </w:r>
    </w:p>
    <w:p>
      <w:pPr>
        <w:snapToGrid w:val="0"/>
        <w:spacing w:line="340" w:lineRule="exact"/>
        <w:ind w:firstLine="315" w:firstLineChars="150"/>
        <w:rPr>
          <w:rFonts w:ascii="宋体" w:hAnsi="宋体" w:cs="Arial"/>
          <w:color w:val="auto"/>
          <w:szCs w:val="21"/>
          <w:highlight w:val="none"/>
          <w:shd w:val="clear" w:color="auto" w:fill="FFFFFF"/>
        </w:rPr>
      </w:pPr>
      <w:r>
        <w:rPr>
          <w:rFonts w:hint="eastAsia" w:ascii="宋体" w:hAnsi="宋体" w:cs="Arial"/>
          <w:color w:val="auto"/>
          <w:szCs w:val="21"/>
          <w:highlight w:val="none"/>
          <w:shd w:val="clear" w:color="auto" w:fill="FFFFFF"/>
        </w:rPr>
        <w:t>本项目不接受现金形式或从个人账户转出的投标保证金。</w:t>
      </w:r>
    </w:p>
    <w:p>
      <w:pPr>
        <w:snapToGrid w:val="0"/>
        <w:spacing w:line="340" w:lineRule="exact"/>
        <w:ind w:firstLine="316" w:firstLineChars="150"/>
        <w:rPr>
          <w:rFonts w:ascii="宋体" w:hAnsi="宋体"/>
          <w:b/>
          <w:color w:val="auto"/>
          <w:kern w:val="0"/>
          <w:szCs w:val="21"/>
          <w:highlight w:val="none"/>
        </w:rPr>
      </w:pPr>
      <w:r>
        <w:rPr>
          <w:rFonts w:hint="eastAsia" w:ascii="宋体" w:hAnsi="宋体" w:cs="Arial"/>
          <w:b/>
          <w:color w:val="auto"/>
          <w:szCs w:val="21"/>
          <w:highlight w:val="none"/>
          <w:shd w:val="clear" w:color="auto" w:fill="FFFFFF"/>
        </w:rPr>
        <w:t>九、履约保证金：在签订合同前，中标供应商一次性支付给采购方壹拾万元整作为履约保证金，在履约服务期（三年）满后无履约问题，一个月内无息退还。</w:t>
      </w:r>
    </w:p>
    <w:p>
      <w:pPr>
        <w:snapToGrid w:val="0"/>
        <w:spacing w:line="340" w:lineRule="exact"/>
        <w:ind w:firstLine="316" w:firstLineChars="150"/>
        <w:rPr>
          <w:rFonts w:ascii="宋体" w:hAnsi="宋体"/>
          <w:b/>
          <w:color w:val="auto"/>
          <w:szCs w:val="21"/>
          <w:highlight w:val="none"/>
        </w:rPr>
      </w:pPr>
      <w:r>
        <w:rPr>
          <w:rFonts w:hint="eastAsia" w:ascii="宋体" w:hAnsi="宋体"/>
          <w:b/>
          <w:color w:val="auto"/>
          <w:szCs w:val="21"/>
          <w:highlight w:val="none"/>
        </w:rPr>
        <w:t>十、投标截止时间和地点:</w:t>
      </w:r>
    </w:p>
    <w:p>
      <w:pPr>
        <w:snapToGrid w:val="0"/>
        <w:spacing w:line="340" w:lineRule="exact"/>
        <w:ind w:firstLine="420" w:firstLineChars="200"/>
        <w:jc w:val="left"/>
        <w:rPr>
          <w:rFonts w:hint="eastAsia" w:ascii="宋体" w:hAnsi="宋体" w:cs="Arial"/>
          <w:b/>
          <w:bCs/>
          <w:color w:val="auto"/>
          <w:szCs w:val="21"/>
          <w:highlight w:val="none"/>
        </w:rPr>
      </w:pPr>
      <w:r>
        <w:rPr>
          <w:rFonts w:hint="eastAsia" w:ascii="宋体" w:hAnsi="宋体" w:cs="Arial"/>
          <w:color w:val="auto"/>
          <w:szCs w:val="21"/>
          <w:highlight w:val="none"/>
        </w:rPr>
        <w:t>投标人应于</w:t>
      </w:r>
      <w:r>
        <w:rPr>
          <w:rFonts w:hint="eastAsia" w:ascii="宋体" w:hAnsi="宋体" w:cs="Arial"/>
          <w:b/>
          <w:color w:val="auto"/>
          <w:szCs w:val="21"/>
          <w:highlight w:val="none"/>
          <w:u w:val="single"/>
          <w:shd w:val="clear" w:color="auto" w:fill="FFFFFF"/>
        </w:rPr>
        <w:t>2020年</w:t>
      </w:r>
      <w:r>
        <w:rPr>
          <w:rFonts w:hint="eastAsia" w:ascii="宋体" w:hAnsi="宋体" w:cs="Arial"/>
          <w:b/>
          <w:color w:val="auto"/>
          <w:szCs w:val="21"/>
          <w:highlight w:val="none"/>
          <w:u w:val="single"/>
          <w:shd w:val="clear" w:color="auto" w:fill="FFFFFF"/>
          <w:lang w:val="en-US" w:eastAsia="zh-CN"/>
        </w:rPr>
        <w:t>7</w:t>
      </w:r>
      <w:r>
        <w:rPr>
          <w:rFonts w:hint="eastAsia" w:ascii="宋体" w:hAnsi="宋体" w:cs="Arial"/>
          <w:b/>
          <w:color w:val="auto"/>
          <w:szCs w:val="21"/>
          <w:highlight w:val="none"/>
          <w:u w:val="single"/>
          <w:shd w:val="clear" w:color="auto" w:fill="FFFFFF"/>
        </w:rPr>
        <w:t>月</w:t>
      </w:r>
      <w:r>
        <w:rPr>
          <w:rFonts w:hint="eastAsia" w:ascii="宋体" w:hAnsi="宋体" w:cs="Arial"/>
          <w:b/>
          <w:color w:val="auto"/>
          <w:szCs w:val="21"/>
          <w:highlight w:val="none"/>
          <w:u w:val="single"/>
          <w:shd w:val="clear" w:color="auto" w:fill="FFFFFF"/>
          <w:lang w:val="en-US" w:eastAsia="zh-CN"/>
        </w:rPr>
        <w:t>1</w:t>
      </w:r>
      <w:r>
        <w:rPr>
          <w:rFonts w:hint="eastAsia" w:ascii="宋体" w:hAnsi="宋体" w:cs="Arial"/>
          <w:b/>
          <w:color w:val="auto"/>
          <w:szCs w:val="21"/>
          <w:highlight w:val="none"/>
          <w:u w:val="single"/>
          <w:shd w:val="clear" w:color="auto" w:fill="FFFFFF"/>
        </w:rPr>
        <w:t>日</w:t>
      </w:r>
      <w:r>
        <w:rPr>
          <w:rFonts w:hint="eastAsia" w:ascii="宋体" w:hAnsi="宋体" w:cs="Arial"/>
          <w:b/>
          <w:color w:val="auto"/>
          <w:szCs w:val="21"/>
          <w:highlight w:val="none"/>
        </w:rPr>
        <w:t>1</w:t>
      </w:r>
      <w:r>
        <w:rPr>
          <w:rFonts w:hint="eastAsia" w:ascii="宋体" w:hAnsi="宋体" w:cs="Arial"/>
          <w:b/>
          <w:color w:val="auto"/>
          <w:szCs w:val="21"/>
          <w:highlight w:val="none"/>
          <w:lang w:val="en-US" w:eastAsia="zh-CN"/>
        </w:rPr>
        <w:t>0</w:t>
      </w:r>
      <w:r>
        <w:rPr>
          <w:rFonts w:hint="eastAsia" w:ascii="宋体" w:hAnsi="宋体" w:cs="Arial"/>
          <w:b/>
          <w:color w:val="auto"/>
          <w:szCs w:val="21"/>
          <w:highlight w:val="none"/>
        </w:rPr>
        <w:t>时00分</w:t>
      </w:r>
      <w:r>
        <w:rPr>
          <w:rFonts w:hint="eastAsia" w:ascii="宋体" w:hAnsi="宋体" w:cs="Arial"/>
          <w:color w:val="auto"/>
          <w:szCs w:val="21"/>
          <w:highlight w:val="none"/>
        </w:rPr>
        <w:t>前，将投标文件密封提交到广西壮族自治区公共资源交易中心开标室（广西南宁市青秀区怡宾路6号自治区政务服务中心4楼）（具体开标室根据电子屏幕显示的安排），逾期送达的将予以拒收</w:t>
      </w:r>
      <w:r>
        <w:rPr>
          <w:rFonts w:hint="eastAsia" w:ascii="宋体" w:hAnsi="宋体" w:cs="Arial"/>
          <w:b/>
          <w:bCs/>
          <w:color w:val="auto"/>
          <w:szCs w:val="21"/>
          <w:highlight w:val="none"/>
        </w:rPr>
        <w:t>。</w:t>
      </w:r>
    </w:p>
    <w:p>
      <w:pPr>
        <w:snapToGrid w:val="0"/>
        <w:spacing w:line="340" w:lineRule="exact"/>
        <w:ind w:firstLine="420" w:firstLineChars="200"/>
        <w:jc w:val="left"/>
        <w:rPr>
          <w:rFonts w:hint="eastAsia" w:ascii="宋体" w:hAnsi="宋体" w:cs="Arial"/>
          <w:b w:val="0"/>
          <w:bCs w:val="0"/>
          <w:szCs w:val="21"/>
          <w:highlight w:val="none"/>
        </w:rPr>
      </w:pPr>
      <w:r>
        <w:rPr>
          <w:rFonts w:hint="eastAsia" w:ascii="宋体" w:hAnsi="宋体" w:cs="Arial"/>
          <w:b w:val="0"/>
          <w:bCs w:val="0"/>
          <w:szCs w:val="21"/>
          <w:highlight w:val="none"/>
        </w:rPr>
        <w:t>△疫情期间，投标文件可以接受邮寄。收件地址：广西南宁市怡宾路6号四楼广西壮族自治区公共资源交易中心。收件人：何芮，电话13558331127</w:t>
      </w:r>
    </w:p>
    <w:p>
      <w:pPr>
        <w:snapToGrid w:val="0"/>
        <w:spacing w:line="340" w:lineRule="exact"/>
        <w:ind w:firstLine="420" w:firstLineChars="200"/>
        <w:jc w:val="left"/>
        <w:rPr>
          <w:rFonts w:hint="eastAsia" w:ascii="宋体" w:hAnsi="宋体" w:cs="Arial"/>
          <w:b/>
          <w:bCs/>
          <w:color w:val="auto"/>
          <w:szCs w:val="21"/>
          <w:highlight w:val="none"/>
        </w:rPr>
      </w:pPr>
      <w:r>
        <w:rPr>
          <w:rFonts w:hint="eastAsia" w:ascii="宋体" w:hAnsi="宋体" w:cs="Arial"/>
          <w:b w:val="0"/>
          <w:bCs w:val="0"/>
          <w:szCs w:val="21"/>
          <w:highlight w:val="none"/>
        </w:rPr>
        <w:t>请寄件人在邮件外包装写清楚项目投标文件，并留真实姓名和联系电话。如有疑问请咨询开评标科：0771-2610595</w:t>
      </w:r>
      <w:r>
        <w:rPr>
          <w:rFonts w:hint="eastAsia" w:ascii="宋体" w:hAnsi="宋体" w:cs="Arial"/>
          <w:b w:val="0"/>
          <w:bCs w:val="0"/>
          <w:szCs w:val="21"/>
          <w:highlight w:val="none"/>
          <w:lang w:eastAsia="zh-CN"/>
        </w:rPr>
        <w:t>。</w:t>
      </w:r>
    </w:p>
    <w:p>
      <w:pPr>
        <w:spacing w:line="340" w:lineRule="exact"/>
        <w:rPr>
          <w:rFonts w:ascii="宋体" w:hAnsi="宋体"/>
          <w:b/>
          <w:color w:val="auto"/>
          <w:szCs w:val="21"/>
          <w:highlight w:val="none"/>
        </w:rPr>
      </w:pPr>
      <w:r>
        <w:rPr>
          <w:rFonts w:hint="eastAsia" w:ascii="宋体" w:hAnsi="宋体"/>
          <w:color w:val="auto"/>
          <w:szCs w:val="21"/>
          <w:highlight w:val="none"/>
        </w:rPr>
        <w:t xml:space="preserve">   </w:t>
      </w:r>
      <w:r>
        <w:rPr>
          <w:rFonts w:hint="eastAsia" w:ascii="宋体" w:hAnsi="宋体"/>
          <w:b/>
          <w:color w:val="auto"/>
          <w:szCs w:val="21"/>
          <w:highlight w:val="none"/>
        </w:rPr>
        <w:t xml:space="preserve"> 十一、开标时间及地点:</w:t>
      </w:r>
    </w:p>
    <w:p>
      <w:pPr>
        <w:snapToGrid w:val="0"/>
        <w:spacing w:line="34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本次招标将于</w:t>
      </w:r>
      <w:r>
        <w:rPr>
          <w:rFonts w:hint="eastAsia" w:ascii="宋体" w:hAnsi="宋体" w:cs="Arial"/>
          <w:b/>
          <w:color w:val="auto"/>
          <w:szCs w:val="21"/>
          <w:highlight w:val="none"/>
          <w:u w:val="single"/>
          <w:shd w:val="clear" w:color="auto" w:fill="FFFFFF"/>
        </w:rPr>
        <w:t>2020年</w:t>
      </w:r>
      <w:r>
        <w:rPr>
          <w:rFonts w:hint="eastAsia" w:ascii="宋体" w:hAnsi="宋体" w:cs="Arial"/>
          <w:b/>
          <w:color w:val="auto"/>
          <w:szCs w:val="21"/>
          <w:highlight w:val="none"/>
          <w:u w:val="single"/>
          <w:shd w:val="clear" w:color="auto" w:fill="FFFFFF"/>
          <w:lang w:val="en-US" w:eastAsia="zh-CN"/>
        </w:rPr>
        <w:t>7</w:t>
      </w:r>
      <w:r>
        <w:rPr>
          <w:rFonts w:hint="eastAsia" w:ascii="宋体" w:hAnsi="宋体" w:cs="Arial"/>
          <w:b/>
          <w:color w:val="auto"/>
          <w:szCs w:val="21"/>
          <w:highlight w:val="none"/>
          <w:u w:val="single"/>
          <w:shd w:val="clear" w:color="auto" w:fill="FFFFFF"/>
        </w:rPr>
        <w:t>月</w:t>
      </w:r>
      <w:r>
        <w:rPr>
          <w:rFonts w:hint="eastAsia" w:ascii="宋体" w:hAnsi="宋体" w:cs="Arial"/>
          <w:b/>
          <w:color w:val="auto"/>
          <w:szCs w:val="21"/>
          <w:highlight w:val="none"/>
          <w:u w:val="single"/>
          <w:shd w:val="clear" w:color="auto" w:fill="FFFFFF"/>
          <w:lang w:val="en-US" w:eastAsia="zh-CN"/>
        </w:rPr>
        <w:t>1</w:t>
      </w:r>
      <w:r>
        <w:rPr>
          <w:rFonts w:hint="eastAsia" w:ascii="宋体" w:hAnsi="宋体" w:cs="Arial"/>
          <w:b/>
          <w:color w:val="auto"/>
          <w:szCs w:val="21"/>
          <w:highlight w:val="none"/>
          <w:u w:val="single"/>
          <w:shd w:val="clear" w:color="auto" w:fill="FFFFFF"/>
        </w:rPr>
        <w:t>日</w:t>
      </w:r>
      <w:r>
        <w:rPr>
          <w:rFonts w:hint="eastAsia" w:ascii="宋体" w:hAnsi="宋体" w:cs="Arial"/>
          <w:b/>
          <w:color w:val="auto"/>
          <w:szCs w:val="21"/>
          <w:highlight w:val="none"/>
        </w:rPr>
        <w:t>1</w:t>
      </w:r>
      <w:r>
        <w:rPr>
          <w:rFonts w:hint="eastAsia" w:ascii="宋体" w:hAnsi="宋体" w:cs="Arial"/>
          <w:b/>
          <w:color w:val="auto"/>
          <w:szCs w:val="21"/>
          <w:highlight w:val="none"/>
          <w:lang w:val="en-US" w:eastAsia="zh-CN"/>
        </w:rPr>
        <w:t>0</w:t>
      </w:r>
      <w:r>
        <w:rPr>
          <w:rFonts w:hint="eastAsia" w:ascii="宋体" w:hAnsi="宋体" w:cs="Arial"/>
          <w:b/>
          <w:color w:val="auto"/>
          <w:szCs w:val="21"/>
          <w:highlight w:val="none"/>
        </w:rPr>
        <w:t>时00分</w:t>
      </w:r>
      <w:r>
        <w:rPr>
          <w:rFonts w:hint="eastAsia" w:ascii="宋体" w:hAnsi="宋体" w:cs="Arial"/>
          <w:color w:val="auto"/>
          <w:szCs w:val="21"/>
          <w:highlight w:val="none"/>
        </w:rPr>
        <w:t>，在广西壮族自治区公共资源交易中心开标室（广西南宁市青秀区怡宾路6号自治区政务服务中心4楼）（具体开标室根据电子屏幕显示的安排），投标人可以由法定代表人或委托代理人出席开标会议（携带本人身份证原件，委托代理人出席应携带单位授权委托书原件）。</w:t>
      </w:r>
    </w:p>
    <w:p>
      <w:pPr>
        <w:spacing w:line="340" w:lineRule="exact"/>
        <w:rPr>
          <w:rFonts w:ascii="宋体" w:hAnsi="宋体"/>
          <w:b/>
          <w:color w:val="auto"/>
          <w:szCs w:val="21"/>
          <w:highlight w:val="none"/>
        </w:rPr>
      </w:pPr>
      <w:r>
        <w:rPr>
          <w:rFonts w:hint="eastAsia" w:ascii="宋体" w:hAnsi="宋体"/>
          <w:color w:val="auto"/>
          <w:szCs w:val="21"/>
          <w:highlight w:val="none"/>
        </w:rPr>
        <w:t xml:space="preserve">   </w:t>
      </w:r>
      <w:r>
        <w:rPr>
          <w:rFonts w:hint="eastAsia" w:ascii="宋体" w:hAnsi="宋体"/>
          <w:b/>
          <w:color w:val="auto"/>
          <w:szCs w:val="21"/>
          <w:highlight w:val="none"/>
        </w:rPr>
        <w:t xml:space="preserve"> 十二、联系事项：</w:t>
      </w:r>
    </w:p>
    <w:p>
      <w:pPr>
        <w:spacing w:line="340" w:lineRule="exact"/>
        <w:rPr>
          <w:rFonts w:ascii="宋体" w:hAnsi="宋体"/>
          <w:color w:val="auto"/>
          <w:kern w:val="0"/>
          <w:szCs w:val="21"/>
          <w:highlight w:val="none"/>
        </w:rPr>
      </w:pPr>
      <w:r>
        <w:rPr>
          <w:rFonts w:hint="eastAsia" w:ascii="宋体" w:hAnsi="宋体"/>
          <w:color w:val="auto"/>
          <w:szCs w:val="21"/>
          <w:highlight w:val="none"/>
        </w:rPr>
        <w:t xml:space="preserve">    </w:t>
      </w:r>
      <w:r>
        <w:rPr>
          <w:rFonts w:hint="eastAsia" w:ascii="宋体" w:hAnsi="宋体"/>
          <w:color w:val="auto"/>
          <w:kern w:val="0"/>
          <w:szCs w:val="21"/>
          <w:highlight w:val="none"/>
        </w:rPr>
        <w:t xml:space="preserve">1、采购代理机构：广西国栋招标有限公司 </w:t>
      </w:r>
    </w:p>
    <w:p>
      <w:pPr>
        <w:spacing w:line="340" w:lineRule="exact"/>
        <w:ind w:left="2314" w:leftChars="402" w:hanging="1470" w:hangingChars="700"/>
        <w:rPr>
          <w:rFonts w:ascii="宋体" w:hAnsi="宋体"/>
          <w:color w:val="auto"/>
          <w:kern w:val="0"/>
          <w:szCs w:val="21"/>
          <w:highlight w:val="none"/>
        </w:rPr>
      </w:pPr>
      <w:r>
        <w:rPr>
          <w:rFonts w:hint="eastAsia" w:ascii="宋体" w:hAnsi="宋体"/>
          <w:color w:val="auto"/>
          <w:kern w:val="0"/>
          <w:szCs w:val="21"/>
          <w:highlight w:val="none"/>
        </w:rPr>
        <w:t xml:space="preserve">地址：南宁市青秀区双拥路40-1号东方明珠花园1栋1单元9层 </w:t>
      </w:r>
    </w:p>
    <w:p>
      <w:pPr>
        <w:spacing w:line="340" w:lineRule="exact"/>
        <w:ind w:firstLine="844" w:firstLineChars="402"/>
        <w:rPr>
          <w:rFonts w:ascii="宋体" w:hAnsi="宋体"/>
          <w:color w:val="auto"/>
          <w:kern w:val="0"/>
          <w:szCs w:val="21"/>
          <w:highlight w:val="none"/>
        </w:rPr>
      </w:pPr>
      <w:r>
        <w:rPr>
          <w:rFonts w:hint="eastAsia" w:ascii="宋体" w:hAnsi="宋体"/>
          <w:color w:val="auto"/>
          <w:kern w:val="0"/>
          <w:szCs w:val="21"/>
          <w:highlight w:val="none"/>
        </w:rPr>
        <w:t>联系人：陈 工    联系电话：</w:t>
      </w:r>
      <w:r>
        <w:rPr>
          <w:rFonts w:hint="eastAsia" w:ascii="宋体" w:hAnsi="宋体"/>
          <w:color w:val="auto"/>
          <w:szCs w:val="21"/>
          <w:highlight w:val="none"/>
          <w:lang w:val="en-US" w:eastAsia="zh-CN"/>
        </w:rPr>
        <w:t>13907711188</w:t>
      </w:r>
      <w:r>
        <w:rPr>
          <w:rFonts w:hint="eastAsia" w:ascii="宋体" w:hAnsi="宋体" w:cs="Arial"/>
          <w:color w:val="auto"/>
          <w:szCs w:val="21"/>
          <w:highlight w:val="none"/>
        </w:rPr>
        <w:t xml:space="preserve">    传真： 0771-5712550  </w:t>
      </w:r>
    </w:p>
    <w:p>
      <w:pPr>
        <w:spacing w:line="340" w:lineRule="exact"/>
        <w:ind w:firstLine="424" w:firstLineChars="202"/>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w:t>
      </w:r>
      <w:r>
        <w:rPr>
          <w:rFonts w:ascii="宋体" w:hAnsi="宋体" w:cs="Arial"/>
          <w:color w:val="auto"/>
          <w:szCs w:val="21"/>
          <w:highlight w:val="none"/>
        </w:rPr>
        <w:t>采购人：</w:t>
      </w:r>
      <w:r>
        <w:rPr>
          <w:rFonts w:hint="eastAsia" w:ascii="宋体" w:hAnsi="宋体"/>
          <w:color w:val="auto"/>
          <w:kern w:val="0"/>
          <w:szCs w:val="21"/>
          <w:highlight w:val="none"/>
          <w:u w:val="single"/>
        </w:rPr>
        <w:t>广西壮族自治区人民医院</w:t>
      </w:r>
      <w:r>
        <w:rPr>
          <w:rFonts w:ascii="宋体" w:hAnsi="宋体"/>
          <w:color w:val="auto"/>
          <w:kern w:val="0"/>
          <w:szCs w:val="21"/>
          <w:highlight w:val="none"/>
          <w:u w:val="single"/>
        </w:rPr>
        <w:t xml:space="preserve"> </w:t>
      </w:r>
      <w:r>
        <w:rPr>
          <w:rFonts w:ascii="宋体" w:hAnsi="宋体" w:cs="Arial"/>
          <w:color w:val="auto"/>
          <w:szCs w:val="21"/>
          <w:highlight w:val="none"/>
          <w:u w:val="single"/>
        </w:rPr>
        <w:t xml:space="preserve"> </w:t>
      </w:r>
    </w:p>
    <w:p>
      <w:pPr>
        <w:spacing w:line="440" w:lineRule="exact"/>
        <w:ind w:firstLine="739" w:firstLineChars="352"/>
        <w:rPr>
          <w:rFonts w:ascii="宋体" w:hAnsi="宋体" w:cs="Arial"/>
          <w:color w:val="auto"/>
          <w:szCs w:val="21"/>
          <w:highlight w:val="none"/>
          <w:u w:val="single"/>
        </w:rPr>
      </w:pPr>
      <w:r>
        <w:rPr>
          <w:rFonts w:hint="eastAsia" w:ascii="宋体" w:hAnsi="宋体" w:cs="Arial"/>
          <w:color w:val="auto"/>
          <w:szCs w:val="21"/>
          <w:highlight w:val="none"/>
        </w:rPr>
        <w:t>地址：</w:t>
      </w:r>
      <w:r>
        <w:rPr>
          <w:rFonts w:ascii="宋体" w:hAnsi="宋体" w:cs="Arial"/>
          <w:color w:val="auto"/>
          <w:szCs w:val="21"/>
          <w:highlight w:val="none"/>
        </w:rPr>
        <w:t xml:space="preserve"> </w:t>
      </w:r>
      <w:r>
        <w:rPr>
          <w:rFonts w:ascii="宋体" w:hAnsi="宋体" w:cs="Arial"/>
          <w:color w:val="auto"/>
          <w:szCs w:val="21"/>
          <w:highlight w:val="none"/>
          <w:u w:val="single"/>
        </w:rPr>
        <w:t xml:space="preserve"> </w:t>
      </w:r>
      <w:r>
        <w:rPr>
          <w:rFonts w:hint="eastAsia" w:ascii="宋体" w:hAnsi="宋体"/>
          <w:color w:val="auto"/>
          <w:kern w:val="0"/>
          <w:szCs w:val="21"/>
          <w:highlight w:val="none"/>
          <w:u w:val="single"/>
        </w:rPr>
        <w:t>南宁市青秀区桃源路</w:t>
      </w:r>
      <w:r>
        <w:rPr>
          <w:rFonts w:ascii="宋体" w:hAnsi="宋体"/>
          <w:color w:val="auto"/>
          <w:kern w:val="0"/>
          <w:szCs w:val="21"/>
          <w:highlight w:val="none"/>
          <w:u w:val="single"/>
        </w:rPr>
        <w:t>6号</w:t>
      </w:r>
      <w:r>
        <w:rPr>
          <w:rFonts w:ascii="宋体" w:hAnsi="宋体" w:cs="Arial"/>
          <w:color w:val="auto"/>
          <w:szCs w:val="21"/>
          <w:highlight w:val="none"/>
          <w:u w:val="single"/>
        </w:rPr>
        <w:t xml:space="preserve">   </w:t>
      </w:r>
    </w:p>
    <w:p>
      <w:pPr>
        <w:spacing w:line="440" w:lineRule="exact"/>
        <w:ind w:firstLine="739" w:firstLineChars="352"/>
        <w:rPr>
          <w:rFonts w:ascii="宋体" w:hAnsi="宋体" w:cs="Arial"/>
          <w:color w:val="auto"/>
          <w:szCs w:val="21"/>
          <w:highlight w:val="none"/>
          <w:u w:val="single"/>
        </w:rPr>
      </w:pPr>
      <w:r>
        <w:rPr>
          <w:rFonts w:hint="eastAsia" w:ascii="宋体" w:hAnsi="宋体" w:cs="Arial"/>
          <w:color w:val="auto"/>
          <w:szCs w:val="21"/>
          <w:highlight w:val="none"/>
        </w:rPr>
        <w:t>联系人：</w:t>
      </w:r>
      <w:r>
        <w:rPr>
          <w:rFonts w:hint="eastAsia"/>
          <w:color w:val="auto"/>
          <w:szCs w:val="21"/>
          <w:highlight w:val="none"/>
          <w:u w:val="single"/>
        </w:rPr>
        <w:t>朱 工</w:t>
      </w:r>
      <w:r>
        <w:rPr>
          <w:rFonts w:hint="eastAsia" w:ascii="宋体" w:hAnsi="宋体" w:cs="Arial"/>
          <w:color w:val="auto"/>
          <w:szCs w:val="21"/>
          <w:highlight w:val="none"/>
          <w:u w:val="single"/>
        </w:rPr>
        <w:t>；</w:t>
      </w:r>
      <w:r>
        <w:rPr>
          <w:rFonts w:hint="eastAsia" w:ascii="宋体" w:hAnsi="宋体" w:cs="Arial"/>
          <w:color w:val="auto"/>
          <w:szCs w:val="21"/>
          <w:highlight w:val="none"/>
        </w:rPr>
        <w:t xml:space="preserve">   联系电话：</w:t>
      </w:r>
      <w:r>
        <w:rPr>
          <w:rFonts w:hint="eastAsia" w:ascii="宋体" w:hAnsi="宋体" w:cs="Arial"/>
          <w:color w:val="auto"/>
          <w:szCs w:val="21"/>
          <w:highlight w:val="none"/>
          <w:u w:val="single"/>
        </w:rPr>
        <w:t>0771-5722430</w:t>
      </w:r>
      <w:r>
        <w:rPr>
          <w:rFonts w:ascii="宋体" w:hAnsi="宋体" w:cs="Arial"/>
          <w:color w:val="auto"/>
          <w:szCs w:val="21"/>
          <w:highlight w:val="none"/>
          <w:u w:val="single"/>
        </w:rPr>
        <w:t xml:space="preserve"> 。</w:t>
      </w:r>
    </w:p>
    <w:p>
      <w:pPr>
        <w:spacing w:line="340" w:lineRule="exact"/>
        <w:ind w:firstLine="405"/>
        <w:rPr>
          <w:rFonts w:ascii="宋体" w:hAnsi="宋体"/>
          <w:color w:val="auto"/>
          <w:szCs w:val="21"/>
          <w:highlight w:val="none"/>
        </w:rPr>
      </w:pPr>
      <w:r>
        <w:rPr>
          <w:rFonts w:hint="eastAsia" w:ascii="宋体" w:hAnsi="宋体"/>
          <w:color w:val="auto"/>
          <w:szCs w:val="21"/>
          <w:highlight w:val="none"/>
        </w:rPr>
        <w:t>3、监督部门: 广西区财政厅政府采购监督管理处，电话:0771-5331810。</w:t>
      </w:r>
    </w:p>
    <w:p>
      <w:pPr>
        <w:spacing w:line="340" w:lineRule="exact"/>
        <w:ind w:left="386" w:leftChars="134" w:hanging="105" w:hangingChars="50"/>
        <w:jc w:val="left"/>
        <w:rPr>
          <w:rFonts w:ascii="宋体" w:hAnsi="宋体"/>
          <w:color w:val="auto"/>
          <w:szCs w:val="21"/>
          <w:highlight w:val="none"/>
        </w:rPr>
      </w:pPr>
      <w:r>
        <w:rPr>
          <w:rFonts w:hint="eastAsia" w:ascii="宋体" w:hAnsi="宋体"/>
          <w:b/>
          <w:color w:val="auto"/>
          <w:szCs w:val="21"/>
          <w:highlight w:val="none"/>
        </w:rPr>
        <w:t>十三、招标信息咨询地址</w:t>
      </w:r>
      <w:r>
        <w:rPr>
          <w:rFonts w:hint="eastAsia" w:ascii="宋体" w:hAnsi="宋体"/>
          <w:color w:val="auto"/>
          <w:szCs w:val="21"/>
          <w:highlight w:val="none"/>
        </w:rPr>
        <w:t>：</w:t>
      </w:r>
      <w:r>
        <w:rPr>
          <w:rFonts w:hint="eastAsia" w:ascii="宋体" w:hAnsi="宋体"/>
          <w:color w:val="auto"/>
          <w:szCs w:val="21"/>
          <w:highlight w:val="none"/>
        </w:rPr>
        <w:br w:type="textWrapping"/>
      </w:r>
      <w:r>
        <w:rPr>
          <w:rFonts w:hint="eastAsia" w:ascii="宋体" w:hAnsi="宋体"/>
          <w:color w:val="auto"/>
          <w:szCs w:val="21"/>
          <w:highlight w:val="none"/>
        </w:rPr>
        <w:t xml:space="preserve">中国政府采购网（www.ccgp.gov.cn）；广西壮族自治区政府采购网（www.gxzfcg.gov.cn）；广西壮族自治区公共资源交易中心网（www.gxzbtb.cn ）。                        </w:t>
      </w:r>
    </w:p>
    <w:p>
      <w:pPr>
        <w:snapToGrid w:val="0"/>
        <w:spacing w:line="340" w:lineRule="exact"/>
        <w:ind w:firstLine="420"/>
        <w:rPr>
          <w:rFonts w:ascii="宋体" w:hAnsi="宋体" w:cs="Arial"/>
          <w:b/>
          <w:color w:val="auto"/>
          <w:szCs w:val="21"/>
          <w:highlight w:val="none"/>
        </w:rPr>
      </w:pPr>
      <w:r>
        <w:rPr>
          <w:rFonts w:hint="eastAsia" w:ascii="宋体" w:hAnsi="宋体" w:cs="Arial"/>
          <w:b/>
          <w:color w:val="auto"/>
          <w:szCs w:val="21"/>
          <w:highlight w:val="none"/>
        </w:rPr>
        <w:t>十四、公告期限：</w:t>
      </w:r>
    </w:p>
    <w:p>
      <w:pPr>
        <w:snapToGrid w:val="0"/>
        <w:spacing w:line="340" w:lineRule="exact"/>
        <w:ind w:firstLine="420" w:firstLineChars="200"/>
        <w:jc w:val="left"/>
        <w:rPr>
          <w:rFonts w:ascii="宋体" w:hAnsi="宋体" w:cs="Arial"/>
          <w:b/>
          <w:color w:val="auto"/>
          <w:szCs w:val="21"/>
          <w:highlight w:val="none"/>
        </w:rPr>
      </w:pPr>
      <w:r>
        <w:rPr>
          <w:rFonts w:hint="eastAsia"/>
          <w:color w:val="auto"/>
          <w:highlight w:val="none"/>
        </w:rPr>
        <w:t>本招标公告自发布之日起公告期限为</w:t>
      </w:r>
      <w:r>
        <w:rPr>
          <w:color w:val="auto"/>
          <w:highlight w:val="none"/>
        </w:rPr>
        <w:t>5</w:t>
      </w:r>
      <w:r>
        <w:rPr>
          <w:rFonts w:hint="eastAsia"/>
          <w:color w:val="auto"/>
          <w:highlight w:val="none"/>
        </w:rPr>
        <w:t>个工作日。</w:t>
      </w:r>
    </w:p>
    <w:p>
      <w:pPr>
        <w:snapToGrid w:val="0"/>
        <w:spacing w:line="340" w:lineRule="exact"/>
        <w:ind w:left="238"/>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w:t>
      </w:r>
    </w:p>
    <w:p>
      <w:pPr>
        <w:snapToGrid w:val="0"/>
        <w:spacing w:line="340" w:lineRule="exact"/>
        <w:ind w:left="238"/>
        <w:jc w:val="center"/>
        <w:rPr>
          <w:color w:val="auto"/>
          <w:highlight w:val="none"/>
        </w:rPr>
      </w:pPr>
      <w:r>
        <w:rPr>
          <w:rFonts w:hint="eastAsia" w:ascii="仿宋_GB2312" w:hAnsi="宋体" w:eastAsia="仿宋_GB2312"/>
          <w:color w:val="auto"/>
          <w:sz w:val="28"/>
          <w:szCs w:val="28"/>
          <w:highlight w:val="none"/>
        </w:rPr>
        <w:t xml:space="preserve">                                      </w:t>
      </w:r>
      <w:r>
        <w:rPr>
          <w:rFonts w:hint="eastAsia"/>
          <w:color w:val="auto"/>
          <w:highlight w:val="none"/>
        </w:rPr>
        <w:t>广西国栋招标有限公司</w:t>
      </w:r>
    </w:p>
    <w:p>
      <w:pPr>
        <w:snapToGrid w:val="0"/>
        <w:spacing w:beforeLines="50" w:afterLines="50" w:line="340" w:lineRule="exact"/>
        <w:ind w:left="476"/>
        <w:jc w:val="center"/>
        <w:rPr>
          <w:rFonts w:ascii="仿宋_GB2312" w:hAnsi="宋体" w:eastAsia="仿宋_GB2312"/>
          <w:b/>
          <w:color w:val="auto"/>
          <w:sz w:val="44"/>
          <w:szCs w:val="44"/>
          <w:highlight w:val="none"/>
        </w:rPr>
      </w:pPr>
      <w:r>
        <w:rPr>
          <w:rFonts w:hint="eastAsia" w:ascii="仿宋_GB2312" w:hAnsi="宋体" w:eastAsia="仿宋_GB2312"/>
          <w:color w:val="auto"/>
          <w:sz w:val="28"/>
          <w:szCs w:val="28"/>
          <w:highlight w:val="none"/>
        </w:rPr>
        <w:t xml:space="preserve">                                     </w:t>
      </w:r>
      <w:r>
        <w:rPr>
          <w:rFonts w:hint="eastAsia"/>
          <w:color w:val="auto"/>
          <w:highlight w:val="none"/>
        </w:rPr>
        <w:t xml:space="preserve">　   </w:t>
      </w:r>
      <w:r>
        <w:rPr>
          <w:rFonts w:hint="eastAsia" w:ascii="宋体" w:hAnsi="宋体" w:cs="Arial"/>
          <w:b/>
          <w:color w:val="auto"/>
          <w:szCs w:val="21"/>
          <w:highlight w:val="none"/>
          <w:shd w:val="clear" w:color="auto" w:fill="FFFFFF"/>
        </w:rPr>
        <w:t>2020年</w:t>
      </w:r>
      <w:r>
        <w:rPr>
          <w:rFonts w:hint="eastAsia" w:ascii="宋体" w:hAnsi="宋体" w:cs="Arial"/>
          <w:b/>
          <w:color w:val="auto"/>
          <w:szCs w:val="21"/>
          <w:highlight w:val="none"/>
          <w:shd w:val="clear" w:color="auto" w:fill="FFFFFF"/>
          <w:lang w:val="en-US" w:eastAsia="zh-CN"/>
        </w:rPr>
        <w:t>6</w:t>
      </w:r>
      <w:r>
        <w:rPr>
          <w:rFonts w:hint="eastAsia" w:ascii="宋体" w:hAnsi="宋体" w:cs="Arial"/>
          <w:b/>
          <w:color w:val="auto"/>
          <w:szCs w:val="21"/>
          <w:highlight w:val="none"/>
          <w:shd w:val="clear" w:color="auto" w:fill="FFFFFF"/>
        </w:rPr>
        <w:t>月</w:t>
      </w:r>
      <w:r>
        <w:rPr>
          <w:rFonts w:hint="eastAsia" w:ascii="宋体" w:hAnsi="宋体" w:cs="Arial"/>
          <w:b/>
          <w:color w:val="auto"/>
          <w:szCs w:val="21"/>
          <w:highlight w:val="none"/>
          <w:shd w:val="clear" w:color="auto" w:fill="FFFFFF"/>
          <w:lang w:val="en-US" w:eastAsia="zh-CN"/>
        </w:rPr>
        <w:t>5</w:t>
      </w:r>
      <w:r>
        <w:rPr>
          <w:rFonts w:hint="eastAsia" w:ascii="宋体" w:hAnsi="宋体" w:cs="Arial"/>
          <w:b/>
          <w:color w:val="auto"/>
          <w:szCs w:val="21"/>
          <w:highlight w:val="none"/>
          <w:shd w:val="clear" w:color="auto" w:fill="FFFFFF"/>
        </w:rPr>
        <w:t>日</w:t>
      </w:r>
      <w:r>
        <w:rPr>
          <w:rFonts w:ascii="仿宋_GB2312" w:hAnsi="宋体" w:eastAsia="仿宋_GB2312"/>
          <w:b/>
          <w:color w:val="auto"/>
          <w:sz w:val="44"/>
          <w:szCs w:val="44"/>
          <w:highlight w:val="none"/>
        </w:rPr>
        <w:br w:type="page"/>
      </w:r>
    </w:p>
    <w:p>
      <w:pPr>
        <w:snapToGrid w:val="0"/>
        <w:spacing w:beforeLines="50" w:afterLines="50"/>
        <w:ind w:left="238"/>
        <w:jc w:val="center"/>
        <w:rPr>
          <w:rFonts w:ascii="仿宋_GB2312" w:hAnsi="宋体" w:eastAsia="仿宋_GB2312"/>
          <w:b/>
          <w:color w:val="auto"/>
          <w:sz w:val="44"/>
          <w:szCs w:val="44"/>
          <w:highlight w:val="none"/>
        </w:rPr>
      </w:pPr>
    </w:p>
    <w:p>
      <w:pPr>
        <w:snapToGrid w:val="0"/>
        <w:spacing w:beforeLines="50" w:afterLines="50"/>
        <w:ind w:left="238"/>
        <w:jc w:val="center"/>
        <w:rPr>
          <w:rFonts w:ascii="仿宋_GB2312" w:hAnsi="宋体" w:eastAsia="仿宋_GB2312"/>
          <w:b/>
          <w:color w:val="auto"/>
          <w:sz w:val="44"/>
          <w:szCs w:val="44"/>
          <w:highlight w:val="none"/>
        </w:rPr>
      </w:pPr>
    </w:p>
    <w:p>
      <w:pPr>
        <w:snapToGrid w:val="0"/>
        <w:spacing w:beforeLines="50" w:afterLines="50"/>
        <w:ind w:left="238"/>
        <w:jc w:val="center"/>
        <w:rPr>
          <w:rFonts w:ascii="仿宋_GB2312" w:hAnsi="宋体" w:eastAsia="仿宋_GB2312"/>
          <w:b/>
          <w:color w:val="auto"/>
          <w:sz w:val="44"/>
          <w:szCs w:val="44"/>
          <w:highlight w:val="none"/>
        </w:rPr>
      </w:pPr>
    </w:p>
    <w:p>
      <w:pPr>
        <w:snapToGrid w:val="0"/>
        <w:spacing w:beforeLines="50" w:afterLines="50"/>
        <w:ind w:left="238"/>
        <w:jc w:val="center"/>
        <w:rPr>
          <w:rFonts w:ascii="仿宋_GB2312" w:hAnsi="宋体" w:eastAsia="仿宋_GB2312"/>
          <w:b/>
          <w:color w:val="auto"/>
          <w:sz w:val="44"/>
          <w:szCs w:val="44"/>
          <w:highlight w:val="none"/>
        </w:rPr>
      </w:pPr>
    </w:p>
    <w:p>
      <w:pPr>
        <w:snapToGrid w:val="0"/>
        <w:spacing w:beforeLines="50" w:afterLines="50"/>
        <w:ind w:left="238"/>
        <w:jc w:val="center"/>
        <w:rPr>
          <w:rFonts w:ascii="仿宋_GB2312" w:hAnsi="宋体" w:eastAsia="仿宋_GB2312"/>
          <w:b/>
          <w:color w:val="auto"/>
          <w:sz w:val="44"/>
          <w:szCs w:val="44"/>
          <w:highlight w:val="none"/>
        </w:rPr>
      </w:pPr>
    </w:p>
    <w:p>
      <w:pPr>
        <w:snapToGrid w:val="0"/>
        <w:spacing w:beforeLines="50" w:afterLines="50"/>
        <w:ind w:left="238"/>
        <w:jc w:val="center"/>
        <w:rPr>
          <w:rFonts w:ascii="仿宋_GB2312" w:hAnsi="宋体" w:eastAsia="仿宋_GB2312"/>
          <w:b/>
          <w:color w:val="auto"/>
          <w:sz w:val="44"/>
          <w:szCs w:val="44"/>
          <w:highlight w:val="none"/>
        </w:rPr>
      </w:pPr>
    </w:p>
    <w:p>
      <w:pPr>
        <w:snapToGrid w:val="0"/>
        <w:spacing w:beforeLines="50" w:afterLines="50"/>
        <w:ind w:left="238"/>
        <w:jc w:val="center"/>
        <w:rPr>
          <w:rFonts w:ascii="仿宋_GB2312" w:hAnsi="宋体" w:eastAsia="仿宋_GB2312"/>
          <w:b/>
          <w:color w:val="auto"/>
          <w:sz w:val="44"/>
          <w:szCs w:val="44"/>
          <w:highlight w:val="none"/>
        </w:rPr>
      </w:pPr>
    </w:p>
    <w:p>
      <w:pPr>
        <w:snapToGrid w:val="0"/>
        <w:spacing w:beforeLines="50" w:afterLines="50"/>
        <w:ind w:left="238"/>
        <w:jc w:val="center"/>
        <w:rPr>
          <w:rFonts w:ascii="仿宋_GB2312" w:hAnsi="宋体" w:eastAsia="仿宋_GB2312"/>
          <w:b/>
          <w:color w:val="auto"/>
          <w:sz w:val="44"/>
          <w:szCs w:val="44"/>
          <w:highlight w:val="none"/>
        </w:rPr>
      </w:pPr>
    </w:p>
    <w:p>
      <w:pPr>
        <w:snapToGrid w:val="0"/>
        <w:spacing w:beforeLines="50" w:afterLines="50"/>
        <w:ind w:left="238"/>
        <w:jc w:val="center"/>
        <w:rPr>
          <w:rFonts w:ascii="仿宋_GB2312" w:hAnsi="宋体" w:eastAsia="仿宋_GB2312"/>
          <w:b/>
          <w:color w:val="auto"/>
          <w:sz w:val="44"/>
          <w:szCs w:val="44"/>
          <w:highlight w:val="none"/>
        </w:rPr>
      </w:pPr>
    </w:p>
    <w:p>
      <w:pPr>
        <w:snapToGrid w:val="0"/>
        <w:spacing w:beforeLines="50" w:afterLines="50"/>
        <w:ind w:left="1"/>
        <w:jc w:val="center"/>
        <w:rPr>
          <w:rFonts w:ascii="黑体" w:hAnsi="宋体" w:eastAsia="黑体"/>
          <w:color w:val="auto"/>
          <w:sz w:val="32"/>
          <w:szCs w:val="32"/>
          <w:highlight w:val="none"/>
        </w:rPr>
      </w:pPr>
      <w:r>
        <w:rPr>
          <w:rFonts w:hint="eastAsia" w:ascii="仿宋_GB2312" w:hAnsi="宋体" w:eastAsia="仿宋_GB2312"/>
          <w:b/>
          <w:color w:val="auto"/>
          <w:sz w:val="44"/>
          <w:szCs w:val="44"/>
          <w:highlight w:val="none"/>
        </w:rPr>
        <w:t xml:space="preserve">第二章  </w:t>
      </w:r>
      <w:r>
        <w:rPr>
          <w:rFonts w:hint="eastAsia" w:ascii="仿宋_GB2312" w:hAnsi="宋体" w:eastAsia="仿宋_GB2312"/>
          <w:b/>
          <w:bCs/>
          <w:color w:val="auto"/>
          <w:sz w:val="44"/>
          <w:szCs w:val="44"/>
          <w:highlight w:val="none"/>
        </w:rPr>
        <w:t>招</w:t>
      </w:r>
      <w:r>
        <w:rPr>
          <w:rFonts w:hint="eastAsia" w:ascii="仿宋_GB2312" w:hAnsi="宋体" w:eastAsia="仿宋_GB2312"/>
          <w:b/>
          <w:color w:val="auto"/>
          <w:sz w:val="44"/>
          <w:szCs w:val="44"/>
          <w:highlight w:val="none"/>
        </w:rPr>
        <w:t>标项目采购需求</w:t>
      </w:r>
    </w:p>
    <w:p>
      <w:pPr>
        <w:snapToGrid w:val="0"/>
        <w:spacing w:beforeLines="50" w:afterLines="50"/>
        <w:ind w:left="238"/>
        <w:jc w:val="center"/>
        <w:rPr>
          <w:rFonts w:ascii="黑体" w:hAnsi="宋体" w:eastAsia="黑体"/>
          <w:color w:val="auto"/>
          <w:sz w:val="32"/>
          <w:szCs w:val="32"/>
          <w:highlight w:val="none"/>
        </w:rPr>
      </w:pPr>
    </w:p>
    <w:p>
      <w:pPr>
        <w:snapToGrid w:val="0"/>
        <w:spacing w:beforeLines="50" w:afterLines="50"/>
        <w:ind w:left="238"/>
        <w:jc w:val="center"/>
        <w:rPr>
          <w:rFonts w:ascii="黑体" w:hAnsi="宋体" w:eastAsia="黑体"/>
          <w:color w:val="auto"/>
          <w:sz w:val="32"/>
          <w:szCs w:val="32"/>
          <w:highlight w:val="none"/>
        </w:rPr>
      </w:pPr>
    </w:p>
    <w:p>
      <w:pPr>
        <w:snapToGrid w:val="0"/>
        <w:spacing w:beforeLines="50" w:afterLines="50"/>
        <w:ind w:left="238"/>
        <w:jc w:val="center"/>
        <w:rPr>
          <w:rFonts w:ascii="黑体" w:hAnsi="宋体" w:eastAsia="黑体"/>
          <w:color w:val="auto"/>
          <w:sz w:val="32"/>
          <w:szCs w:val="32"/>
          <w:highlight w:val="none"/>
        </w:rPr>
      </w:pPr>
    </w:p>
    <w:p>
      <w:pPr>
        <w:snapToGrid w:val="0"/>
        <w:spacing w:beforeLines="50" w:afterLines="50"/>
        <w:ind w:left="238"/>
        <w:jc w:val="center"/>
        <w:rPr>
          <w:rFonts w:ascii="黑体" w:hAnsi="宋体" w:eastAsia="黑体"/>
          <w:color w:val="auto"/>
          <w:sz w:val="32"/>
          <w:szCs w:val="32"/>
          <w:highlight w:val="none"/>
        </w:rPr>
      </w:pPr>
    </w:p>
    <w:p>
      <w:pPr>
        <w:snapToGrid w:val="0"/>
        <w:spacing w:beforeLines="50" w:afterLines="50"/>
        <w:ind w:left="238"/>
        <w:jc w:val="center"/>
        <w:rPr>
          <w:rFonts w:ascii="黑体" w:hAnsi="宋体" w:eastAsia="黑体"/>
          <w:color w:val="auto"/>
          <w:sz w:val="32"/>
          <w:szCs w:val="32"/>
          <w:highlight w:val="none"/>
        </w:rPr>
      </w:pPr>
    </w:p>
    <w:p>
      <w:pPr>
        <w:snapToGrid w:val="0"/>
        <w:spacing w:beforeLines="50" w:afterLines="50"/>
        <w:ind w:left="238"/>
        <w:jc w:val="center"/>
        <w:rPr>
          <w:rFonts w:ascii="黑体" w:hAnsi="宋体" w:eastAsia="黑体"/>
          <w:color w:val="auto"/>
          <w:sz w:val="32"/>
          <w:szCs w:val="32"/>
          <w:highlight w:val="none"/>
        </w:rPr>
      </w:pPr>
    </w:p>
    <w:p>
      <w:pPr>
        <w:snapToGrid w:val="0"/>
        <w:spacing w:beforeLines="50" w:afterLines="50"/>
        <w:ind w:left="238"/>
        <w:jc w:val="center"/>
        <w:rPr>
          <w:rFonts w:ascii="黑体" w:hAnsi="宋体" w:eastAsia="黑体"/>
          <w:color w:val="auto"/>
          <w:sz w:val="32"/>
          <w:szCs w:val="32"/>
          <w:highlight w:val="none"/>
        </w:rPr>
      </w:pPr>
    </w:p>
    <w:p>
      <w:pPr>
        <w:snapToGrid w:val="0"/>
        <w:spacing w:beforeLines="50" w:afterLines="50"/>
        <w:ind w:left="238"/>
        <w:jc w:val="center"/>
        <w:rPr>
          <w:rFonts w:ascii="黑体" w:hAnsi="宋体" w:eastAsia="黑体"/>
          <w:color w:val="auto"/>
          <w:sz w:val="32"/>
          <w:szCs w:val="32"/>
          <w:highlight w:val="none"/>
        </w:rPr>
      </w:pPr>
    </w:p>
    <w:p>
      <w:pPr>
        <w:snapToGrid w:val="0"/>
        <w:spacing w:beforeLines="50" w:afterLines="50"/>
        <w:ind w:left="238"/>
        <w:jc w:val="center"/>
        <w:rPr>
          <w:rFonts w:ascii="黑体" w:hAnsi="宋体" w:eastAsia="黑体"/>
          <w:color w:val="auto"/>
          <w:sz w:val="32"/>
          <w:szCs w:val="32"/>
          <w:highlight w:val="none"/>
        </w:rPr>
      </w:pPr>
    </w:p>
    <w:p>
      <w:pPr>
        <w:snapToGrid w:val="0"/>
        <w:spacing w:beforeLines="50" w:afterLines="50"/>
        <w:ind w:left="238"/>
        <w:jc w:val="center"/>
        <w:rPr>
          <w:rFonts w:ascii="黑体" w:hAnsi="宋体" w:eastAsia="黑体"/>
          <w:color w:val="auto"/>
          <w:sz w:val="32"/>
          <w:szCs w:val="32"/>
          <w:highlight w:val="none"/>
        </w:rPr>
      </w:pPr>
    </w:p>
    <w:p>
      <w:pPr>
        <w:adjustRightInd w:val="0"/>
        <w:snapToGrid w:val="0"/>
        <w:spacing w:line="500" w:lineRule="exact"/>
        <w:ind w:left="2"/>
        <w:jc w:val="center"/>
        <w:rPr>
          <w:rFonts w:ascii="宋体" w:hAnsi="宋体"/>
          <w:b/>
          <w:color w:val="auto"/>
          <w:sz w:val="32"/>
          <w:szCs w:val="32"/>
          <w:highlight w:val="none"/>
        </w:rPr>
      </w:pPr>
      <w:r>
        <w:rPr>
          <w:rFonts w:ascii="宋体" w:hAnsi="宋体"/>
          <w:b/>
          <w:bCs/>
          <w:color w:val="auto"/>
          <w:sz w:val="32"/>
          <w:szCs w:val="32"/>
          <w:highlight w:val="none"/>
        </w:rPr>
        <w:br w:type="page"/>
      </w:r>
    </w:p>
    <w:p>
      <w:pPr>
        <w:spacing w:line="360" w:lineRule="auto"/>
        <w:rPr>
          <w:rFonts w:ascii="宋体" w:hAnsi="宋体"/>
          <w:b/>
          <w:color w:val="auto"/>
          <w:sz w:val="32"/>
          <w:szCs w:val="32"/>
          <w:highlight w:val="none"/>
        </w:rPr>
      </w:pPr>
      <w:r>
        <w:rPr>
          <w:rFonts w:hint="eastAsia" w:ascii="宋体" w:hAnsi="宋体"/>
          <w:b/>
          <w:color w:val="auto"/>
          <w:szCs w:val="21"/>
          <w:highlight w:val="none"/>
        </w:rPr>
        <w:t xml:space="preserve">                             </w:t>
      </w:r>
      <w:r>
        <w:rPr>
          <w:rFonts w:hint="eastAsia" w:ascii="宋体" w:hAnsi="宋体"/>
          <w:b/>
          <w:bCs/>
          <w:color w:val="auto"/>
          <w:sz w:val="32"/>
          <w:szCs w:val="32"/>
          <w:highlight w:val="none"/>
        </w:rPr>
        <w:t>招</w:t>
      </w:r>
      <w:r>
        <w:rPr>
          <w:rFonts w:hint="eastAsia" w:ascii="宋体" w:hAnsi="宋体"/>
          <w:b/>
          <w:color w:val="auto"/>
          <w:sz w:val="32"/>
          <w:szCs w:val="32"/>
          <w:highlight w:val="none"/>
        </w:rPr>
        <w:t>标项目采购需求</w:t>
      </w:r>
    </w:p>
    <w:p>
      <w:pPr>
        <w:spacing w:line="360" w:lineRule="auto"/>
        <w:rPr>
          <w:rFonts w:ascii="宋体" w:hAnsi="宋体"/>
          <w:b/>
          <w:color w:val="auto"/>
          <w:szCs w:val="21"/>
          <w:highlight w:val="none"/>
        </w:rPr>
      </w:pPr>
      <w:r>
        <w:rPr>
          <w:rFonts w:hint="eastAsia" w:ascii="宋体" w:hAnsi="宋体"/>
          <w:b/>
          <w:color w:val="auto"/>
          <w:szCs w:val="21"/>
          <w:highlight w:val="none"/>
        </w:rPr>
        <w:t xml:space="preserve"> 说明：</w:t>
      </w:r>
    </w:p>
    <w:p>
      <w:pPr>
        <w:spacing w:line="360" w:lineRule="auto"/>
        <w:ind w:firstLine="316" w:firstLineChars="150"/>
        <w:rPr>
          <w:rFonts w:ascii="宋体" w:hAnsi="宋体"/>
          <w:b/>
          <w:color w:val="auto"/>
          <w:szCs w:val="21"/>
          <w:highlight w:val="none"/>
        </w:rPr>
      </w:pPr>
      <w:r>
        <w:rPr>
          <w:rFonts w:hint="eastAsia" w:ascii="宋体" w:hAnsi="宋体"/>
          <w:b/>
          <w:color w:val="auto"/>
          <w:szCs w:val="21"/>
          <w:highlight w:val="none"/>
        </w:rPr>
        <w:t>一、标记▲符号为实质性要求，投标时必须满足或优于，否则作投标无效处理。</w:t>
      </w:r>
    </w:p>
    <w:p>
      <w:pPr>
        <w:spacing w:line="360" w:lineRule="auto"/>
        <w:ind w:left="1" w:firstLine="316" w:firstLineChars="150"/>
        <w:rPr>
          <w:rFonts w:ascii="宋体" w:hAnsi="宋体"/>
          <w:b/>
          <w:color w:val="auto"/>
          <w:szCs w:val="21"/>
          <w:highlight w:val="none"/>
        </w:rPr>
      </w:pPr>
      <w:r>
        <w:rPr>
          <w:rFonts w:hint="eastAsia" w:ascii="宋体" w:hAnsi="宋体"/>
          <w:b/>
          <w:color w:val="auto"/>
          <w:szCs w:val="21"/>
          <w:highlight w:val="none"/>
        </w:rPr>
        <w:t>二、</w:t>
      </w:r>
      <w:r>
        <w:rPr>
          <w:rFonts w:hint="eastAsia" w:ascii="宋体" w:hAnsi="宋体"/>
          <w:b/>
          <w:bCs/>
          <w:color w:val="auto"/>
          <w:szCs w:val="21"/>
          <w:highlight w:val="none"/>
        </w:rPr>
        <w:t>本项目招标有效期为3年</w:t>
      </w:r>
      <w:r>
        <w:rPr>
          <w:rFonts w:hint="eastAsia" w:hAnsi="宋体"/>
          <w:b/>
          <w:bCs/>
          <w:color w:val="auto"/>
          <w:szCs w:val="21"/>
          <w:highlight w:val="none"/>
        </w:rPr>
        <w:t>（具体以签订合同时间为准）</w:t>
      </w:r>
      <w:r>
        <w:rPr>
          <w:rFonts w:hint="eastAsia" w:ascii="宋体" w:hAnsi="宋体"/>
          <w:b/>
          <w:color w:val="auto"/>
          <w:szCs w:val="21"/>
          <w:highlight w:val="none"/>
        </w:rPr>
        <w:t>。</w:t>
      </w:r>
    </w:p>
    <w:p>
      <w:pPr>
        <w:spacing w:line="360" w:lineRule="auto"/>
        <w:ind w:left="1" w:firstLine="316" w:firstLineChars="150"/>
        <w:rPr>
          <w:rFonts w:ascii="宋体" w:hAnsi="宋体"/>
          <w:b/>
          <w:color w:val="auto"/>
          <w:szCs w:val="21"/>
          <w:highlight w:val="none"/>
        </w:rPr>
      </w:pPr>
      <w:r>
        <w:rPr>
          <w:rFonts w:hint="eastAsia" w:ascii="宋体" w:hAnsi="宋体"/>
          <w:b/>
          <w:color w:val="auto"/>
          <w:szCs w:val="21"/>
          <w:highlight w:val="none"/>
        </w:rPr>
        <w:t>三、</w:t>
      </w:r>
      <w:r>
        <w:rPr>
          <w:rFonts w:hint="eastAsia" w:ascii="宋体" w:hAnsi="宋体" w:cs="Arial"/>
          <w:b/>
          <w:color w:val="auto"/>
          <w:szCs w:val="21"/>
          <w:highlight w:val="none"/>
        </w:rPr>
        <w:t>采购项目预算金额（人民币）约：</w:t>
      </w:r>
      <w:r>
        <w:rPr>
          <w:rFonts w:hint="eastAsia" w:ascii="宋体" w:hAnsi="宋体"/>
          <w:b/>
          <w:color w:val="auto"/>
          <w:szCs w:val="21"/>
          <w:highlight w:val="none"/>
          <w:u w:val="single"/>
        </w:rPr>
        <w:t xml:space="preserve">  900</w:t>
      </w:r>
      <w:r>
        <w:rPr>
          <w:rFonts w:hint="eastAsia" w:ascii="宋体" w:hAnsi="宋体"/>
          <w:b/>
          <w:color w:val="auto"/>
          <w:szCs w:val="21"/>
          <w:highlight w:val="none"/>
        </w:rPr>
        <w:t>万元/年</w:t>
      </w:r>
      <w:r>
        <w:rPr>
          <w:rFonts w:hint="eastAsia" w:ascii="宋体" w:hAnsi="宋体"/>
          <w:b/>
          <w:color w:val="auto"/>
          <w:szCs w:val="21"/>
          <w:highlight w:val="none"/>
          <w:u w:val="single"/>
        </w:rPr>
        <w:t>； 2700</w:t>
      </w:r>
      <w:r>
        <w:rPr>
          <w:rFonts w:hint="eastAsia" w:ascii="宋体" w:hAnsi="宋体"/>
          <w:b/>
          <w:color w:val="auto"/>
          <w:szCs w:val="21"/>
          <w:highlight w:val="none"/>
        </w:rPr>
        <w:t>万元/三年</w:t>
      </w:r>
      <w:r>
        <w:rPr>
          <w:rFonts w:hint="eastAsia" w:hAnsi="宋体"/>
          <w:b/>
          <w:bCs/>
          <w:color w:val="auto"/>
          <w:szCs w:val="21"/>
          <w:highlight w:val="none"/>
        </w:rPr>
        <w:t>。</w:t>
      </w:r>
      <w:r>
        <w:rPr>
          <w:rFonts w:hint="eastAsia" w:ascii="宋体" w:hAnsi="宋体"/>
          <w:b/>
          <w:color w:val="auto"/>
          <w:szCs w:val="21"/>
          <w:highlight w:val="none"/>
        </w:rPr>
        <w:t xml:space="preserve"> </w:t>
      </w:r>
    </w:p>
    <w:p>
      <w:pPr>
        <w:spacing w:line="360" w:lineRule="auto"/>
        <w:ind w:left="1" w:firstLine="316" w:firstLineChars="150"/>
        <w:rPr>
          <w:b/>
          <w:bCs/>
          <w:color w:val="auto"/>
          <w:szCs w:val="21"/>
          <w:highlight w:val="none"/>
        </w:rPr>
      </w:pPr>
      <w:r>
        <w:rPr>
          <w:rFonts w:hint="eastAsia" w:ascii="宋体" w:hAnsi="宋体"/>
          <w:b/>
          <w:color w:val="auto"/>
          <w:szCs w:val="21"/>
          <w:highlight w:val="none"/>
        </w:rPr>
        <w:t>四、</w:t>
      </w:r>
      <w:r>
        <w:rPr>
          <w:rFonts w:hint="eastAsia"/>
          <w:b/>
          <w:bCs/>
          <w:color w:val="auto"/>
          <w:szCs w:val="21"/>
          <w:highlight w:val="none"/>
        </w:rPr>
        <w:t>本项目招标两名中标服务供应商，每名中标服务商采购预算约为：</w:t>
      </w:r>
      <w:r>
        <w:rPr>
          <w:rFonts w:hint="eastAsia" w:ascii="宋体" w:hAnsi="宋体"/>
          <w:b/>
          <w:color w:val="auto"/>
          <w:szCs w:val="21"/>
          <w:highlight w:val="none"/>
          <w:u w:val="single"/>
        </w:rPr>
        <w:t xml:space="preserve">  450</w:t>
      </w:r>
      <w:r>
        <w:rPr>
          <w:rFonts w:hint="eastAsia" w:ascii="宋体" w:hAnsi="宋体"/>
          <w:b/>
          <w:color w:val="auto"/>
          <w:szCs w:val="21"/>
          <w:highlight w:val="none"/>
        </w:rPr>
        <w:t>万元/年；</w:t>
      </w:r>
      <w:r>
        <w:rPr>
          <w:rFonts w:hint="eastAsia" w:ascii="宋体" w:hAnsi="宋体"/>
          <w:b/>
          <w:color w:val="auto"/>
          <w:szCs w:val="21"/>
          <w:highlight w:val="none"/>
          <w:u w:val="single"/>
        </w:rPr>
        <w:t>1350</w:t>
      </w:r>
      <w:r>
        <w:rPr>
          <w:rFonts w:hint="eastAsia" w:ascii="宋体" w:hAnsi="宋体"/>
          <w:b/>
          <w:color w:val="auto"/>
          <w:szCs w:val="21"/>
          <w:highlight w:val="none"/>
        </w:rPr>
        <w:t>万元/三年</w:t>
      </w:r>
      <w:r>
        <w:rPr>
          <w:rFonts w:hint="eastAsia"/>
          <w:b/>
          <w:bCs/>
          <w:color w:val="auto"/>
          <w:szCs w:val="21"/>
          <w:highlight w:val="none"/>
        </w:rPr>
        <w:t>。</w:t>
      </w:r>
    </w:p>
    <w:p>
      <w:pPr>
        <w:spacing w:line="360" w:lineRule="auto"/>
        <w:ind w:left="1" w:firstLine="316" w:firstLineChars="150"/>
        <w:rPr>
          <w:rFonts w:ascii="宋体" w:hAnsi="宋体"/>
          <w:b/>
          <w:color w:val="auto"/>
          <w:szCs w:val="21"/>
          <w:highlight w:val="none"/>
        </w:rPr>
      </w:pPr>
      <w:r>
        <w:rPr>
          <w:rFonts w:hint="eastAsia"/>
          <w:b/>
          <w:bCs/>
          <w:color w:val="auto"/>
          <w:szCs w:val="21"/>
          <w:highlight w:val="none"/>
        </w:rPr>
        <w:t>五、</w:t>
      </w:r>
      <w:r>
        <w:rPr>
          <w:rFonts w:hint="eastAsia"/>
          <w:b/>
          <w:bCs/>
          <w:color w:val="auto"/>
          <w:highlight w:val="none"/>
        </w:rPr>
        <w:t>中标候选人推荐及确定中标原则：</w:t>
      </w:r>
      <w:r>
        <w:rPr>
          <w:rFonts w:hint="eastAsia"/>
          <w:b/>
          <w:bCs/>
          <w:color w:val="auto"/>
          <w:szCs w:val="21"/>
          <w:highlight w:val="none"/>
        </w:rPr>
        <w:t>评标委员会根据得分由高到低排列次序（得分相同时，以投标报价由低到高顺序排列；得分相同且投标报价相同的，按技术分高低顺序排列），推荐前三名及以上的中标候选人为中标人</w:t>
      </w:r>
      <w:r>
        <w:rPr>
          <w:rFonts w:hint="eastAsia" w:ascii="宋体" w:hAnsi="宋体"/>
          <w:b/>
          <w:color w:val="auto"/>
          <w:szCs w:val="21"/>
          <w:highlight w:val="none"/>
        </w:rPr>
        <w:t>。</w:t>
      </w:r>
      <w:r>
        <w:rPr>
          <w:rFonts w:hint="eastAsia"/>
          <w:b/>
          <w:bCs/>
          <w:color w:val="auto"/>
          <w:szCs w:val="21"/>
          <w:highlight w:val="none"/>
        </w:rPr>
        <w:t>招标采购单位应当确定评审委员会推荐排名第一、二的中标候选人为中标人。</w:t>
      </w:r>
    </w:p>
    <w:p>
      <w:pPr>
        <w:spacing w:line="360" w:lineRule="auto"/>
        <w:ind w:left="1" w:firstLine="316" w:firstLineChars="150"/>
        <w:rPr>
          <w:rFonts w:ascii="宋体" w:hAnsi="宋体"/>
          <w:b/>
          <w:color w:val="auto"/>
          <w:szCs w:val="21"/>
          <w:highlight w:val="none"/>
        </w:rPr>
      </w:pPr>
      <w:r>
        <w:rPr>
          <w:rFonts w:hint="eastAsia" w:ascii="宋体" w:hAnsi="宋体"/>
          <w:b/>
          <w:color w:val="auto"/>
          <w:szCs w:val="21"/>
          <w:highlight w:val="none"/>
        </w:rPr>
        <w:t xml:space="preserve">   </w:t>
      </w:r>
    </w:p>
    <w:tbl>
      <w:tblPr>
        <w:tblStyle w:val="49"/>
        <w:tblW w:w="9944"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1207"/>
        <w:gridCol w:w="1202"/>
        <w:gridCol w:w="945"/>
        <w:gridCol w:w="945"/>
        <w:gridCol w:w="49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b/>
                <w:color w:val="auto"/>
                <w:szCs w:val="21"/>
                <w:highlight w:val="none"/>
              </w:rPr>
            </w:pPr>
            <w:r>
              <w:rPr>
                <w:rFonts w:hint="eastAsia"/>
                <w:b/>
                <w:color w:val="auto"/>
                <w:szCs w:val="21"/>
                <w:highlight w:val="none"/>
              </w:rPr>
              <w:t>项号</w:t>
            </w:r>
          </w:p>
        </w:tc>
        <w:tc>
          <w:tcPr>
            <w:tcW w:w="2409" w:type="dxa"/>
            <w:gridSpan w:val="2"/>
            <w:tcBorders>
              <w:top w:val="single" w:color="auto" w:sz="4" w:space="0"/>
              <w:left w:val="single" w:color="auto" w:sz="4" w:space="0"/>
              <w:bottom w:val="single" w:color="auto" w:sz="4" w:space="0"/>
              <w:right w:val="single" w:color="auto" w:sz="4" w:space="0"/>
            </w:tcBorders>
            <w:vAlign w:val="center"/>
          </w:tcPr>
          <w:p>
            <w:pPr>
              <w:jc w:val="center"/>
              <w:rPr>
                <w:b/>
                <w:color w:val="auto"/>
                <w:szCs w:val="21"/>
                <w:highlight w:val="none"/>
              </w:rPr>
            </w:pPr>
            <w:r>
              <w:rPr>
                <w:rFonts w:hint="eastAsia"/>
                <w:b/>
                <w:color w:val="auto"/>
                <w:szCs w:val="21"/>
                <w:highlight w:val="none"/>
              </w:rPr>
              <w:t>服务名称</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b/>
                <w:color w:val="auto"/>
                <w:szCs w:val="21"/>
                <w:highlight w:val="none"/>
              </w:rPr>
            </w:pPr>
            <w:r>
              <w:rPr>
                <w:rFonts w:hint="eastAsia"/>
                <w:b/>
                <w:color w:val="auto"/>
                <w:szCs w:val="21"/>
                <w:highlight w:val="none"/>
              </w:rPr>
              <w:t>数 量</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b/>
                <w:color w:val="auto"/>
                <w:szCs w:val="21"/>
                <w:highlight w:val="none"/>
              </w:rPr>
            </w:pPr>
            <w:r>
              <w:rPr>
                <w:rFonts w:hint="eastAsia"/>
                <w:b/>
                <w:color w:val="auto"/>
                <w:szCs w:val="21"/>
                <w:highlight w:val="none"/>
              </w:rPr>
              <w:t>单位</w:t>
            </w:r>
          </w:p>
        </w:tc>
        <w:tc>
          <w:tcPr>
            <w:tcW w:w="4935" w:type="dxa"/>
            <w:tcBorders>
              <w:top w:val="single" w:color="auto" w:sz="4" w:space="0"/>
              <w:left w:val="single" w:color="auto" w:sz="4" w:space="0"/>
              <w:bottom w:val="single" w:color="auto" w:sz="4" w:space="0"/>
              <w:right w:val="single" w:color="auto" w:sz="4" w:space="0"/>
            </w:tcBorders>
            <w:vAlign w:val="center"/>
          </w:tcPr>
          <w:p>
            <w:pPr>
              <w:jc w:val="center"/>
              <w:rPr>
                <w:b/>
                <w:color w:val="auto"/>
                <w:szCs w:val="21"/>
                <w:highlight w:val="none"/>
              </w:rPr>
            </w:pPr>
            <w:r>
              <w:rPr>
                <w:rFonts w:hint="eastAsia"/>
                <w:b/>
                <w:color w:val="auto"/>
                <w:szCs w:val="21"/>
                <w:highlight w:val="none"/>
              </w:rPr>
              <w:t>服务内容及要求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1</w:t>
            </w:r>
          </w:p>
        </w:tc>
        <w:tc>
          <w:tcPr>
            <w:tcW w:w="2409"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ascii="宋体" w:hAnsi="宋体" w:cs="宋体"/>
                <w:color w:val="auto"/>
                <w:kern w:val="48"/>
                <w:szCs w:val="21"/>
                <w:highlight w:val="none"/>
              </w:rPr>
              <w:t>中药配方颗粒配送服务</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1</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项</w:t>
            </w:r>
          </w:p>
        </w:tc>
        <w:tc>
          <w:tcPr>
            <w:tcW w:w="4935" w:type="dxa"/>
            <w:tcBorders>
              <w:top w:val="single" w:color="auto" w:sz="4" w:space="0"/>
              <w:left w:val="single" w:color="auto" w:sz="4" w:space="0"/>
              <w:bottom w:val="single" w:color="auto" w:sz="4" w:space="0"/>
              <w:right w:val="single" w:color="auto" w:sz="4" w:space="0"/>
            </w:tcBorders>
            <w:vAlign w:val="center"/>
          </w:tcPr>
          <w:p>
            <w:pPr>
              <w:ind w:firstLine="211" w:firstLineChars="100"/>
              <w:rPr>
                <w:b/>
                <w:color w:val="auto"/>
                <w:szCs w:val="21"/>
                <w:highlight w:val="none"/>
              </w:rPr>
            </w:pPr>
            <w:r>
              <w:rPr>
                <w:rFonts w:hint="eastAsia"/>
                <w:b/>
                <w:color w:val="auto"/>
                <w:szCs w:val="21"/>
                <w:highlight w:val="none"/>
              </w:rPr>
              <w:t>▲1、中药配方颗粒的品种数：</w:t>
            </w:r>
          </w:p>
          <w:p>
            <w:pPr>
              <w:ind w:firstLine="210" w:firstLineChars="100"/>
              <w:rPr>
                <w:color w:val="auto"/>
                <w:szCs w:val="21"/>
                <w:highlight w:val="none"/>
              </w:rPr>
            </w:pPr>
            <w:r>
              <w:rPr>
                <w:rFonts w:hint="eastAsia"/>
                <w:color w:val="auto"/>
                <w:szCs w:val="21"/>
                <w:highlight w:val="none"/>
              </w:rPr>
              <w:t>提供中药配方颗粒品种不少于</w:t>
            </w:r>
            <w:r>
              <w:rPr>
                <w:color w:val="auto"/>
                <w:szCs w:val="21"/>
                <w:highlight w:val="none"/>
              </w:rPr>
              <w:t>400</w:t>
            </w:r>
            <w:r>
              <w:rPr>
                <w:rFonts w:hint="eastAsia"/>
                <w:color w:val="auto"/>
                <w:szCs w:val="21"/>
                <w:highlight w:val="none"/>
              </w:rPr>
              <w:t>种，并保证能满足日常的临床诊疗需要，并承诺与医院签订“供货承诺书”（中标企业必须产品齐全，不得以任何借口（如无货，采购量少等）不执行医院药品采购计划）。</w:t>
            </w:r>
          </w:p>
          <w:p>
            <w:pPr>
              <w:ind w:firstLine="211" w:firstLineChars="100"/>
              <w:rPr>
                <w:b/>
                <w:color w:val="auto"/>
                <w:szCs w:val="21"/>
                <w:highlight w:val="none"/>
              </w:rPr>
            </w:pPr>
            <w:r>
              <w:rPr>
                <w:rFonts w:hint="eastAsia"/>
                <w:b/>
                <w:color w:val="auto"/>
                <w:szCs w:val="21"/>
                <w:highlight w:val="none"/>
              </w:rPr>
              <w:t>▲2、中药配方颗粒的质量：</w:t>
            </w:r>
          </w:p>
          <w:p>
            <w:pPr>
              <w:ind w:firstLine="210" w:firstLineChars="100"/>
              <w:rPr>
                <w:color w:val="auto"/>
                <w:szCs w:val="21"/>
                <w:highlight w:val="none"/>
              </w:rPr>
            </w:pPr>
            <w:r>
              <w:rPr>
                <w:rFonts w:hint="eastAsia"/>
                <w:color w:val="auto"/>
                <w:szCs w:val="21"/>
                <w:highlight w:val="none"/>
              </w:rPr>
              <w:t>2</w:t>
            </w:r>
            <w:r>
              <w:rPr>
                <w:color w:val="auto"/>
                <w:szCs w:val="21"/>
                <w:highlight w:val="none"/>
              </w:rPr>
              <w:t xml:space="preserve">.1 </w:t>
            </w:r>
            <w:r>
              <w:rPr>
                <w:rFonts w:hint="eastAsia"/>
                <w:color w:val="auto"/>
                <w:szCs w:val="21"/>
                <w:highlight w:val="none"/>
              </w:rPr>
              <w:t>生产企业制定有严格的内控药品标准（包括原料、各单元工艺环节物料、中药配方颗粒成品检验标准及过程控制指标），明确生产全过程质量控制的措施、关键质控点及相关质量要求，使作为初始原料的中药材、作为提取用原料的饮片、作为制剂用原料的中间体和作为终产品的成品应符合相关部门规定标准，保证中药配方颗粒的质量。</w:t>
            </w:r>
          </w:p>
          <w:p>
            <w:pPr>
              <w:ind w:firstLine="210" w:firstLineChars="100"/>
              <w:rPr>
                <w:color w:val="auto"/>
                <w:szCs w:val="21"/>
                <w:highlight w:val="none"/>
              </w:rPr>
            </w:pPr>
            <w:r>
              <w:rPr>
                <w:rFonts w:hint="eastAsia"/>
                <w:color w:val="auto"/>
                <w:szCs w:val="21"/>
                <w:highlight w:val="none"/>
              </w:rPr>
              <w:t>2</w:t>
            </w:r>
            <w:r>
              <w:rPr>
                <w:color w:val="auto"/>
                <w:szCs w:val="21"/>
                <w:highlight w:val="none"/>
              </w:rPr>
              <w:t xml:space="preserve">.2 </w:t>
            </w:r>
            <w:r>
              <w:rPr>
                <w:rFonts w:hint="eastAsia"/>
                <w:color w:val="auto"/>
                <w:szCs w:val="21"/>
                <w:highlight w:val="none"/>
              </w:rPr>
              <w:t>中药配方颗粒的质量符合</w:t>
            </w:r>
            <w:r>
              <w:rPr>
                <w:color w:val="auto"/>
                <w:szCs w:val="21"/>
                <w:highlight w:val="none"/>
              </w:rPr>
              <w:t>2015</w:t>
            </w:r>
            <w:r>
              <w:rPr>
                <w:rFonts w:hint="eastAsia"/>
                <w:color w:val="auto"/>
                <w:szCs w:val="21"/>
                <w:highlight w:val="none"/>
              </w:rPr>
              <w:t>年版《中国药典》、《中药配方颗粒管理暂行规定》等相关文件规定（以最新文件规定为准），医院有权随时对中药配方颗粒的生产过程进行抽查检验，或者派出专人监督。</w:t>
            </w:r>
          </w:p>
          <w:p>
            <w:pPr>
              <w:ind w:firstLine="210" w:firstLineChars="100"/>
              <w:rPr>
                <w:color w:val="auto"/>
                <w:szCs w:val="21"/>
                <w:highlight w:val="none"/>
              </w:rPr>
            </w:pPr>
            <w:r>
              <w:rPr>
                <w:rFonts w:hint="eastAsia"/>
                <w:color w:val="auto"/>
                <w:szCs w:val="21"/>
                <w:highlight w:val="none"/>
              </w:rPr>
              <w:t>2</w:t>
            </w:r>
            <w:r>
              <w:rPr>
                <w:color w:val="auto"/>
                <w:szCs w:val="21"/>
                <w:highlight w:val="none"/>
              </w:rPr>
              <w:t xml:space="preserve">.3 </w:t>
            </w:r>
            <w:r>
              <w:rPr>
                <w:rFonts w:hint="eastAsia"/>
                <w:color w:val="auto"/>
                <w:szCs w:val="21"/>
                <w:highlight w:val="none"/>
              </w:rPr>
              <w:t>生产企业承诺与医院签订“质量保证协议书”，并向医院提供每一批中药配方颗粒的质检报告。</w:t>
            </w:r>
          </w:p>
          <w:p>
            <w:pPr>
              <w:ind w:firstLine="210" w:firstLineChars="100"/>
              <w:rPr>
                <w:color w:val="auto"/>
                <w:szCs w:val="21"/>
                <w:highlight w:val="none"/>
              </w:rPr>
            </w:pPr>
            <w:r>
              <w:rPr>
                <w:rFonts w:hint="eastAsia"/>
                <w:color w:val="auto"/>
                <w:szCs w:val="21"/>
                <w:highlight w:val="none"/>
              </w:rPr>
              <w:t>2</w:t>
            </w:r>
            <w:r>
              <w:rPr>
                <w:color w:val="auto"/>
                <w:szCs w:val="21"/>
                <w:highlight w:val="none"/>
              </w:rPr>
              <w:t xml:space="preserve">.4 </w:t>
            </w:r>
            <w:r>
              <w:rPr>
                <w:rFonts w:hint="eastAsia"/>
                <w:color w:val="auto"/>
                <w:szCs w:val="21"/>
                <w:highlight w:val="none"/>
              </w:rPr>
              <w:t>中药配方颗粒所使用的设备、包装材料等须符合行业标准，保证中药配方颗粒质量。</w:t>
            </w:r>
          </w:p>
          <w:p>
            <w:pPr>
              <w:ind w:firstLine="210" w:firstLineChars="100"/>
              <w:rPr>
                <w:color w:val="auto"/>
                <w:szCs w:val="21"/>
                <w:highlight w:val="none"/>
              </w:rPr>
            </w:pPr>
            <w:r>
              <w:rPr>
                <w:rFonts w:hint="eastAsia"/>
                <w:color w:val="auto"/>
                <w:szCs w:val="21"/>
                <w:highlight w:val="none"/>
              </w:rPr>
              <w:t>2</w:t>
            </w:r>
            <w:r>
              <w:rPr>
                <w:color w:val="auto"/>
                <w:szCs w:val="21"/>
                <w:highlight w:val="none"/>
              </w:rPr>
              <w:t xml:space="preserve">.5 </w:t>
            </w:r>
            <w:r>
              <w:rPr>
                <w:rFonts w:hint="eastAsia"/>
                <w:color w:val="auto"/>
                <w:szCs w:val="21"/>
                <w:highlight w:val="none"/>
              </w:rPr>
              <w:t>中药配方颗粒的效期应符合医院药品入库验收标准，以保证药品质量。</w:t>
            </w:r>
          </w:p>
          <w:p>
            <w:pPr>
              <w:ind w:firstLine="211" w:firstLineChars="100"/>
              <w:rPr>
                <w:b/>
                <w:color w:val="auto"/>
                <w:szCs w:val="21"/>
                <w:highlight w:val="none"/>
              </w:rPr>
            </w:pPr>
            <w:r>
              <w:rPr>
                <w:rFonts w:hint="eastAsia"/>
                <w:b/>
                <w:color w:val="auto"/>
                <w:szCs w:val="21"/>
                <w:highlight w:val="none"/>
              </w:rPr>
              <w:t>▲3、投标人提供的中药配方颗粒智能调配所需系统、设备要求：</w:t>
            </w:r>
          </w:p>
          <w:p>
            <w:pPr>
              <w:ind w:firstLine="210" w:firstLineChars="100"/>
              <w:rPr>
                <w:color w:val="auto"/>
                <w:szCs w:val="21"/>
                <w:highlight w:val="none"/>
              </w:rPr>
            </w:pPr>
            <w:r>
              <w:rPr>
                <w:rFonts w:hint="eastAsia"/>
                <w:color w:val="auto"/>
                <w:szCs w:val="21"/>
                <w:highlight w:val="none"/>
              </w:rPr>
              <w:t>3</w:t>
            </w:r>
            <w:r>
              <w:rPr>
                <w:color w:val="auto"/>
                <w:szCs w:val="21"/>
                <w:highlight w:val="none"/>
              </w:rPr>
              <w:t xml:space="preserve">.1 </w:t>
            </w:r>
            <w:r>
              <w:rPr>
                <w:rFonts w:hint="eastAsia"/>
                <w:color w:val="auto"/>
                <w:szCs w:val="21"/>
                <w:highlight w:val="none"/>
              </w:rPr>
              <w:t>具备用量自动换算系统（自动将饮片用量换算成中药配方颗粒剂量）；</w:t>
            </w:r>
          </w:p>
          <w:p>
            <w:pPr>
              <w:ind w:firstLine="210" w:firstLineChars="100"/>
              <w:rPr>
                <w:color w:val="auto"/>
                <w:szCs w:val="21"/>
                <w:highlight w:val="none"/>
              </w:rPr>
            </w:pPr>
            <w:r>
              <w:rPr>
                <w:rFonts w:hint="eastAsia"/>
                <w:color w:val="auto"/>
                <w:szCs w:val="21"/>
                <w:highlight w:val="none"/>
              </w:rPr>
              <w:t>3</w:t>
            </w:r>
            <w:r>
              <w:rPr>
                <w:color w:val="auto"/>
                <w:szCs w:val="21"/>
                <w:highlight w:val="none"/>
              </w:rPr>
              <w:t xml:space="preserve">.2 </w:t>
            </w:r>
            <w:r>
              <w:rPr>
                <w:rFonts w:hint="eastAsia"/>
                <w:color w:val="auto"/>
                <w:szCs w:val="21"/>
                <w:highlight w:val="none"/>
              </w:rPr>
              <w:t>具有处方电子审查功能（有配伍禁忌、超剂量等提示）；</w:t>
            </w:r>
          </w:p>
          <w:p>
            <w:pPr>
              <w:ind w:firstLine="210" w:firstLineChars="100"/>
              <w:rPr>
                <w:color w:val="auto"/>
                <w:szCs w:val="21"/>
                <w:highlight w:val="none"/>
              </w:rPr>
            </w:pPr>
            <w:r>
              <w:rPr>
                <w:rFonts w:hint="eastAsia"/>
                <w:color w:val="auto"/>
                <w:szCs w:val="21"/>
                <w:highlight w:val="none"/>
              </w:rPr>
              <w:t>3</w:t>
            </w:r>
            <w:r>
              <w:rPr>
                <w:color w:val="auto"/>
                <w:szCs w:val="21"/>
                <w:highlight w:val="none"/>
              </w:rPr>
              <w:t xml:space="preserve">.3 </w:t>
            </w:r>
            <w:r>
              <w:rPr>
                <w:rFonts w:hint="eastAsia"/>
                <w:color w:val="auto"/>
                <w:szCs w:val="21"/>
                <w:highlight w:val="none"/>
              </w:rPr>
              <w:t>药柜具有显示定位功能（快速寻找颗粒位置）；</w:t>
            </w:r>
          </w:p>
          <w:p>
            <w:pPr>
              <w:ind w:firstLine="210" w:firstLineChars="100"/>
              <w:rPr>
                <w:color w:val="auto"/>
                <w:szCs w:val="21"/>
                <w:highlight w:val="none"/>
              </w:rPr>
            </w:pPr>
            <w:r>
              <w:rPr>
                <w:rFonts w:hint="eastAsia"/>
                <w:color w:val="auto"/>
                <w:szCs w:val="21"/>
                <w:highlight w:val="none"/>
              </w:rPr>
              <w:t>3</w:t>
            </w:r>
            <w:r>
              <w:rPr>
                <w:color w:val="auto"/>
                <w:szCs w:val="21"/>
                <w:highlight w:val="none"/>
              </w:rPr>
              <w:t xml:space="preserve">.4 </w:t>
            </w:r>
            <w:r>
              <w:rPr>
                <w:rFonts w:hint="eastAsia"/>
                <w:color w:val="auto"/>
                <w:szCs w:val="21"/>
                <w:highlight w:val="none"/>
              </w:rPr>
              <w:t>具有颗粒识别系统；</w:t>
            </w:r>
          </w:p>
          <w:p>
            <w:pPr>
              <w:ind w:firstLine="210" w:firstLineChars="100"/>
              <w:rPr>
                <w:color w:val="auto"/>
                <w:szCs w:val="21"/>
                <w:highlight w:val="none"/>
              </w:rPr>
            </w:pPr>
            <w:r>
              <w:rPr>
                <w:rFonts w:hint="eastAsia"/>
                <w:color w:val="auto"/>
                <w:szCs w:val="21"/>
                <w:highlight w:val="none"/>
              </w:rPr>
              <w:t>3</w:t>
            </w:r>
            <w:r>
              <w:rPr>
                <w:color w:val="auto"/>
                <w:szCs w:val="21"/>
                <w:highlight w:val="none"/>
              </w:rPr>
              <w:t xml:space="preserve">.5 </w:t>
            </w:r>
            <w:r>
              <w:rPr>
                <w:rFonts w:hint="eastAsia"/>
                <w:color w:val="auto"/>
                <w:szCs w:val="21"/>
                <w:highlight w:val="none"/>
              </w:rPr>
              <w:t>多工位调配设备（入药孔数≥</w:t>
            </w:r>
            <w:r>
              <w:rPr>
                <w:color w:val="auto"/>
                <w:szCs w:val="21"/>
                <w:highlight w:val="none"/>
              </w:rPr>
              <w:t>2</w:t>
            </w:r>
            <w:r>
              <w:rPr>
                <w:rFonts w:hint="eastAsia"/>
                <w:color w:val="auto"/>
                <w:szCs w:val="21"/>
                <w:highlight w:val="none"/>
              </w:rPr>
              <w:t>）；</w:t>
            </w:r>
          </w:p>
          <w:p>
            <w:pPr>
              <w:ind w:firstLine="210" w:firstLineChars="100"/>
              <w:rPr>
                <w:color w:val="auto"/>
                <w:szCs w:val="21"/>
                <w:highlight w:val="none"/>
              </w:rPr>
            </w:pPr>
            <w:r>
              <w:rPr>
                <w:rFonts w:hint="eastAsia"/>
                <w:color w:val="auto"/>
                <w:szCs w:val="21"/>
                <w:highlight w:val="none"/>
              </w:rPr>
              <w:t>3</w:t>
            </w:r>
            <w:r>
              <w:rPr>
                <w:color w:val="auto"/>
                <w:szCs w:val="21"/>
                <w:highlight w:val="none"/>
              </w:rPr>
              <w:t xml:space="preserve">.6 </w:t>
            </w:r>
            <w:r>
              <w:rPr>
                <w:rFonts w:hint="eastAsia"/>
                <w:color w:val="auto"/>
                <w:szCs w:val="21"/>
                <w:highlight w:val="none"/>
              </w:rPr>
              <w:t>自动调剂、封装（调剂完后药盒直接自动封口，无需手动）；</w:t>
            </w:r>
          </w:p>
          <w:p>
            <w:pPr>
              <w:ind w:firstLine="210" w:firstLineChars="100"/>
              <w:rPr>
                <w:color w:val="auto"/>
                <w:szCs w:val="21"/>
                <w:highlight w:val="none"/>
              </w:rPr>
            </w:pPr>
            <w:r>
              <w:rPr>
                <w:rFonts w:hint="eastAsia"/>
                <w:color w:val="auto"/>
                <w:szCs w:val="21"/>
                <w:highlight w:val="none"/>
              </w:rPr>
              <w:t>3</w:t>
            </w:r>
            <w:r>
              <w:rPr>
                <w:color w:val="auto"/>
                <w:szCs w:val="21"/>
                <w:highlight w:val="none"/>
              </w:rPr>
              <w:t xml:space="preserve">.7 </w:t>
            </w:r>
            <w:r>
              <w:rPr>
                <w:rFonts w:hint="eastAsia"/>
                <w:color w:val="auto"/>
                <w:szCs w:val="21"/>
                <w:highlight w:val="none"/>
              </w:rPr>
              <w:t>库存管理功能（及时掌握颗粒使用情况）。</w:t>
            </w:r>
          </w:p>
          <w:p>
            <w:pPr>
              <w:spacing w:line="460" w:lineRule="exact"/>
              <w:ind w:firstLine="211" w:firstLineChars="100"/>
              <w:rPr>
                <w:color w:val="auto"/>
                <w:szCs w:val="21"/>
                <w:highlight w:val="none"/>
              </w:rPr>
            </w:pPr>
            <w:r>
              <w:rPr>
                <w:rFonts w:hint="eastAsia"/>
                <w:b/>
                <w:color w:val="auto"/>
                <w:szCs w:val="21"/>
                <w:highlight w:val="none"/>
              </w:rPr>
              <w:t>▲4、在投标文件中承诺以下服务条款：</w:t>
            </w:r>
          </w:p>
          <w:p>
            <w:pPr>
              <w:ind w:firstLine="210" w:firstLineChars="100"/>
              <w:rPr>
                <w:color w:val="auto"/>
                <w:szCs w:val="21"/>
                <w:highlight w:val="none"/>
              </w:rPr>
            </w:pPr>
            <w:r>
              <w:rPr>
                <w:color w:val="auto"/>
                <w:szCs w:val="21"/>
                <w:highlight w:val="none"/>
              </w:rPr>
              <w:t>4.1</w:t>
            </w:r>
            <w:r>
              <w:rPr>
                <w:rFonts w:hint="eastAsia"/>
                <w:color w:val="auto"/>
                <w:szCs w:val="21"/>
                <w:highlight w:val="none"/>
              </w:rPr>
              <w:t>中标企业免费提供智能调配所需系统、设备，供医院调剂使用，并定期对系统进行更新、对设备进行维护和保养。</w:t>
            </w:r>
          </w:p>
          <w:p>
            <w:pPr>
              <w:ind w:firstLine="210" w:firstLineChars="100"/>
              <w:rPr>
                <w:color w:val="auto"/>
                <w:szCs w:val="21"/>
                <w:highlight w:val="none"/>
              </w:rPr>
            </w:pPr>
            <w:r>
              <w:rPr>
                <w:color w:val="auto"/>
                <w:szCs w:val="21"/>
                <w:highlight w:val="none"/>
              </w:rPr>
              <w:t>4.2</w:t>
            </w:r>
            <w:r>
              <w:rPr>
                <w:rFonts w:hint="eastAsia"/>
                <w:color w:val="auto"/>
                <w:szCs w:val="21"/>
                <w:highlight w:val="none"/>
              </w:rPr>
              <w:t>根据医院和项目调配环境要求，医院负责提供合适场地，中标企业负责场地的装修、设备、设备安装及保养等全部事务。</w:t>
            </w:r>
          </w:p>
          <w:p>
            <w:pPr>
              <w:ind w:firstLine="210" w:firstLineChars="100"/>
              <w:rPr>
                <w:color w:val="auto"/>
                <w:szCs w:val="21"/>
                <w:highlight w:val="none"/>
              </w:rPr>
            </w:pPr>
            <w:r>
              <w:rPr>
                <w:color w:val="auto"/>
                <w:szCs w:val="21"/>
                <w:highlight w:val="none"/>
              </w:rPr>
              <w:t>4.3</w:t>
            </w:r>
            <w:r>
              <w:rPr>
                <w:rFonts w:hint="eastAsia"/>
                <w:color w:val="auto"/>
                <w:szCs w:val="21"/>
                <w:highlight w:val="none"/>
              </w:rPr>
              <w:t>中标企业免费提供调剂所需的耗材。</w:t>
            </w:r>
          </w:p>
          <w:p>
            <w:pPr>
              <w:ind w:firstLine="210" w:firstLineChars="100"/>
              <w:rPr>
                <w:color w:val="auto"/>
                <w:szCs w:val="21"/>
                <w:highlight w:val="none"/>
              </w:rPr>
            </w:pPr>
            <w:r>
              <w:rPr>
                <w:color w:val="auto"/>
                <w:szCs w:val="21"/>
                <w:highlight w:val="none"/>
              </w:rPr>
              <w:t>4.4</w:t>
            </w:r>
            <w:r>
              <w:rPr>
                <w:rFonts w:hint="eastAsia"/>
                <w:color w:val="auto"/>
                <w:szCs w:val="21"/>
                <w:highlight w:val="none"/>
              </w:rPr>
              <w:t>对于近效期颗粒，中标企业免费进行更换。</w:t>
            </w:r>
          </w:p>
          <w:p>
            <w:pPr>
              <w:ind w:firstLine="210" w:firstLineChars="100"/>
              <w:rPr>
                <w:color w:val="auto"/>
                <w:szCs w:val="21"/>
                <w:highlight w:val="none"/>
              </w:rPr>
            </w:pPr>
            <w:r>
              <w:rPr>
                <w:color w:val="auto"/>
                <w:szCs w:val="21"/>
                <w:highlight w:val="none"/>
              </w:rPr>
              <w:t>4.5</w:t>
            </w:r>
            <w:r>
              <w:rPr>
                <w:rFonts w:hint="eastAsia"/>
                <w:color w:val="auto"/>
                <w:szCs w:val="21"/>
                <w:highlight w:val="none"/>
              </w:rPr>
              <w:t>智能调配系统与医院系统对接，所需费用均由中标企业承担。</w:t>
            </w:r>
          </w:p>
          <w:p>
            <w:pPr>
              <w:ind w:firstLine="210" w:firstLineChars="100"/>
              <w:rPr>
                <w:color w:val="auto"/>
                <w:szCs w:val="21"/>
                <w:highlight w:val="none"/>
              </w:rPr>
            </w:pPr>
            <w:r>
              <w:rPr>
                <w:color w:val="auto"/>
                <w:szCs w:val="21"/>
                <w:highlight w:val="none"/>
              </w:rPr>
              <w:t>4.</w:t>
            </w:r>
            <w:r>
              <w:rPr>
                <w:rFonts w:hint="eastAsia"/>
                <w:color w:val="auto"/>
                <w:szCs w:val="21"/>
                <w:highlight w:val="none"/>
              </w:rPr>
              <w:t>6中标人为采购人配备协助的人员须为药学类专业毕业，具有中药士及以上资格(投标文件中须提供相关证明复印件)，工作期间遵守采购单位内部的规章制度，服从采购单位的工作时间安排。根据采购单位日常工作量及时间段合理安排协助人员，减少患者侯药时间，从接到处方至调配完成时间不得超过30mi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944"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color w:val="auto"/>
                <w:szCs w:val="21"/>
                <w:highlight w:val="none"/>
              </w:rPr>
            </w:pPr>
            <w:r>
              <w:rPr>
                <w:rFonts w:hint="eastAsia" w:ascii="宋体" w:hAnsi="宋体"/>
                <w:b/>
                <w:color w:val="auto"/>
                <w:szCs w:val="21"/>
                <w:highlight w:val="none"/>
              </w:rPr>
              <w:t>▲</w:t>
            </w:r>
            <w:r>
              <w:rPr>
                <w:rFonts w:hint="eastAsia"/>
                <w:b/>
                <w:color w:val="auto"/>
                <w:szCs w:val="21"/>
                <w:highlight w:val="none"/>
              </w:rPr>
              <w:t>商务及其他要求表</w:t>
            </w:r>
            <w:r>
              <w:rPr>
                <w:rFonts w:hint="eastAsia"/>
                <w:color w:val="auto"/>
                <w:szCs w:val="21"/>
                <w:highlight w:val="none"/>
              </w:rPr>
              <w:t>：</w:t>
            </w:r>
            <w:r>
              <w:rPr>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917" w:type="dxa"/>
            <w:gridSpan w:val="2"/>
            <w:tcBorders>
              <w:top w:val="single" w:color="auto" w:sz="4" w:space="0"/>
              <w:left w:val="single" w:color="auto" w:sz="4" w:space="0"/>
              <w:bottom w:val="single" w:color="auto" w:sz="4" w:space="0"/>
              <w:right w:val="single" w:color="auto" w:sz="4" w:space="0"/>
            </w:tcBorders>
            <w:vAlign w:val="center"/>
          </w:tcPr>
          <w:p>
            <w:pPr>
              <w:ind w:firstLine="315" w:firstLineChars="150"/>
              <w:jc w:val="center"/>
              <w:rPr>
                <w:color w:val="auto"/>
                <w:szCs w:val="21"/>
                <w:highlight w:val="none"/>
              </w:rPr>
            </w:pPr>
            <w:r>
              <w:rPr>
                <w:rFonts w:hint="eastAsia"/>
                <w:color w:val="auto"/>
                <w:szCs w:val="21"/>
                <w:highlight w:val="none"/>
              </w:rPr>
              <w:t>投标人资格</w:t>
            </w:r>
          </w:p>
          <w:p>
            <w:pPr>
              <w:ind w:firstLine="315" w:firstLineChars="150"/>
              <w:jc w:val="center"/>
              <w:rPr>
                <w:color w:val="auto"/>
                <w:szCs w:val="21"/>
                <w:highlight w:val="none"/>
              </w:rPr>
            </w:pPr>
            <w:r>
              <w:rPr>
                <w:rFonts w:hint="eastAsia"/>
                <w:color w:val="auto"/>
                <w:szCs w:val="21"/>
                <w:highlight w:val="none"/>
              </w:rPr>
              <w:t>要求</w:t>
            </w:r>
          </w:p>
        </w:tc>
        <w:tc>
          <w:tcPr>
            <w:tcW w:w="8027"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color w:val="auto"/>
                <w:szCs w:val="21"/>
                <w:highlight w:val="none"/>
              </w:rPr>
            </w:pPr>
            <w:r>
              <w:rPr>
                <w:rFonts w:hint="eastAsia"/>
                <w:color w:val="auto"/>
                <w:szCs w:val="21"/>
                <w:highlight w:val="none"/>
              </w:rPr>
              <w:t>1、国内注册（指按国家有关规定要求注册的）生产或注册经营范围达到本次招标服务采购要求，符合《中华人民共和国政府采购法》第二十二条的规定，并在人员、设备、资金等方面具备承担本次采购服务项的企事业单位。</w:t>
            </w:r>
          </w:p>
          <w:p>
            <w:pPr>
              <w:spacing w:line="400" w:lineRule="exact"/>
              <w:rPr>
                <w:color w:val="auto"/>
                <w:szCs w:val="21"/>
                <w:highlight w:val="none"/>
              </w:rPr>
            </w:pPr>
            <w:r>
              <w:rPr>
                <w:rFonts w:hint="eastAsia"/>
                <w:color w:val="auto"/>
                <w:szCs w:val="21"/>
                <w:highlight w:val="none"/>
              </w:rPr>
              <w:t>2、</w:t>
            </w:r>
            <w:r>
              <w:rPr>
                <w:rFonts w:hint="eastAsia" w:ascii="宋体" w:hAnsi="宋体" w:cs="宋体"/>
                <w:color w:val="auto"/>
                <w:szCs w:val="21"/>
                <w:highlight w:val="none"/>
              </w:rPr>
              <w:t>投标人须具有《药品生产许可证》、《GMP认证证书》(投标时须提供复印件)</w:t>
            </w:r>
            <w:r>
              <w:rPr>
                <w:rFonts w:hint="eastAsia"/>
                <w:color w:val="auto"/>
                <w:szCs w:val="21"/>
                <w:highlight w:val="none"/>
              </w:rPr>
              <w:t>。</w:t>
            </w:r>
          </w:p>
          <w:p>
            <w:pPr>
              <w:spacing w:line="400" w:lineRule="exact"/>
              <w:rPr>
                <w:color w:val="auto"/>
                <w:szCs w:val="21"/>
                <w:highlight w:val="none"/>
              </w:rPr>
            </w:pPr>
            <w:r>
              <w:rPr>
                <w:rFonts w:hint="eastAsia"/>
                <w:color w:val="auto"/>
                <w:szCs w:val="21"/>
                <w:highlight w:val="none"/>
              </w:rPr>
              <w:t>3、投标人在参加本项投标活动的最近三年内，在经营活动中无严重违法记录。</w:t>
            </w:r>
          </w:p>
          <w:p>
            <w:pPr>
              <w:spacing w:line="400" w:lineRule="exact"/>
              <w:rPr>
                <w:color w:val="auto"/>
                <w:szCs w:val="21"/>
                <w:highlight w:val="none"/>
              </w:rPr>
            </w:pPr>
            <w:r>
              <w:rPr>
                <w:rFonts w:hint="eastAsia"/>
                <w:color w:val="auto"/>
                <w:szCs w:val="21"/>
                <w:highlight w:val="none"/>
              </w:rPr>
              <w:t>4、单位负责人为同一人或者存在直接控股、管理关系的不同供应商，不得参加同一合同项下的投标活动。除单一来源采购项目外，为采购项目提供整体设计、规范编制或者项目管理、监理、检测等服务的供应商，不得再参加该采购项目的其他投标活动。</w:t>
            </w:r>
          </w:p>
          <w:p>
            <w:pPr>
              <w:spacing w:line="400" w:lineRule="exact"/>
              <w:rPr>
                <w:color w:val="auto"/>
                <w:szCs w:val="21"/>
                <w:highlight w:val="none"/>
              </w:rPr>
            </w:pPr>
            <w:r>
              <w:rPr>
                <w:rFonts w:hint="eastAsia"/>
                <w:color w:val="auto"/>
                <w:szCs w:val="21"/>
                <w:highlight w:val="none"/>
              </w:rPr>
              <w:t>5、本项目不接受联合体投标。</w:t>
            </w:r>
          </w:p>
          <w:p>
            <w:pPr>
              <w:spacing w:line="400" w:lineRule="exact"/>
              <w:rPr>
                <w:color w:val="auto"/>
                <w:szCs w:val="21"/>
                <w:highlight w:val="none"/>
              </w:rPr>
            </w:pPr>
            <w:r>
              <w:rPr>
                <w:rFonts w:hint="eastAsia"/>
                <w:color w:val="auto"/>
                <w:szCs w:val="21"/>
                <w:highlight w:val="none"/>
              </w:rPr>
              <w:t xml:space="preserve">6、被列入失信被执行人、重大税收违法案件当事人名单、政府采购严重违法失信行为记录名单及其他不符合《中华人民共和国政府采购法》第二十二条规定条件的供应商，将被拒绝其参与本次投标活动。供应商可在“信用中国”网站（www.creditchina.gov.cn）、中国政府采购网（www.ccgp.gov.cn）查询相关供应商主体信用记录。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917" w:type="dxa"/>
            <w:gridSpan w:val="2"/>
            <w:tcBorders>
              <w:top w:val="single" w:color="auto" w:sz="4" w:space="0"/>
              <w:left w:val="single" w:color="auto" w:sz="4" w:space="0"/>
              <w:bottom w:val="single" w:color="auto" w:sz="4" w:space="0"/>
              <w:right w:val="single" w:color="auto" w:sz="4" w:space="0"/>
            </w:tcBorders>
            <w:vAlign w:val="center"/>
          </w:tcPr>
          <w:p>
            <w:pPr>
              <w:ind w:firstLine="315" w:firstLineChars="150"/>
              <w:jc w:val="center"/>
              <w:rPr>
                <w:color w:val="auto"/>
                <w:szCs w:val="21"/>
                <w:highlight w:val="none"/>
              </w:rPr>
            </w:pPr>
            <w:r>
              <w:rPr>
                <w:rFonts w:hint="eastAsia"/>
                <w:color w:val="auto"/>
                <w:szCs w:val="21"/>
                <w:highlight w:val="none"/>
              </w:rPr>
              <w:t>服务期限、服务实施时间及服务地点</w:t>
            </w:r>
          </w:p>
        </w:tc>
        <w:tc>
          <w:tcPr>
            <w:tcW w:w="8027" w:type="dxa"/>
            <w:gridSpan w:val="4"/>
            <w:tcBorders>
              <w:top w:val="single" w:color="auto" w:sz="4" w:space="0"/>
              <w:left w:val="single" w:color="auto" w:sz="4" w:space="0"/>
              <w:bottom w:val="single" w:color="auto" w:sz="4" w:space="0"/>
              <w:right w:val="single" w:color="auto" w:sz="4" w:space="0"/>
            </w:tcBorders>
            <w:vAlign w:val="center"/>
          </w:tcPr>
          <w:p>
            <w:pPr>
              <w:pStyle w:val="26"/>
              <w:snapToGrid w:val="0"/>
              <w:spacing w:line="300" w:lineRule="exact"/>
              <w:ind w:left="315" w:hanging="315" w:hangingChars="150"/>
              <w:outlineLvl w:val="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1、服务期限：从签订合同之日起服务三年。</w:t>
            </w:r>
          </w:p>
          <w:p>
            <w:pPr>
              <w:pStyle w:val="26"/>
              <w:snapToGrid w:val="0"/>
              <w:spacing w:line="300" w:lineRule="exact"/>
              <w:ind w:left="105" w:hanging="105" w:hangingChars="50"/>
              <w:outlineLvl w:val="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2、服务实施时间：</w:t>
            </w:r>
            <w:r>
              <w:rPr>
                <w:rFonts w:hint="eastAsia" w:hAnsi="宋体"/>
                <w:color w:val="auto"/>
                <w:highlight w:val="none"/>
              </w:rPr>
              <w:t>自签订合同之日起实施</w:t>
            </w:r>
            <w:r>
              <w:rPr>
                <w:rFonts w:hint="eastAsia" w:ascii="Times New Roman" w:hAnsi="Times New Roman" w:eastAsia="宋体" w:cs="Times New Roman"/>
                <w:color w:val="auto"/>
                <w:highlight w:val="none"/>
              </w:rPr>
              <w:t>。</w:t>
            </w:r>
          </w:p>
          <w:p>
            <w:pPr>
              <w:spacing w:line="400" w:lineRule="exact"/>
              <w:rPr>
                <w:color w:val="auto"/>
                <w:szCs w:val="21"/>
                <w:highlight w:val="none"/>
              </w:rPr>
            </w:pPr>
            <w:r>
              <w:rPr>
                <w:rFonts w:hint="eastAsia"/>
                <w:color w:val="auto"/>
                <w:szCs w:val="21"/>
                <w:highlight w:val="none"/>
              </w:rPr>
              <w:t>3、服务地点：采购单位指定地点。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917" w:type="dxa"/>
            <w:gridSpan w:val="2"/>
            <w:tcBorders>
              <w:top w:val="single" w:color="auto" w:sz="4" w:space="0"/>
              <w:left w:val="single" w:color="auto" w:sz="4" w:space="0"/>
              <w:bottom w:val="single" w:color="auto" w:sz="4" w:space="0"/>
              <w:right w:val="single" w:color="auto" w:sz="4" w:space="0"/>
            </w:tcBorders>
            <w:vAlign w:val="center"/>
          </w:tcPr>
          <w:p>
            <w:pPr>
              <w:ind w:firstLine="315" w:firstLineChars="150"/>
              <w:jc w:val="center"/>
              <w:rPr>
                <w:color w:val="auto"/>
                <w:szCs w:val="21"/>
                <w:highlight w:val="none"/>
              </w:rPr>
            </w:pPr>
            <w:r>
              <w:rPr>
                <w:rFonts w:hint="eastAsia"/>
                <w:color w:val="auto"/>
                <w:szCs w:val="21"/>
                <w:highlight w:val="none"/>
              </w:rPr>
              <w:t>售后服务</w:t>
            </w:r>
          </w:p>
        </w:tc>
        <w:tc>
          <w:tcPr>
            <w:tcW w:w="8027" w:type="dxa"/>
            <w:gridSpan w:val="4"/>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免费送货上门；</w:t>
            </w:r>
          </w:p>
          <w:p>
            <w:pPr>
              <w:numPr>
                <w:ilvl w:val="0"/>
                <w:numId w:val="1"/>
              </w:numPr>
              <w:spacing w:line="360" w:lineRule="exact"/>
              <w:rPr>
                <w:rFonts w:ascii="宋体" w:hAnsi="宋体" w:cs="宋体"/>
                <w:color w:val="auto"/>
                <w:kern w:val="0"/>
                <w:szCs w:val="21"/>
                <w:highlight w:val="none"/>
              </w:rPr>
            </w:pPr>
            <w:r>
              <w:rPr>
                <w:rFonts w:hint="eastAsia" w:ascii="宋体" w:hAnsi="宋体" w:cs="宋体"/>
                <w:color w:val="auto"/>
                <w:kern w:val="0"/>
                <w:szCs w:val="21"/>
                <w:highlight w:val="none"/>
              </w:rPr>
              <w:t>能安排固定人员（中标人内部员工）在医院进行质量跟踪服务（须提供社保证明）。</w:t>
            </w:r>
          </w:p>
          <w:p>
            <w:pPr>
              <w:numPr>
                <w:ilvl w:val="0"/>
                <w:numId w:val="1"/>
              </w:numPr>
              <w:spacing w:line="360" w:lineRule="exact"/>
              <w:rPr>
                <w:color w:val="auto"/>
                <w:szCs w:val="21"/>
                <w:highlight w:val="none"/>
              </w:rPr>
            </w:pPr>
            <w:r>
              <w:rPr>
                <w:rFonts w:hint="eastAsia" w:ascii="宋体" w:hAnsi="宋体" w:cs="宋体"/>
                <w:color w:val="auto"/>
                <w:kern w:val="0"/>
                <w:szCs w:val="21"/>
                <w:highlight w:val="none"/>
              </w:rPr>
              <w:t>突发事件或紧急药品及使用科室应急药品随叫随送，超过时间采购方有权另找销售商自行采购（特殊情况另议）。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917" w:type="dxa"/>
            <w:gridSpan w:val="2"/>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color w:val="auto"/>
                <w:szCs w:val="21"/>
                <w:highlight w:val="none"/>
              </w:rPr>
            </w:pPr>
            <w:r>
              <w:rPr>
                <w:rFonts w:hint="eastAsia"/>
                <w:color w:val="auto"/>
                <w:szCs w:val="21"/>
                <w:highlight w:val="none"/>
              </w:rPr>
              <w:t>投标报价</w:t>
            </w:r>
          </w:p>
        </w:tc>
        <w:tc>
          <w:tcPr>
            <w:tcW w:w="802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color w:val="auto"/>
                <w:szCs w:val="21"/>
                <w:highlight w:val="none"/>
              </w:rPr>
            </w:pPr>
            <w:r>
              <w:rPr>
                <w:rFonts w:hint="eastAsia"/>
                <w:color w:val="auto"/>
                <w:szCs w:val="21"/>
                <w:highlight w:val="none"/>
              </w:rPr>
              <w:t>1、统一按折合每克饮片报价。投标报价必须包含一切相关费用（如包装费、检测费、运费等）。</w:t>
            </w:r>
          </w:p>
          <w:p>
            <w:pPr>
              <w:adjustRightInd w:val="0"/>
              <w:snapToGrid w:val="0"/>
              <w:rPr>
                <w:rFonts w:ascii="宋体" w:hAnsi="宋体" w:cs="宋体"/>
                <w:color w:val="auto"/>
                <w:szCs w:val="21"/>
                <w:highlight w:val="none"/>
              </w:rPr>
            </w:pPr>
            <w:r>
              <w:rPr>
                <w:rFonts w:hint="eastAsia"/>
                <w:color w:val="auto"/>
                <w:szCs w:val="21"/>
                <w:highlight w:val="none"/>
              </w:rPr>
              <w:t>2、100种常用</w:t>
            </w:r>
            <w:r>
              <w:rPr>
                <w:rFonts w:hint="eastAsia" w:ascii="宋体" w:hAnsi="宋体" w:cs="宋体"/>
                <w:color w:val="auto"/>
                <w:szCs w:val="21"/>
                <w:highlight w:val="none"/>
              </w:rPr>
              <w:t>中药颗粒品种合计报价采购限价为≤27.187元，超出投标报价无效。</w:t>
            </w:r>
          </w:p>
          <w:p>
            <w:pPr>
              <w:adjustRightInd w:val="0"/>
              <w:snapToGrid w:val="0"/>
              <w:rPr>
                <w:color w:val="auto"/>
                <w:szCs w:val="21"/>
                <w:highlight w:val="none"/>
              </w:rPr>
            </w:pPr>
            <w:r>
              <w:rPr>
                <w:rFonts w:hint="eastAsia"/>
                <w:color w:val="auto"/>
                <w:szCs w:val="21"/>
                <w:highlight w:val="none"/>
              </w:rPr>
              <w:t>3、</w:t>
            </w:r>
            <w:r>
              <w:rPr>
                <w:rFonts w:hint="eastAsia" w:ascii="宋体" w:hAnsi="宋体" w:cs="宋体"/>
                <w:color w:val="auto"/>
                <w:szCs w:val="21"/>
                <w:highlight w:val="none"/>
              </w:rPr>
              <w:t>319种中药颗粒品种合计报价采购限价为≤86.633元，超出投标报价无效。</w:t>
            </w:r>
          </w:p>
          <w:p>
            <w:pPr>
              <w:snapToGrid w:val="0"/>
              <w:spacing w:before="50" w:after="50"/>
              <w:rPr>
                <w:rFonts w:ascii="宋体" w:hAnsi="宋体" w:cs="宋体"/>
                <w:color w:val="auto"/>
                <w:szCs w:val="21"/>
                <w:highlight w:val="none"/>
              </w:rPr>
            </w:pPr>
            <w:r>
              <w:rPr>
                <w:rFonts w:hint="eastAsia" w:ascii="宋体" w:hAnsi="宋体" w:cs="宋体"/>
                <w:color w:val="auto"/>
                <w:szCs w:val="21"/>
                <w:highlight w:val="none"/>
              </w:rPr>
              <w:t>4、投标人的报价不得高于广西区内三级甲等医院的供应价格。</w:t>
            </w:r>
          </w:p>
          <w:p>
            <w:pPr>
              <w:adjustRightInd w:val="0"/>
              <w:snapToGrid w:val="0"/>
              <w:rPr>
                <w:color w:val="auto"/>
                <w:szCs w:val="21"/>
                <w:highlight w:val="none"/>
              </w:rPr>
            </w:pPr>
            <w:r>
              <w:rPr>
                <w:rFonts w:hint="eastAsia" w:ascii="宋体" w:hAnsi="宋体"/>
                <w:color w:val="auto"/>
                <w:spacing w:val="20"/>
                <w:szCs w:val="21"/>
                <w:highlight w:val="none"/>
              </w:rPr>
              <w:t>5、该投标报价为</w:t>
            </w:r>
            <w:r>
              <w:rPr>
                <w:rFonts w:hint="eastAsia"/>
                <w:color w:val="auto"/>
                <w:szCs w:val="21"/>
                <w:highlight w:val="none"/>
              </w:rPr>
              <w:t>按折合每克饮片的报价，供货时，中标供应商按其</w:t>
            </w:r>
            <w:r>
              <w:rPr>
                <w:rFonts w:hint="eastAsia" w:hAnsi="宋体"/>
                <w:color w:val="auto"/>
                <w:szCs w:val="21"/>
                <w:highlight w:val="none"/>
              </w:rPr>
              <w:t>中药颗粒剂配方品种</w:t>
            </w:r>
            <w:r>
              <w:rPr>
                <w:rFonts w:hint="eastAsia"/>
                <w:color w:val="auto"/>
                <w:szCs w:val="21"/>
                <w:highlight w:val="none"/>
              </w:rPr>
              <w:t>的投标价供货及计算供货金额。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917"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本项目投标价的</w:t>
            </w:r>
          </w:p>
          <w:p>
            <w:pPr>
              <w:jc w:val="center"/>
              <w:rPr>
                <w:color w:val="auto"/>
                <w:szCs w:val="21"/>
                <w:highlight w:val="none"/>
              </w:rPr>
            </w:pPr>
            <w:r>
              <w:rPr>
                <w:rFonts w:hint="eastAsia"/>
                <w:color w:val="auto"/>
                <w:szCs w:val="21"/>
                <w:highlight w:val="none"/>
              </w:rPr>
              <w:t>计算方法</w:t>
            </w:r>
          </w:p>
        </w:tc>
        <w:tc>
          <w:tcPr>
            <w:tcW w:w="802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color w:val="auto"/>
                <w:szCs w:val="21"/>
                <w:highlight w:val="none"/>
              </w:rPr>
            </w:pPr>
            <w:r>
              <w:rPr>
                <w:rFonts w:hint="eastAsia"/>
                <w:color w:val="auto"/>
                <w:szCs w:val="21"/>
                <w:highlight w:val="none"/>
              </w:rPr>
              <w:t>100种常用中药颗粒的投标报价乘以0.6与319种中药配方颗粒的投标报价乘以0.4之和作为投标价。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917"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付款方式</w:t>
            </w:r>
          </w:p>
        </w:tc>
        <w:tc>
          <w:tcPr>
            <w:tcW w:w="802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color w:val="auto"/>
                <w:szCs w:val="21"/>
                <w:highlight w:val="none"/>
              </w:rPr>
            </w:pPr>
            <w:r>
              <w:rPr>
                <w:rFonts w:hint="eastAsia"/>
                <w:color w:val="auto"/>
                <w:szCs w:val="21"/>
                <w:highlight w:val="none"/>
              </w:rPr>
              <w:t>货到验收合格六个月。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917" w:type="dxa"/>
            <w:gridSpan w:val="2"/>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color w:val="auto"/>
                <w:szCs w:val="21"/>
                <w:highlight w:val="none"/>
              </w:rPr>
            </w:pPr>
            <w:r>
              <w:rPr>
                <w:rFonts w:hint="eastAsia"/>
                <w:color w:val="auto"/>
                <w:szCs w:val="21"/>
                <w:highlight w:val="none"/>
              </w:rPr>
              <w:t>履约保证金</w:t>
            </w:r>
          </w:p>
        </w:tc>
        <w:tc>
          <w:tcPr>
            <w:tcW w:w="802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color w:val="auto"/>
                <w:szCs w:val="21"/>
                <w:highlight w:val="none"/>
              </w:rPr>
            </w:pPr>
            <w:r>
              <w:rPr>
                <w:rFonts w:hint="eastAsia" w:ascii="宋体" w:hAnsi="宋体" w:cs="Arial"/>
                <w:color w:val="auto"/>
                <w:szCs w:val="21"/>
                <w:highlight w:val="none"/>
                <w:shd w:val="clear" w:color="auto" w:fill="FFFFFF"/>
              </w:rPr>
              <w:t>在签订合同前，中标供应商一次性支付给采购方壹拾万元整作为履约保证金，在履约服务期（三年）满后无履约问题，一个月内无息退还。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91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auto"/>
                <w:szCs w:val="21"/>
                <w:highlight w:val="none"/>
              </w:rPr>
            </w:pPr>
            <w:r>
              <w:rPr>
                <w:rFonts w:hint="eastAsia"/>
                <w:color w:val="auto"/>
                <w:szCs w:val="21"/>
                <w:highlight w:val="none"/>
              </w:rPr>
              <w:t>其它要求及说明</w:t>
            </w:r>
          </w:p>
        </w:tc>
        <w:tc>
          <w:tcPr>
            <w:tcW w:w="8027" w:type="dxa"/>
            <w:gridSpan w:val="4"/>
            <w:tcBorders>
              <w:top w:val="single" w:color="auto" w:sz="4" w:space="0"/>
              <w:left w:val="single" w:color="auto" w:sz="4" w:space="0"/>
              <w:bottom w:val="single" w:color="auto" w:sz="4" w:space="0"/>
              <w:right w:val="single" w:color="auto" w:sz="4" w:space="0"/>
            </w:tcBorders>
          </w:tcPr>
          <w:p>
            <w:pPr>
              <w:widowControl/>
              <w:shd w:val="clear" w:color="auto" w:fill="FFFFFF"/>
              <w:jc w:val="left"/>
              <w:rPr>
                <w:color w:val="auto"/>
                <w:szCs w:val="21"/>
                <w:highlight w:val="none"/>
              </w:rPr>
            </w:pPr>
            <w:r>
              <w:rPr>
                <w:rFonts w:hint="eastAsia"/>
                <w:color w:val="auto"/>
                <w:szCs w:val="21"/>
                <w:highlight w:val="none"/>
              </w:rPr>
              <w:t>（1）供需双方在药品购销过程中严格执行《药品管理法》《医疗机构药事管理规定》和《处方管理办法》等法律法规的有关规定，诚信经营。</w:t>
            </w:r>
          </w:p>
          <w:p>
            <w:pPr>
              <w:widowControl/>
              <w:shd w:val="clear" w:color="auto" w:fill="FFFFFF"/>
              <w:jc w:val="left"/>
              <w:rPr>
                <w:color w:val="auto"/>
                <w:szCs w:val="21"/>
                <w:highlight w:val="none"/>
              </w:rPr>
            </w:pPr>
            <w:r>
              <w:rPr>
                <w:rFonts w:hint="eastAsia"/>
                <w:color w:val="auto"/>
                <w:szCs w:val="21"/>
                <w:highlight w:val="none"/>
              </w:rPr>
              <w:t>（2）中标企业在保证药品质量、执行国家物价的前提下按约定的药品品种、剂型、规格、数量、价格、供货方式等供货，保证临床用药。</w:t>
            </w:r>
          </w:p>
          <w:p>
            <w:pPr>
              <w:widowControl/>
              <w:shd w:val="clear" w:color="auto" w:fill="FFFFFF"/>
              <w:jc w:val="left"/>
              <w:rPr>
                <w:color w:val="auto"/>
                <w:szCs w:val="21"/>
                <w:highlight w:val="none"/>
              </w:rPr>
            </w:pPr>
            <w:r>
              <w:rPr>
                <w:rFonts w:hint="eastAsia"/>
                <w:color w:val="auto"/>
                <w:szCs w:val="21"/>
                <w:highlight w:val="none"/>
              </w:rPr>
              <w:t>（3）中标企业必须产品齐全，不得以任何借口（如无货，采购量少等）不执行医院药品采购计划。</w:t>
            </w:r>
          </w:p>
          <w:p>
            <w:pPr>
              <w:widowControl/>
              <w:shd w:val="clear" w:color="auto" w:fill="FFFFFF"/>
              <w:jc w:val="left"/>
              <w:rPr>
                <w:color w:val="auto"/>
                <w:szCs w:val="21"/>
                <w:highlight w:val="none"/>
              </w:rPr>
            </w:pPr>
            <w:r>
              <w:rPr>
                <w:rFonts w:hint="eastAsia"/>
                <w:color w:val="auto"/>
                <w:szCs w:val="21"/>
                <w:highlight w:val="none"/>
              </w:rPr>
              <w:t>（4）中标企业派驻医院方的工作人员应有国家规定的上岗资质，在无国家规定时应通过相关部门的培训考核合格。</w:t>
            </w:r>
          </w:p>
          <w:p>
            <w:pPr>
              <w:widowControl/>
              <w:shd w:val="clear" w:color="auto" w:fill="FFFFFF"/>
              <w:jc w:val="left"/>
              <w:rPr>
                <w:color w:val="auto"/>
                <w:szCs w:val="21"/>
                <w:highlight w:val="none"/>
              </w:rPr>
            </w:pPr>
            <w:r>
              <w:rPr>
                <w:rFonts w:hint="eastAsia"/>
                <w:color w:val="auto"/>
                <w:szCs w:val="21"/>
                <w:highlight w:val="none"/>
              </w:rPr>
              <w:t>（5）经法定机构确认为药品质量原因造成医疗机构损失的，其损失（包括由此造成的其它损失）一律由供方承担。</w:t>
            </w:r>
          </w:p>
          <w:p>
            <w:pPr>
              <w:widowControl/>
              <w:shd w:val="clear" w:color="auto" w:fill="FFFFFF"/>
              <w:jc w:val="left"/>
              <w:rPr>
                <w:color w:val="auto"/>
                <w:szCs w:val="21"/>
                <w:highlight w:val="none"/>
              </w:rPr>
            </w:pPr>
            <w:r>
              <w:rPr>
                <w:rFonts w:hint="eastAsia"/>
                <w:color w:val="auto"/>
                <w:szCs w:val="21"/>
                <w:highlight w:val="none"/>
              </w:rPr>
              <w:t>（6）中标企业在医院的服务范围，由医院药学部采购管理小组根据实际工作情况讨论决定。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91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auto"/>
                <w:szCs w:val="21"/>
                <w:highlight w:val="none"/>
              </w:rPr>
            </w:pPr>
            <w:r>
              <w:rPr>
                <w:rFonts w:hint="eastAsia"/>
                <w:color w:val="auto"/>
                <w:szCs w:val="21"/>
                <w:highlight w:val="none"/>
              </w:rPr>
              <w:t>关于签订合同</w:t>
            </w:r>
          </w:p>
          <w:p>
            <w:pPr>
              <w:snapToGrid w:val="0"/>
              <w:spacing w:line="360" w:lineRule="exact"/>
              <w:jc w:val="center"/>
              <w:rPr>
                <w:rFonts w:ascii="宋体" w:hAnsi="宋体"/>
                <w:b/>
                <w:color w:val="auto"/>
                <w:szCs w:val="21"/>
                <w:highlight w:val="none"/>
              </w:rPr>
            </w:pPr>
            <w:r>
              <w:rPr>
                <w:rFonts w:hint="eastAsia"/>
                <w:color w:val="auto"/>
                <w:szCs w:val="21"/>
                <w:highlight w:val="none"/>
              </w:rPr>
              <w:t>的补充说明</w:t>
            </w:r>
          </w:p>
        </w:tc>
        <w:tc>
          <w:tcPr>
            <w:tcW w:w="8027" w:type="dxa"/>
            <w:gridSpan w:val="4"/>
            <w:tcBorders>
              <w:top w:val="single" w:color="auto" w:sz="4" w:space="0"/>
              <w:left w:val="single" w:color="auto" w:sz="4" w:space="0"/>
              <w:bottom w:val="single" w:color="auto" w:sz="4" w:space="0"/>
              <w:right w:val="single" w:color="auto" w:sz="4" w:space="0"/>
            </w:tcBorders>
          </w:tcPr>
          <w:p>
            <w:pPr>
              <w:ind w:firstLine="420" w:firstLineChars="200"/>
              <w:rPr>
                <w:color w:val="auto"/>
                <w:szCs w:val="21"/>
                <w:highlight w:val="none"/>
              </w:rPr>
            </w:pPr>
            <w:r>
              <w:rPr>
                <w:rFonts w:hint="eastAsia"/>
                <w:color w:val="auto"/>
                <w:szCs w:val="21"/>
                <w:highlight w:val="none"/>
              </w:rPr>
              <w:t>我院中药配方颗粒项目由广东***公司（以下简称A）和江阴***公司（以下简称B）两家企业共同提供服务。B服务合同期限至2020年5月30日，A服务合同期限至2020年12月30日。本次招标将确定两家企业为医院提供中药配方颗粒项目服务，因两家企业合同期限不一致，现将本次招标后签订合同相关事宜约定如下：</w:t>
            </w:r>
          </w:p>
          <w:p>
            <w:pPr>
              <w:ind w:firstLine="420" w:firstLineChars="200"/>
              <w:rPr>
                <w:color w:val="auto"/>
                <w:szCs w:val="21"/>
                <w:highlight w:val="none"/>
              </w:rPr>
            </w:pPr>
            <w:r>
              <w:rPr>
                <w:rFonts w:hint="eastAsia"/>
                <w:color w:val="auto"/>
                <w:szCs w:val="21"/>
                <w:highlight w:val="none"/>
              </w:rPr>
              <w:t>1、如果在院服务企业A中标，将重新签订合同继续服务。A与另一家中标企业签订合同的起止时间原则上应保持一致。</w:t>
            </w:r>
          </w:p>
          <w:p>
            <w:pPr>
              <w:ind w:firstLine="420" w:firstLineChars="200"/>
              <w:rPr>
                <w:color w:val="auto"/>
                <w:szCs w:val="21"/>
                <w:highlight w:val="none"/>
              </w:rPr>
            </w:pPr>
            <w:r>
              <w:rPr>
                <w:rFonts w:hint="eastAsia"/>
                <w:color w:val="auto"/>
                <w:szCs w:val="21"/>
                <w:highlight w:val="none"/>
              </w:rPr>
              <w:t>2、如果在院服务企业B中标，将重新签订合同继续服务。另一家中标企业等A的合同到期后再签订服务合同。</w:t>
            </w:r>
          </w:p>
          <w:p>
            <w:pPr>
              <w:ind w:firstLine="420" w:firstLineChars="200"/>
              <w:rPr>
                <w:color w:val="auto"/>
                <w:szCs w:val="21"/>
                <w:highlight w:val="none"/>
              </w:rPr>
            </w:pPr>
            <w:r>
              <w:rPr>
                <w:rFonts w:hint="eastAsia"/>
                <w:color w:val="auto"/>
                <w:szCs w:val="21"/>
                <w:highlight w:val="none"/>
              </w:rPr>
              <w:t>3、如果两家在院服务企业都未中标，新中标企业中，由分数高的中标企业先签订服务合同，分数低的中标企业等A的合同到期后再签订服务合同。</w:t>
            </w:r>
          </w:p>
        </w:tc>
      </w:tr>
    </w:tbl>
    <w:p>
      <w:pPr>
        <w:adjustRightInd w:val="0"/>
        <w:snapToGrid w:val="0"/>
        <w:spacing w:line="400" w:lineRule="exact"/>
        <w:rPr>
          <w:rFonts w:ascii="宋体" w:hAnsi="宋体"/>
          <w:b/>
          <w:color w:val="auto"/>
          <w:szCs w:val="21"/>
          <w:highlight w:val="none"/>
        </w:rPr>
      </w:pPr>
    </w:p>
    <w:tbl>
      <w:tblPr>
        <w:tblStyle w:val="49"/>
        <w:tblW w:w="5000" w:type="pct"/>
        <w:tblInd w:w="0" w:type="dxa"/>
        <w:tblLayout w:type="autofit"/>
        <w:tblCellMar>
          <w:top w:w="15" w:type="dxa"/>
          <w:left w:w="15" w:type="dxa"/>
          <w:bottom w:w="15" w:type="dxa"/>
          <w:right w:w="15" w:type="dxa"/>
        </w:tblCellMar>
      </w:tblPr>
      <w:tblGrid>
        <w:gridCol w:w="678"/>
        <w:gridCol w:w="1442"/>
        <w:gridCol w:w="678"/>
        <w:gridCol w:w="1442"/>
        <w:gridCol w:w="678"/>
        <w:gridCol w:w="2021"/>
        <w:gridCol w:w="678"/>
        <w:gridCol w:w="2478"/>
      </w:tblGrid>
      <w:tr>
        <w:tblPrEx>
          <w:tblCellMar>
            <w:top w:w="15" w:type="dxa"/>
            <w:left w:w="15" w:type="dxa"/>
            <w:bottom w:w="15" w:type="dxa"/>
            <w:right w:w="15" w:type="dxa"/>
          </w:tblCellMar>
        </w:tblPrEx>
        <w:trPr>
          <w:trHeight w:val="705" w:hRule="atLeast"/>
        </w:trPr>
        <w:tc>
          <w:tcPr>
            <w:tcW w:w="5000" w:type="pct"/>
            <w:gridSpan w:val="8"/>
            <w:tcBorders>
              <w:bottom w:val="single" w:color="000000" w:sz="4" w:space="0"/>
            </w:tcBorders>
            <w:vAlign w:val="center"/>
          </w:tcPr>
          <w:p>
            <w:pPr>
              <w:widowControl/>
              <w:jc w:val="left"/>
              <w:textAlignment w:val="center"/>
              <w:rPr>
                <w:rFonts w:ascii="宋体" w:hAnsi="宋体" w:cs="宋体"/>
                <w:b/>
                <w:color w:val="auto"/>
                <w:sz w:val="28"/>
                <w:szCs w:val="28"/>
                <w:highlight w:val="none"/>
              </w:rPr>
            </w:pPr>
            <w:r>
              <w:rPr>
                <w:rFonts w:hint="eastAsia" w:ascii="宋体" w:hAnsi="宋体"/>
                <w:b/>
                <w:bCs/>
                <w:color w:val="auto"/>
                <w:sz w:val="28"/>
                <w:szCs w:val="28"/>
                <w:highlight w:val="none"/>
              </w:rPr>
              <w:t>附件一：              常用100种中药配方颗粒目录</w:t>
            </w:r>
          </w:p>
        </w:tc>
      </w:tr>
      <w:tr>
        <w:tblPrEx>
          <w:tblCellMar>
            <w:top w:w="15" w:type="dxa"/>
            <w:left w:w="15" w:type="dxa"/>
            <w:bottom w:w="15" w:type="dxa"/>
            <w:right w:w="15" w:type="dxa"/>
          </w:tblCellMar>
        </w:tblPrEx>
        <w:trPr>
          <w:trHeight w:val="397" w:hRule="atLeast"/>
        </w:trPr>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序号</w:t>
            </w:r>
          </w:p>
        </w:tc>
        <w:tc>
          <w:tcPr>
            <w:tcW w:w="7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品名</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序号</w:t>
            </w:r>
          </w:p>
        </w:tc>
        <w:tc>
          <w:tcPr>
            <w:tcW w:w="7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品名</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序号</w:t>
            </w:r>
          </w:p>
        </w:tc>
        <w:tc>
          <w:tcPr>
            <w:tcW w:w="100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品名</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序号</w:t>
            </w:r>
          </w:p>
        </w:tc>
        <w:tc>
          <w:tcPr>
            <w:tcW w:w="12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品名</w:t>
            </w:r>
          </w:p>
        </w:tc>
      </w:tr>
      <w:tr>
        <w:tblPrEx>
          <w:tblCellMar>
            <w:top w:w="15" w:type="dxa"/>
            <w:left w:w="15" w:type="dxa"/>
            <w:bottom w:w="15" w:type="dxa"/>
            <w:right w:w="15" w:type="dxa"/>
          </w:tblCellMar>
        </w:tblPrEx>
        <w:trPr>
          <w:trHeight w:val="397" w:hRule="atLeast"/>
        </w:trPr>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71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阿胶</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26</w:t>
            </w:r>
          </w:p>
        </w:tc>
        <w:tc>
          <w:tcPr>
            <w:tcW w:w="71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胆南星</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51</w:t>
            </w:r>
          </w:p>
        </w:tc>
        <w:tc>
          <w:tcPr>
            <w:tcW w:w="100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桔梗</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76</w:t>
            </w:r>
          </w:p>
        </w:tc>
        <w:tc>
          <w:tcPr>
            <w:tcW w:w="122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太子参</w:t>
            </w:r>
          </w:p>
        </w:tc>
      </w:tr>
      <w:tr>
        <w:tblPrEx>
          <w:tblCellMar>
            <w:top w:w="15" w:type="dxa"/>
            <w:left w:w="15" w:type="dxa"/>
            <w:bottom w:w="15" w:type="dxa"/>
            <w:right w:w="15" w:type="dxa"/>
          </w:tblCellMar>
        </w:tblPrEx>
        <w:trPr>
          <w:trHeight w:val="397" w:hRule="atLeast"/>
        </w:trPr>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w:t>
            </w:r>
          </w:p>
        </w:tc>
        <w:tc>
          <w:tcPr>
            <w:tcW w:w="71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艾叶</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27</w:t>
            </w:r>
          </w:p>
        </w:tc>
        <w:tc>
          <w:tcPr>
            <w:tcW w:w="71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当归</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52</w:t>
            </w:r>
          </w:p>
        </w:tc>
        <w:tc>
          <w:tcPr>
            <w:tcW w:w="100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苦参</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77</w:t>
            </w:r>
          </w:p>
        </w:tc>
        <w:tc>
          <w:tcPr>
            <w:tcW w:w="122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桃仁</w:t>
            </w:r>
          </w:p>
        </w:tc>
      </w:tr>
      <w:tr>
        <w:tblPrEx>
          <w:tblCellMar>
            <w:top w:w="15" w:type="dxa"/>
            <w:left w:w="15" w:type="dxa"/>
            <w:bottom w:w="15" w:type="dxa"/>
            <w:right w:w="15" w:type="dxa"/>
          </w:tblCellMar>
        </w:tblPrEx>
        <w:trPr>
          <w:trHeight w:val="397" w:hRule="atLeast"/>
        </w:trPr>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w:t>
            </w:r>
          </w:p>
        </w:tc>
        <w:tc>
          <w:tcPr>
            <w:tcW w:w="71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白及</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28</w:t>
            </w:r>
          </w:p>
        </w:tc>
        <w:tc>
          <w:tcPr>
            <w:tcW w:w="71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党参</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53</w:t>
            </w:r>
          </w:p>
        </w:tc>
        <w:tc>
          <w:tcPr>
            <w:tcW w:w="100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莲子</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78</w:t>
            </w:r>
          </w:p>
        </w:tc>
        <w:tc>
          <w:tcPr>
            <w:tcW w:w="122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菟丝子</w:t>
            </w:r>
          </w:p>
        </w:tc>
      </w:tr>
      <w:tr>
        <w:tblPrEx>
          <w:tblCellMar>
            <w:top w:w="15" w:type="dxa"/>
            <w:left w:w="15" w:type="dxa"/>
            <w:bottom w:w="15" w:type="dxa"/>
            <w:right w:w="15" w:type="dxa"/>
          </w:tblCellMar>
        </w:tblPrEx>
        <w:trPr>
          <w:trHeight w:val="397" w:hRule="atLeast"/>
        </w:trPr>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w:t>
            </w:r>
          </w:p>
        </w:tc>
        <w:tc>
          <w:tcPr>
            <w:tcW w:w="71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白芍</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29</w:t>
            </w:r>
          </w:p>
        </w:tc>
        <w:tc>
          <w:tcPr>
            <w:tcW w:w="71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防风</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54</w:t>
            </w:r>
          </w:p>
        </w:tc>
        <w:tc>
          <w:tcPr>
            <w:tcW w:w="100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两面针</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79</w:t>
            </w:r>
          </w:p>
        </w:tc>
        <w:tc>
          <w:tcPr>
            <w:tcW w:w="122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乌药</w:t>
            </w:r>
          </w:p>
        </w:tc>
      </w:tr>
      <w:tr>
        <w:tblPrEx>
          <w:tblCellMar>
            <w:top w:w="15" w:type="dxa"/>
            <w:left w:w="15" w:type="dxa"/>
            <w:bottom w:w="15" w:type="dxa"/>
            <w:right w:w="15" w:type="dxa"/>
          </w:tblCellMar>
        </w:tblPrEx>
        <w:trPr>
          <w:trHeight w:val="397" w:hRule="atLeast"/>
        </w:trPr>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w:t>
            </w:r>
          </w:p>
        </w:tc>
        <w:tc>
          <w:tcPr>
            <w:tcW w:w="71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白术</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30</w:t>
            </w:r>
          </w:p>
        </w:tc>
        <w:tc>
          <w:tcPr>
            <w:tcW w:w="71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麸炒白术</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55</w:t>
            </w:r>
          </w:p>
        </w:tc>
        <w:tc>
          <w:tcPr>
            <w:tcW w:w="100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路路通</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80</w:t>
            </w:r>
          </w:p>
        </w:tc>
        <w:tc>
          <w:tcPr>
            <w:tcW w:w="122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蜈蚣</w:t>
            </w:r>
          </w:p>
        </w:tc>
      </w:tr>
      <w:tr>
        <w:tblPrEx>
          <w:tblCellMar>
            <w:top w:w="15" w:type="dxa"/>
            <w:left w:w="15" w:type="dxa"/>
            <w:bottom w:w="15" w:type="dxa"/>
            <w:right w:w="15" w:type="dxa"/>
          </w:tblCellMar>
        </w:tblPrEx>
        <w:trPr>
          <w:trHeight w:val="397" w:hRule="atLeast"/>
        </w:trPr>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w:t>
            </w:r>
          </w:p>
        </w:tc>
        <w:tc>
          <w:tcPr>
            <w:tcW w:w="71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白芷</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31</w:t>
            </w:r>
          </w:p>
        </w:tc>
        <w:tc>
          <w:tcPr>
            <w:tcW w:w="71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麸炒枳壳</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56</w:t>
            </w:r>
          </w:p>
        </w:tc>
        <w:tc>
          <w:tcPr>
            <w:tcW w:w="100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麦冬</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81</w:t>
            </w:r>
          </w:p>
        </w:tc>
        <w:tc>
          <w:tcPr>
            <w:tcW w:w="122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五倍子</w:t>
            </w:r>
          </w:p>
        </w:tc>
      </w:tr>
      <w:tr>
        <w:tblPrEx>
          <w:tblCellMar>
            <w:top w:w="15" w:type="dxa"/>
            <w:left w:w="15" w:type="dxa"/>
            <w:bottom w:w="15" w:type="dxa"/>
            <w:right w:w="15" w:type="dxa"/>
          </w:tblCellMar>
        </w:tblPrEx>
        <w:trPr>
          <w:trHeight w:val="397" w:hRule="atLeast"/>
        </w:trPr>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w:t>
            </w:r>
          </w:p>
        </w:tc>
        <w:tc>
          <w:tcPr>
            <w:tcW w:w="71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百部</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32</w:t>
            </w:r>
          </w:p>
        </w:tc>
        <w:tc>
          <w:tcPr>
            <w:tcW w:w="71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麸炒枳实</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57</w:t>
            </w:r>
          </w:p>
        </w:tc>
        <w:tc>
          <w:tcPr>
            <w:tcW w:w="100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牡丹皮</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82</w:t>
            </w:r>
          </w:p>
        </w:tc>
        <w:tc>
          <w:tcPr>
            <w:tcW w:w="122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五味子</w:t>
            </w:r>
          </w:p>
        </w:tc>
      </w:tr>
      <w:tr>
        <w:tblPrEx>
          <w:tblCellMar>
            <w:top w:w="15" w:type="dxa"/>
            <w:left w:w="15" w:type="dxa"/>
            <w:bottom w:w="15" w:type="dxa"/>
            <w:right w:w="15" w:type="dxa"/>
          </w:tblCellMar>
        </w:tblPrEx>
        <w:trPr>
          <w:trHeight w:val="397" w:hRule="atLeast"/>
        </w:trPr>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8</w:t>
            </w:r>
          </w:p>
        </w:tc>
        <w:tc>
          <w:tcPr>
            <w:tcW w:w="71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百合</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33</w:t>
            </w:r>
          </w:p>
        </w:tc>
        <w:tc>
          <w:tcPr>
            <w:tcW w:w="71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茯苓</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58</w:t>
            </w:r>
          </w:p>
        </w:tc>
        <w:tc>
          <w:tcPr>
            <w:tcW w:w="100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木香</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83</w:t>
            </w:r>
          </w:p>
        </w:tc>
        <w:tc>
          <w:tcPr>
            <w:tcW w:w="122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仙鹤草</w:t>
            </w:r>
          </w:p>
        </w:tc>
      </w:tr>
      <w:tr>
        <w:tblPrEx>
          <w:tblCellMar>
            <w:top w:w="15" w:type="dxa"/>
            <w:left w:w="15" w:type="dxa"/>
            <w:bottom w:w="15" w:type="dxa"/>
            <w:right w:w="15" w:type="dxa"/>
          </w:tblCellMar>
        </w:tblPrEx>
        <w:trPr>
          <w:trHeight w:val="397" w:hRule="atLeast"/>
        </w:trPr>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9</w:t>
            </w:r>
          </w:p>
        </w:tc>
        <w:tc>
          <w:tcPr>
            <w:tcW w:w="71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败酱草</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34</w:t>
            </w:r>
          </w:p>
        </w:tc>
        <w:tc>
          <w:tcPr>
            <w:tcW w:w="71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浮小麦</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59</w:t>
            </w:r>
          </w:p>
        </w:tc>
        <w:tc>
          <w:tcPr>
            <w:tcW w:w="100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牛膝(怀牛膝)</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84</w:t>
            </w:r>
          </w:p>
        </w:tc>
        <w:tc>
          <w:tcPr>
            <w:tcW w:w="122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续断</w:t>
            </w:r>
          </w:p>
        </w:tc>
      </w:tr>
      <w:tr>
        <w:tblPrEx>
          <w:tblCellMar>
            <w:top w:w="15" w:type="dxa"/>
            <w:left w:w="15" w:type="dxa"/>
            <w:bottom w:w="15" w:type="dxa"/>
            <w:right w:w="15" w:type="dxa"/>
          </w:tblCellMar>
        </w:tblPrEx>
        <w:trPr>
          <w:trHeight w:val="397" w:hRule="atLeast"/>
        </w:trPr>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10</w:t>
            </w:r>
          </w:p>
        </w:tc>
        <w:tc>
          <w:tcPr>
            <w:tcW w:w="71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板蓝根</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35</w:t>
            </w:r>
          </w:p>
        </w:tc>
        <w:tc>
          <w:tcPr>
            <w:tcW w:w="71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制附片</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60</w:t>
            </w:r>
          </w:p>
        </w:tc>
        <w:tc>
          <w:tcPr>
            <w:tcW w:w="100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女贞子</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85</w:t>
            </w:r>
          </w:p>
        </w:tc>
        <w:tc>
          <w:tcPr>
            <w:tcW w:w="122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盐巴戟天</w:t>
            </w:r>
          </w:p>
        </w:tc>
      </w:tr>
      <w:tr>
        <w:tblPrEx>
          <w:tblCellMar>
            <w:top w:w="15" w:type="dxa"/>
            <w:left w:w="15" w:type="dxa"/>
            <w:bottom w:w="15" w:type="dxa"/>
            <w:right w:w="15" w:type="dxa"/>
          </w:tblCellMar>
        </w:tblPrEx>
        <w:trPr>
          <w:trHeight w:val="397" w:hRule="atLeast"/>
        </w:trPr>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11</w:t>
            </w:r>
          </w:p>
        </w:tc>
        <w:tc>
          <w:tcPr>
            <w:tcW w:w="71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薄荷</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36</w:t>
            </w:r>
          </w:p>
        </w:tc>
        <w:tc>
          <w:tcPr>
            <w:tcW w:w="71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覆盆子</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61</w:t>
            </w:r>
          </w:p>
        </w:tc>
        <w:tc>
          <w:tcPr>
            <w:tcW w:w="100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佩兰</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86</w:t>
            </w:r>
          </w:p>
        </w:tc>
        <w:tc>
          <w:tcPr>
            <w:tcW w:w="122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盐杜仲</w:t>
            </w:r>
          </w:p>
        </w:tc>
      </w:tr>
      <w:tr>
        <w:tblPrEx>
          <w:tblCellMar>
            <w:top w:w="15" w:type="dxa"/>
            <w:left w:w="15" w:type="dxa"/>
            <w:bottom w:w="15" w:type="dxa"/>
            <w:right w:w="15" w:type="dxa"/>
          </w:tblCellMar>
        </w:tblPrEx>
        <w:trPr>
          <w:trHeight w:val="397" w:hRule="atLeast"/>
        </w:trPr>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12</w:t>
            </w:r>
          </w:p>
        </w:tc>
        <w:tc>
          <w:tcPr>
            <w:tcW w:w="71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柴胡</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37</w:t>
            </w:r>
          </w:p>
        </w:tc>
        <w:tc>
          <w:tcPr>
            <w:tcW w:w="71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甘草</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62</w:t>
            </w:r>
          </w:p>
        </w:tc>
        <w:tc>
          <w:tcPr>
            <w:tcW w:w="100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蒲公英</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87</w:t>
            </w:r>
          </w:p>
        </w:tc>
        <w:tc>
          <w:tcPr>
            <w:tcW w:w="122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益母草</w:t>
            </w:r>
          </w:p>
        </w:tc>
      </w:tr>
      <w:tr>
        <w:tblPrEx>
          <w:tblCellMar>
            <w:top w:w="15" w:type="dxa"/>
            <w:left w:w="15" w:type="dxa"/>
            <w:bottom w:w="15" w:type="dxa"/>
            <w:right w:w="15" w:type="dxa"/>
          </w:tblCellMar>
        </w:tblPrEx>
        <w:trPr>
          <w:trHeight w:val="397" w:hRule="atLeast"/>
        </w:trPr>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13</w:t>
            </w:r>
          </w:p>
        </w:tc>
        <w:tc>
          <w:tcPr>
            <w:tcW w:w="71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北沙参</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38</w:t>
            </w:r>
          </w:p>
        </w:tc>
        <w:tc>
          <w:tcPr>
            <w:tcW w:w="71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高良姜</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63</w:t>
            </w:r>
          </w:p>
        </w:tc>
        <w:tc>
          <w:tcPr>
            <w:tcW w:w="100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全蝎</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88</w:t>
            </w:r>
          </w:p>
        </w:tc>
        <w:tc>
          <w:tcPr>
            <w:tcW w:w="122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薏苡仁</w:t>
            </w:r>
          </w:p>
        </w:tc>
      </w:tr>
      <w:tr>
        <w:tblPrEx>
          <w:tblCellMar>
            <w:top w:w="15" w:type="dxa"/>
            <w:left w:w="15" w:type="dxa"/>
            <w:bottom w:w="15" w:type="dxa"/>
            <w:right w:w="15" w:type="dxa"/>
          </w:tblCellMar>
        </w:tblPrEx>
        <w:trPr>
          <w:trHeight w:val="397" w:hRule="atLeast"/>
        </w:trPr>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14</w:t>
            </w:r>
          </w:p>
        </w:tc>
        <w:tc>
          <w:tcPr>
            <w:tcW w:w="71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苍术</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39</w:t>
            </w:r>
          </w:p>
        </w:tc>
        <w:tc>
          <w:tcPr>
            <w:tcW w:w="71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葛根</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64</w:t>
            </w:r>
          </w:p>
        </w:tc>
        <w:tc>
          <w:tcPr>
            <w:tcW w:w="100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忍冬藤</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89</w:t>
            </w:r>
          </w:p>
        </w:tc>
        <w:tc>
          <w:tcPr>
            <w:tcW w:w="122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玉竹</w:t>
            </w:r>
          </w:p>
        </w:tc>
      </w:tr>
      <w:tr>
        <w:tblPrEx>
          <w:tblCellMar>
            <w:top w:w="15" w:type="dxa"/>
            <w:left w:w="15" w:type="dxa"/>
            <w:bottom w:w="15" w:type="dxa"/>
            <w:right w:w="15" w:type="dxa"/>
          </w:tblCellMar>
        </w:tblPrEx>
        <w:trPr>
          <w:trHeight w:val="397" w:hRule="atLeast"/>
        </w:trPr>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15</w:t>
            </w:r>
          </w:p>
        </w:tc>
        <w:tc>
          <w:tcPr>
            <w:tcW w:w="71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炒白扁豆</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40</w:t>
            </w:r>
          </w:p>
        </w:tc>
        <w:tc>
          <w:tcPr>
            <w:tcW w:w="71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枸杞子</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65</w:t>
            </w:r>
          </w:p>
        </w:tc>
        <w:tc>
          <w:tcPr>
            <w:tcW w:w="100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桑寄生</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90</w:t>
            </w:r>
          </w:p>
        </w:tc>
        <w:tc>
          <w:tcPr>
            <w:tcW w:w="122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泽泻</w:t>
            </w:r>
          </w:p>
        </w:tc>
      </w:tr>
      <w:tr>
        <w:tblPrEx>
          <w:tblCellMar>
            <w:top w:w="15" w:type="dxa"/>
            <w:left w:w="15" w:type="dxa"/>
            <w:bottom w:w="15" w:type="dxa"/>
            <w:right w:w="15" w:type="dxa"/>
          </w:tblCellMar>
        </w:tblPrEx>
        <w:trPr>
          <w:trHeight w:val="397" w:hRule="atLeast"/>
        </w:trPr>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16</w:t>
            </w:r>
          </w:p>
        </w:tc>
        <w:tc>
          <w:tcPr>
            <w:tcW w:w="71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炒鸡内金</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41</w:t>
            </w:r>
          </w:p>
        </w:tc>
        <w:tc>
          <w:tcPr>
            <w:tcW w:w="71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桂枝</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66</w:t>
            </w:r>
          </w:p>
        </w:tc>
        <w:tc>
          <w:tcPr>
            <w:tcW w:w="100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盐沙苑子</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91</w:t>
            </w:r>
          </w:p>
        </w:tc>
        <w:tc>
          <w:tcPr>
            <w:tcW w:w="122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知母</w:t>
            </w:r>
          </w:p>
        </w:tc>
      </w:tr>
      <w:tr>
        <w:tblPrEx>
          <w:tblCellMar>
            <w:top w:w="15" w:type="dxa"/>
            <w:left w:w="15" w:type="dxa"/>
            <w:bottom w:w="15" w:type="dxa"/>
            <w:right w:w="15" w:type="dxa"/>
          </w:tblCellMar>
        </w:tblPrEx>
        <w:trPr>
          <w:trHeight w:val="397" w:hRule="atLeast"/>
        </w:trPr>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17</w:t>
            </w:r>
          </w:p>
        </w:tc>
        <w:tc>
          <w:tcPr>
            <w:tcW w:w="71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车前子</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42</w:t>
            </w:r>
          </w:p>
        </w:tc>
        <w:tc>
          <w:tcPr>
            <w:tcW w:w="71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黄柏</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67</w:t>
            </w:r>
          </w:p>
        </w:tc>
        <w:tc>
          <w:tcPr>
            <w:tcW w:w="100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砂仁</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92</w:t>
            </w:r>
          </w:p>
        </w:tc>
        <w:tc>
          <w:tcPr>
            <w:tcW w:w="122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制何首乌</w:t>
            </w:r>
          </w:p>
        </w:tc>
      </w:tr>
      <w:tr>
        <w:tblPrEx>
          <w:tblCellMar>
            <w:top w:w="15" w:type="dxa"/>
            <w:left w:w="15" w:type="dxa"/>
            <w:bottom w:w="15" w:type="dxa"/>
            <w:right w:w="15" w:type="dxa"/>
          </w:tblCellMar>
        </w:tblPrEx>
        <w:trPr>
          <w:trHeight w:val="397" w:hRule="atLeast"/>
        </w:trPr>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18</w:t>
            </w:r>
          </w:p>
        </w:tc>
        <w:tc>
          <w:tcPr>
            <w:tcW w:w="71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陈皮</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43</w:t>
            </w:r>
          </w:p>
        </w:tc>
        <w:tc>
          <w:tcPr>
            <w:tcW w:w="71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黄芪</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68</w:t>
            </w:r>
          </w:p>
        </w:tc>
        <w:tc>
          <w:tcPr>
            <w:tcW w:w="100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山药</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93</w:t>
            </w:r>
          </w:p>
        </w:tc>
        <w:tc>
          <w:tcPr>
            <w:tcW w:w="122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制远志</w:t>
            </w:r>
          </w:p>
        </w:tc>
      </w:tr>
      <w:tr>
        <w:tblPrEx>
          <w:tblCellMar>
            <w:top w:w="15" w:type="dxa"/>
            <w:left w:w="15" w:type="dxa"/>
            <w:bottom w:w="15" w:type="dxa"/>
            <w:right w:w="15" w:type="dxa"/>
          </w:tblCellMar>
        </w:tblPrEx>
        <w:trPr>
          <w:trHeight w:val="397" w:hRule="atLeast"/>
        </w:trPr>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19</w:t>
            </w:r>
          </w:p>
        </w:tc>
        <w:tc>
          <w:tcPr>
            <w:tcW w:w="71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赤芍</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44</w:t>
            </w:r>
          </w:p>
        </w:tc>
        <w:tc>
          <w:tcPr>
            <w:tcW w:w="71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黄芩</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69</w:t>
            </w:r>
          </w:p>
        </w:tc>
        <w:tc>
          <w:tcPr>
            <w:tcW w:w="100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山萸肉</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94</w:t>
            </w:r>
          </w:p>
        </w:tc>
        <w:tc>
          <w:tcPr>
            <w:tcW w:w="122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炙甘草</w:t>
            </w:r>
          </w:p>
        </w:tc>
      </w:tr>
      <w:tr>
        <w:tblPrEx>
          <w:tblCellMar>
            <w:top w:w="15" w:type="dxa"/>
            <w:left w:w="15" w:type="dxa"/>
            <w:bottom w:w="15" w:type="dxa"/>
            <w:right w:w="15" w:type="dxa"/>
          </w:tblCellMar>
        </w:tblPrEx>
        <w:trPr>
          <w:trHeight w:val="397" w:hRule="atLeast"/>
        </w:trPr>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20</w:t>
            </w:r>
          </w:p>
        </w:tc>
        <w:tc>
          <w:tcPr>
            <w:tcW w:w="71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赤小豆</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45</w:t>
            </w:r>
          </w:p>
        </w:tc>
        <w:tc>
          <w:tcPr>
            <w:tcW w:w="71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火麻仁</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70</w:t>
            </w:r>
          </w:p>
        </w:tc>
        <w:tc>
          <w:tcPr>
            <w:tcW w:w="100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六神曲</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95</w:t>
            </w:r>
          </w:p>
        </w:tc>
        <w:tc>
          <w:tcPr>
            <w:tcW w:w="122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紫花地丁</w:t>
            </w:r>
          </w:p>
        </w:tc>
      </w:tr>
      <w:tr>
        <w:tblPrEx>
          <w:tblCellMar>
            <w:top w:w="15" w:type="dxa"/>
            <w:left w:w="15" w:type="dxa"/>
            <w:bottom w:w="15" w:type="dxa"/>
            <w:right w:w="15" w:type="dxa"/>
          </w:tblCellMar>
        </w:tblPrEx>
        <w:trPr>
          <w:trHeight w:val="397" w:hRule="atLeast"/>
        </w:trPr>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21</w:t>
            </w:r>
          </w:p>
        </w:tc>
        <w:tc>
          <w:tcPr>
            <w:tcW w:w="71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川牛膝</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46</w:t>
            </w:r>
          </w:p>
        </w:tc>
        <w:tc>
          <w:tcPr>
            <w:tcW w:w="71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鸡血藤</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71</w:t>
            </w:r>
          </w:p>
        </w:tc>
        <w:tc>
          <w:tcPr>
            <w:tcW w:w="100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生地黄</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96</w:t>
            </w:r>
          </w:p>
        </w:tc>
        <w:tc>
          <w:tcPr>
            <w:tcW w:w="122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紫苏梗</w:t>
            </w:r>
          </w:p>
        </w:tc>
      </w:tr>
      <w:tr>
        <w:tblPrEx>
          <w:tblCellMar>
            <w:top w:w="15" w:type="dxa"/>
            <w:left w:w="15" w:type="dxa"/>
            <w:bottom w:w="15" w:type="dxa"/>
            <w:right w:w="15" w:type="dxa"/>
          </w:tblCellMar>
        </w:tblPrEx>
        <w:trPr>
          <w:trHeight w:val="397" w:hRule="atLeast"/>
        </w:trPr>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22</w:t>
            </w:r>
          </w:p>
        </w:tc>
        <w:tc>
          <w:tcPr>
            <w:tcW w:w="71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川芎</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47</w:t>
            </w:r>
          </w:p>
        </w:tc>
        <w:tc>
          <w:tcPr>
            <w:tcW w:w="71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姜半夏</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72</w:t>
            </w:r>
          </w:p>
        </w:tc>
        <w:tc>
          <w:tcPr>
            <w:tcW w:w="100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石菖蒲</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97</w:t>
            </w:r>
          </w:p>
        </w:tc>
        <w:tc>
          <w:tcPr>
            <w:tcW w:w="122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炒槐花</w:t>
            </w:r>
          </w:p>
        </w:tc>
      </w:tr>
      <w:tr>
        <w:tblPrEx>
          <w:tblCellMar>
            <w:top w:w="15" w:type="dxa"/>
            <w:left w:w="15" w:type="dxa"/>
            <w:bottom w:w="15" w:type="dxa"/>
            <w:right w:w="15" w:type="dxa"/>
          </w:tblCellMar>
        </w:tblPrEx>
        <w:trPr>
          <w:trHeight w:val="397" w:hRule="atLeast"/>
        </w:trPr>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23</w:t>
            </w:r>
          </w:p>
        </w:tc>
        <w:tc>
          <w:tcPr>
            <w:tcW w:w="71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醋香附</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48</w:t>
            </w:r>
          </w:p>
        </w:tc>
        <w:tc>
          <w:tcPr>
            <w:tcW w:w="71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姜厚朴</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73</w:t>
            </w:r>
          </w:p>
        </w:tc>
        <w:tc>
          <w:tcPr>
            <w:tcW w:w="100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石斛</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98</w:t>
            </w:r>
          </w:p>
        </w:tc>
        <w:tc>
          <w:tcPr>
            <w:tcW w:w="122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炒酸枣仁</w:t>
            </w:r>
          </w:p>
        </w:tc>
      </w:tr>
      <w:tr>
        <w:tblPrEx>
          <w:tblCellMar>
            <w:top w:w="15" w:type="dxa"/>
            <w:left w:w="15" w:type="dxa"/>
            <w:bottom w:w="15" w:type="dxa"/>
            <w:right w:w="15" w:type="dxa"/>
          </w:tblCellMar>
        </w:tblPrEx>
        <w:trPr>
          <w:trHeight w:val="397" w:hRule="atLeast"/>
        </w:trPr>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24</w:t>
            </w:r>
          </w:p>
        </w:tc>
        <w:tc>
          <w:tcPr>
            <w:tcW w:w="71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大枣</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49</w:t>
            </w:r>
          </w:p>
        </w:tc>
        <w:tc>
          <w:tcPr>
            <w:tcW w:w="71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金银花</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74</w:t>
            </w:r>
          </w:p>
        </w:tc>
        <w:tc>
          <w:tcPr>
            <w:tcW w:w="100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熟地黄</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99</w:t>
            </w:r>
          </w:p>
        </w:tc>
        <w:tc>
          <w:tcPr>
            <w:tcW w:w="122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酒苁蓉</w:t>
            </w:r>
          </w:p>
        </w:tc>
      </w:tr>
      <w:tr>
        <w:tblPrEx>
          <w:tblCellMar>
            <w:top w:w="15" w:type="dxa"/>
            <w:left w:w="15" w:type="dxa"/>
            <w:bottom w:w="15" w:type="dxa"/>
            <w:right w:w="15" w:type="dxa"/>
          </w:tblCellMar>
        </w:tblPrEx>
        <w:trPr>
          <w:trHeight w:val="397" w:hRule="atLeast"/>
        </w:trPr>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25</w:t>
            </w:r>
          </w:p>
        </w:tc>
        <w:tc>
          <w:tcPr>
            <w:tcW w:w="71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丹参</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50</w:t>
            </w:r>
          </w:p>
        </w:tc>
        <w:tc>
          <w:tcPr>
            <w:tcW w:w="71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酒黄精</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75</w:t>
            </w:r>
          </w:p>
        </w:tc>
        <w:tc>
          <w:tcPr>
            <w:tcW w:w="100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丝瓜络</w:t>
            </w:r>
          </w:p>
        </w:tc>
        <w:tc>
          <w:tcPr>
            <w:tcW w:w="3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100</w:t>
            </w:r>
          </w:p>
        </w:tc>
        <w:tc>
          <w:tcPr>
            <w:tcW w:w="122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color w:val="auto"/>
                <w:szCs w:val="21"/>
                <w:highlight w:val="none"/>
              </w:rPr>
              <w:t>大黄（熟大黄）</w:t>
            </w:r>
          </w:p>
        </w:tc>
      </w:tr>
    </w:tbl>
    <w:p>
      <w:pPr>
        <w:spacing w:line="360" w:lineRule="exact"/>
        <w:rPr>
          <w:rFonts w:ascii="宋体" w:hAnsi="宋体"/>
          <w:b/>
          <w:bCs/>
          <w:color w:val="auto"/>
          <w:sz w:val="24"/>
          <w:highlight w:val="none"/>
        </w:rPr>
      </w:pPr>
      <w:r>
        <w:rPr>
          <w:rFonts w:hint="eastAsia" w:ascii="宋体" w:hAnsi="宋体"/>
          <w:b/>
          <w:bCs/>
          <w:color w:val="auto"/>
          <w:sz w:val="24"/>
          <w:highlight w:val="none"/>
        </w:rPr>
        <w:t xml:space="preserve">    </w:t>
      </w:r>
    </w:p>
    <w:p>
      <w:pPr>
        <w:spacing w:line="360" w:lineRule="exact"/>
        <w:rPr>
          <w:rFonts w:ascii="宋体" w:hAnsi="宋体"/>
          <w:b/>
          <w:bCs/>
          <w:color w:val="auto"/>
          <w:sz w:val="24"/>
          <w:highlight w:val="none"/>
        </w:rPr>
      </w:pPr>
    </w:p>
    <w:p>
      <w:pPr>
        <w:spacing w:line="360" w:lineRule="exact"/>
        <w:rPr>
          <w:rFonts w:ascii="宋体" w:hAnsi="宋体"/>
          <w:b/>
          <w:bCs/>
          <w:color w:val="auto"/>
          <w:sz w:val="24"/>
          <w:highlight w:val="none"/>
        </w:rPr>
      </w:pPr>
    </w:p>
    <w:p>
      <w:pPr>
        <w:spacing w:line="360" w:lineRule="exact"/>
        <w:ind w:left="6" w:firstLine="431"/>
        <w:rPr>
          <w:rFonts w:ascii="宋体" w:hAnsi="宋体"/>
          <w:b/>
          <w:bCs/>
          <w:color w:val="auto"/>
          <w:sz w:val="28"/>
          <w:szCs w:val="28"/>
          <w:highlight w:val="none"/>
        </w:rPr>
      </w:pPr>
      <w:r>
        <w:rPr>
          <w:rFonts w:hint="eastAsia" w:ascii="宋体" w:hAnsi="宋体"/>
          <w:b/>
          <w:bCs/>
          <w:color w:val="auto"/>
          <w:sz w:val="28"/>
          <w:szCs w:val="28"/>
          <w:highlight w:val="none"/>
        </w:rPr>
        <w:t>附件二:             319种中药配方颗粒目录</w:t>
      </w:r>
    </w:p>
    <w:p>
      <w:pPr>
        <w:spacing w:line="360" w:lineRule="exact"/>
        <w:ind w:left="6" w:firstLine="431"/>
        <w:rPr>
          <w:ins w:id="0" w:author="张国铨" w:date="2020-05-13T09:30:00Z"/>
          <w:rFonts w:ascii="仿宋_GB2312" w:hAnsi="宋体" w:eastAsia="仿宋_GB2312"/>
          <w:b/>
          <w:color w:val="auto"/>
          <w:sz w:val="28"/>
          <w:szCs w:val="28"/>
          <w:highlight w:val="none"/>
        </w:rPr>
      </w:pPr>
    </w:p>
    <w:tbl>
      <w:tblPr>
        <w:tblStyle w:val="49"/>
        <w:tblW w:w="0" w:type="auto"/>
        <w:tblInd w:w="0" w:type="dxa"/>
        <w:tblLayout w:type="fixed"/>
        <w:tblCellMar>
          <w:top w:w="15" w:type="dxa"/>
          <w:left w:w="15" w:type="dxa"/>
          <w:bottom w:w="15" w:type="dxa"/>
          <w:right w:w="15" w:type="dxa"/>
        </w:tblCellMar>
      </w:tblPr>
      <w:tblGrid>
        <w:gridCol w:w="620"/>
        <w:gridCol w:w="1847"/>
        <w:gridCol w:w="619"/>
        <w:gridCol w:w="1917"/>
        <w:gridCol w:w="676"/>
        <w:gridCol w:w="1522"/>
        <w:gridCol w:w="676"/>
        <w:gridCol w:w="1565"/>
      </w:tblGrid>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序号</w:t>
            </w:r>
          </w:p>
        </w:tc>
        <w:tc>
          <w:tcPr>
            <w:tcW w:w="18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品名</w:t>
            </w:r>
          </w:p>
        </w:tc>
        <w:tc>
          <w:tcPr>
            <w:tcW w:w="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序号</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品名</w:t>
            </w:r>
          </w:p>
        </w:tc>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序号</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品名</w:t>
            </w:r>
          </w:p>
        </w:tc>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序号</w:t>
            </w:r>
          </w:p>
        </w:tc>
        <w:tc>
          <w:tcPr>
            <w:tcW w:w="1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品名</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847"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阿胶</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81</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煅龙骨</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161</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酒肉苁蓉</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241</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生蒲黄</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847"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艾叶</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82</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煅牡蛎</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162</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酒萸肉</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242</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生石膏</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847"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艾叶炭</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83</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煅石决明</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163</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桔梗</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243</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石见穿</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847"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巴戟天</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84</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煅瓦楞子</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164</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菊花</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244</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石榴皮</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847"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白花蛇舌草</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85</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煅赭石</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165</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橘红</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245</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石上柏</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1847"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白及</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86</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莪术</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166</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瞿麦</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246</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石韦</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1847"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白芥子</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87</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鹅不食草</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167</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苦参</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247</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首乌藤</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1847"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白茅根</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88</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防风</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168</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宽筋藤</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248</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熟大黄</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1847"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白芍</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89</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蜂房</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169</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款冬花</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249</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熟地黄</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1847"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白术</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90</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佛手</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170</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昆布</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250</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水牛角</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1847"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白鲜皮</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91</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麸炒苍术</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171</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连翘</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251</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丝瓜络</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1847"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白英</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92</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麸炒枳壳</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172</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莲子</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252</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苏木</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1847"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白芷</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93</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麸炒枳实</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173</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两面针</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253</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锁阳</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1847"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百部</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94</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茯苓</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174</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灵芝</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254</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太子参</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1847"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百合</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95</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茯苓皮</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175</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龙胆草</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255</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藤梨根</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1847"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柏子仁</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96</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茯神</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176</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龙骨</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256</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天冬</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1847"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败酱草</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97</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浮海石</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177</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龙葵</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257</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天花粉</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1847"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板蓝根</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98</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浮萍</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178</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芦根</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258</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天龙</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1847"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半枝莲</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99</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浮小麦</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179</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鹿角胶</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259</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天麻</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1847"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北柴胡</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附片</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180</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路路通</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260</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葶苈子</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847" w:type="dxa"/>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北沙参</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101</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覆盆子</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181</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罗汉果</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261</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通草</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184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萆薢</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102</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干姜</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182</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麻黄</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262</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透骨草</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184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槟榔</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103</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干石斛</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183</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麻黄根</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263</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土茯苓</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184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薄荷</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104</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干益母草</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184</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麦冬</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264</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菟丝子</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184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补骨脂</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105</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干鱼腥草</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185</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芒硝</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265</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威灵仙</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184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蝉蜕</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106</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甘草片</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186</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猫爪草</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266</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乌梅</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184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燀苦杏仁</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107</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岗梅根</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187</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没药</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267</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乌药</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184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燀桃仁</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108</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高良姜</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188</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玫瑰花</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268</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吴茱萸</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29</w:t>
            </w:r>
          </w:p>
        </w:tc>
        <w:tc>
          <w:tcPr>
            <w:tcW w:w="184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炒白扁豆</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109</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藁本片</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189</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蜜麻黄</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269</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蜈蚣</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184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炒白术</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110</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葛根</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190</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蜜枇杷叶</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270</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五倍子</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31</w:t>
            </w:r>
          </w:p>
        </w:tc>
        <w:tc>
          <w:tcPr>
            <w:tcW w:w="184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炒苍耳子</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111</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钩藤</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191</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蜜紫菀</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271</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五加皮</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32</w:t>
            </w:r>
          </w:p>
        </w:tc>
        <w:tc>
          <w:tcPr>
            <w:tcW w:w="184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炒鸡内金</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112</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狗脊</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192</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绵马贯众</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272</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五灵脂</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33</w:t>
            </w:r>
          </w:p>
        </w:tc>
        <w:tc>
          <w:tcPr>
            <w:tcW w:w="184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炒僵蚕</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113</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枸杞子</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193</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墨旱莲</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273</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五爪龙</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34</w:t>
            </w:r>
          </w:p>
        </w:tc>
        <w:tc>
          <w:tcPr>
            <w:tcW w:w="184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炒决明子</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114</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谷精草</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194</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牡丹皮</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274</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溪黄草</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35</w:t>
            </w:r>
          </w:p>
        </w:tc>
        <w:tc>
          <w:tcPr>
            <w:tcW w:w="184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炒莱菔子</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115</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谷芽</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195</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牡蛎</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275</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豨莶草</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36</w:t>
            </w:r>
          </w:p>
        </w:tc>
        <w:tc>
          <w:tcPr>
            <w:tcW w:w="184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炒麦芽</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116</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骨碎补</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196</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木瓜</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276</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细辛</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37</w:t>
            </w:r>
          </w:p>
        </w:tc>
        <w:tc>
          <w:tcPr>
            <w:tcW w:w="184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炒蔓荆子</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117</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瓜蒌皮</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197</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木香</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277</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夏枯草</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38</w:t>
            </w:r>
          </w:p>
        </w:tc>
        <w:tc>
          <w:tcPr>
            <w:tcW w:w="184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炒牛蒡子</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118</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瓜蒌子</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198</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木贼</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278</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仙鹤草</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39</w:t>
            </w:r>
          </w:p>
        </w:tc>
        <w:tc>
          <w:tcPr>
            <w:tcW w:w="184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炒酸枣仁</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119</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鬼针草</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199</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牛大力</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279</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仙茅</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40</w:t>
            </w:r>
          </w:p>
        </w:tc>
        <w:tc>
          <w:tcPr>
            <w:tcW w:w="184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炒王不留行</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120</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桂枝</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200</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牛膝</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280</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小茴香</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41</w:t>
            </w:r>
          </w:p>
        </w:tc>
        <w:tc>
          <w:tcPr>
            <w:tcW w:w="184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炒紫苏子</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121</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海风藤</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201</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糯稻根</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281</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小蓟</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42</w:t>
            </w:r>
          </w:p>
        </w:tc>
        <w:tc>
          <w:tcPr>
            <w:tcW w:w="184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车前草</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122</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海金沙</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202</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胖大海</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282</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薤白</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43</w:t>
            </w:r>
          </w:p>
        </w:tc>
        <w:tc>
          <w:tcPr>
            <w:tcW w:w="184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车前子</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123</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海螵蛸</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203</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佩兰</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283</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辛夷</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44</w:t>
            </w:r>
          </w:p>
        </w:tc>
        <w:tc>
          <w:tcPr>
            <w:tcW w:w="184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陈皮</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124</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海藻</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204</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蒲公英</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284</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新疆紫草</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45</w:t>
            </w:r>
          </w:p>
        </w:tc>
        <w:tc>
          <w:tcPr>
            <w:tcW w:w="184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赤芍</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125</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诃子</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205</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千斤拔</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285</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雄蚕蛾</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46</w:t>
            </w:r>
          </w:p>
        </w:tc>
        <w:tc>
          <w:tcPr>
            <w:tcW w:w="184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赤石脂</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126</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合欢花</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206</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千里光</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286</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续断片</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47</w:t>
            </w:r>
          </w:p>
        </w:tc>
        <w:tc>
          <w:tcPr>
            <w:tcW w:w="184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茺蔚子</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127</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合欢皮</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207</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前胡</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287</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玄参</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48</w:t>
            </w:r>
          </w:p>
        </w:tc>
        <w:tc>
          <w:tcPr>
            <w:tcW w:w="184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川贝母</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128</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何首乌</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208</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芡实</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288</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旋覆花</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49</w:t>
            </w:r>
          </w:p>
        </w:tc>
        <w:tc>
          <w:tcPr>
            <w:tcW w:w="184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川楝子</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129</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荷叶</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209</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茜草</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289</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血见愁</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50</w:t>
            </w:r>
          </w:p>
        </w:tc>
        <w:tc>
          <w:tcPr>
            <w:tcW w:w="184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川芎</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130</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红花</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210</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羌活</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290</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血竭</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51</w:t>
            </w:r>
          </w:p>
        </w:tc>
        <w:tc>
          <w:tcPr>
            <w:tcW w:w="184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穿破石</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131</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红景天</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211</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秦艽</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291</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盐杜仲</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52</w:t>
            </w:r>
          </w:p>
        </w:tc>
        <w:tc>
          <w:tcPr>
            <w:tcW w:w="184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垂盆草</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132</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虎杖</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212</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秦皮</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292</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阳起石</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53</w:t>
            </w:r>
          </w:p>
        </w:tc>
        <w:tc>
          <w:tcPr>
            <w:tcW w:w="184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刺五加</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133</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琥珀</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213</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青黛</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293</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野菊花</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54</w:t>
            </w:r>
          </w:p>
        </w:tc>
        <w:tc>
          <w:tcPr>
            <w:tcW w:w="184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醋鳖甲</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134</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花椒</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214</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青果</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294</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益智仁</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55</w:t>
            </w:r>
          </w:p>
        </w:tc>
        <w:tc>
          <w:tcPr>
            <w:tcW w:w="184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醋龟甲</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135</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滑石</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215</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青蒿</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295</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薏苡仁</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56</w:t>
            </w:r>
          </w:p>
        </w:tc>
        <w:tc>
          <w:tcPr>
            <w:tcW w:w="184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醋五味子</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136</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槐花</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216</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青皮</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296</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茵陈</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57</w:t>
            </w:r>
          </w:p>
        </w:tc>
        <w:tc>
          <w:tcPr>
            <w:tcW w:w="184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醋香附</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137</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黄柏</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217</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青葙子</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297</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淫羊藿</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58</w:t>
            </w:r>
          </w:p>
        </w:tc>
        <w:tc>
          <w:tcPr>
            <w:tcW w:w="184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醋延胡索</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138</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黄精</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218</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全蝎</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298</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玉米须</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59</w:t>
            </w:r>
          </w:p>
        </w:tc>
        <w:tc>
          <w:tcPr>
            <w:tcW w:w="184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大腹皮</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139</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黄连片</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219</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忍冬藤</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299</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玉竹</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60</w:t>
            </w:r>
          </w:p>
        </w:tc>
        <w:tc>
          <w:tcPr>
            <w:tcW w:w="184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大蓟</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140</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黄芪</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220</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肉桂</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郁金</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61</w:t>
            </w:r>
          </w:p>
        </w:tc>
        <w:tc>
          <w:tcPr>
            <w:tcW w:w="184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大青叶</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141</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黄芩片</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221</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乳香</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301</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郁李仁</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62</w:t>
            </w:r>
          </w:p>
        </w:tc>
        <w:tc>
          <w:tcPr>
            <w:tcW w:w="184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大血藤</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142</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黄药子</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222</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三棱</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302</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远志</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63</w:t>
            </w:r>
          </w:p>
        </w:tc>
        <w:tc>
          <w:tcPr>
            <w:tcW w:w="184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大枣</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143</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火麻仁</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223</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三七粉</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303</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皂角刺</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64</w:t>
            </w:r>
          </w:p>
        </w:tc>
        <w:tc>
          <w:tcPr>
            <w:tcW w:w="184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丹参</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144</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藿香</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224</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桑白皮</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304</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泽兰</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65</w:t>
            </w:r>
          </w:p>
        </w:tc>
        <w:tc>
          <w:tcPr>
            <w:tcW w:w="184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胆南星</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145</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鸡骨草</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225</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桑寄生</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305</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泽泻</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66</w:t>
            </w:r>
          </w:p>
        </w:tc>
        <w:tc>
          <w:tcPr>
            <w:tcW w:w="184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淡竹叶</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146</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鸡血藤</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226</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桑螵蛸</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306</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浙贝母</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67</w:t>
            </w:r>
          </w:p>
        </w:tc>
        <w:tc>
          <w:tcPr>
            <w:tcW w:w="184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当归</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147</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蒺藜</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227</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桑椹</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307</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珍珠母</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68</w:t>
            </w:r>
          </w:p>
        </w:tc>
        <w:tc>
          <w:tcPr>
            <w:tcW w:w="184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党参片</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148</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姜半夏</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228</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桑叶</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308</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知母</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69</w:t>
            </w:r>
          </w:p>
        </w:tc>
        <w:tc>
          <w:tcPr>
            <w:tcW w:w="184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灯心草</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149</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姜厚朴</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229</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桑枝</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309</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栀子</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70</w:t>
            </w:r>
          </w:p>
        </w:tc>
        <w:tc>
          <w:tcPr>
            <w:tcW w:w="184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地耳草(田基黄)</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150</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姜黄</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230</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沙苑子</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310</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制白附子</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71</w:t>
            </w:r>
          </w:p>
        </w:tc>
        <w:tc>
          <w:tcPr>
            <w:tcW w:w="184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地肤子</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151</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降香</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231</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砂仁</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311</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炙甘草</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72</w:t>
            </w:r>
          </w:p>
        </w:tc>
        <w:tc>
          <w:tcPr>
            <w:tcW w:w="184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地骨皮</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152</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绞股蓝</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232</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山药</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312</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肿节风</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73</w:t>
            </w:r>
          </w:p>
        </w:tc>
        <w:tc>
          <w:tcPr>
            <w:tcW w:w="184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地黄</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153</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金钱草</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233</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山楂</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313</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重楼</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74</w:t>
            </w:r>
          </w:p>
        </w:tc>
        <w:tc>
          <w:tcPr>
            <w:tcW w:w="184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地龙</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154</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金银花</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234</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蛇床子</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314</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猪苓</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75</w:t>
            </w:r>
          </w:p>
        </w:tc>
        <w:tc>
          <w:tcPr>
            <w:tcW w:w="184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地榆</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155</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金樱子肉</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235</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蛇六谷</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315</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竹茹</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76</w:t>
            </w:r>
          </w:p>
        </w:tc>
        <w:tc>
          <w:tcPr>
            <w:tcW w:w="184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地榆炭</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156</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荆芥</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236</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射干</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316</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紫河车粉</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77</w:t>
            </w:r>
          </w:p>
        </w:tc>
        <w:tc>
          <w:tcPr>
            <w:tcW w:w="184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丁香</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157</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荆芥炭</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237</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伸筋草</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317</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紫花地丁</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78</w:t>
            </w:r>
          </w:p>
        </w:tc>
        <w:tc>
          <w:tcPr>
            <w:tcW w:w="184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冬葵子</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158</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九节菖蒲</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238</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神曲</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318</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紫苏叶</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79</w:t>
            </w:r>
          </w:p>
        </w:tc>
        <w:tc>
          <w:tcPr>
            <w:tcW w:w="184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豆蔻</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159</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韭菜子</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239</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升麻</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319</w:t>
            </w:r>
          </w:p>
        </w:tc>
        <w:tc>
          <w:tcPr>
            <w:tcW w:w="156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紫珠草</w:t>
            </w:r>
          </w:p>
        </w:tc>
      </w:tr>
      <w:tr>
        <w:tblPrEx>
          <w:tblCellMar>
            <w:top w:w="15" w:type="dxa"/>
            <w:left w:w="15" w:type="dxa"/>
            <w:bottom w:w="15" w:type="dxa"/>
            <w:right w:w="15" w:type="dxa"/>
          </w:tblCellMar>
        </w:tblPrEx>
        <w:trPr>
          <w:trHeight w:val="397" w:hRule="atLeast"/>
        </w:trPr>
        <w:tc>
          <w:tcPr>
            <w:tcW w:w="6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80</w:t>
            </w:r>
          </w:p>
        </w:tc>
        <w:tc>
          <w:tcPr>
            <w:tcW w:w="184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独活</w:t>
            </w:r>
          </w:p>
        </w:tc>
        <w:tc>
          <w:tcPr>
            <w:tcW w:w="61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160</w:t>
            </w:r>
          </w:p>
        </w:tc>
        <w:tc>
          <w:tcPr>
            <w:tcW w:w="191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酒女贞子</w:t>
            </w:r>
          </w:p>
        </w:tc>
        <w:tc>
          <w:tcPr>
            <w:tcW w:w="67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240</w:t>
            </w:r>
          </w:p>
        </w:tc>
        <w:tc>
          <w:tcPr>
            <w:tcW w:w="152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生姜</w:t>
            </w:r>
          </w:p>
        </w:tc>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highlight w:val="none"/>
              </w:rPr>
            </w:pPr>
          </w:p>
        </w:tc>
        <w:tc>
          <w:tcPr>
            <w:tcW w:w="1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highlight w:val="none"/>
              </w:rPr>
            </w:pPr>
          </w:p>
        </w:tc>
      </w:tr>
    </w:tbl>
    <w:p>
      <w:pPr>
        <w:snapToGrid w:val="0"/>
        <w:jc w:val="center"/>
        <w:rPr>
          <w:rFonts w:ascii="仿宋_GB2312" w:hAnsi="宋体" w:eastAsia="仿宋_GB2312"/>
          <w:b/>
          <w:color w:val="auto"/>
          <w:sz w:val="44"/>
          <w:szCs w:val="44"/>
          <w:highlight w:val="none"/>
        </w:rPr>
      </w:pPr>
    </w:p>
    <w:p>
      <w:pPr>
        <w:spacing w:line="360" w:lineRule="exact"/>
        <w:ind w:left="6" w:firstLine="431"/>
        <w:rPr>
          <w:rFonts w:ascii="宋体" w:hAnsi="宋体"/>
          <w:b/>
          <w:bCs/>
          <w:color w:val="auto"/>
          <w:szCs w:val="21"/>
          <w:highlight w:val="none"/>
        </w:rPr>
      </w:pPr>
    </w:p>
    <w:p>
      <w:pPr>
        <w:spacing w:line="360" w:lineRule="exact"/>
        <w:ind w:left="6" w:firstLine="431"/>
        <w:rPr>
          <w:rFonts w:ascii="宋体" w:hAnsi="宋体"/>
          <w:b/>
          <w:bCs/>
          <w:color w:val="auto"/>
          <w:szCs w:val="21"/>
          <w:highlight w:val="none"/>
        </w:rPr>
      </w:pPr>
    </w:p>
    <w:p>
      <w:pPr>
        <w:spacing w:line="360" w:lineRule="exact"/>
        <w:ind w:left="6" w:firstLine="431"/>
        <w:rPr>
          <w:rFonts w:ascii="宋体" w:hAnsi="宋体"/>
          <w:b/>
          <w:bCs/>
          <w:color w:val="auto"/>
          <w:szCs w:val="21"/>
          <w:highlight w:val="none"/>
        </w:rPr>
      </w:pPr>
    </w:p>
    <w:p>
      <w:pPr>
        <w:spacing w:line="360" w:lineRule="exact"/>
        <w:ind w:left="6" w:firstLine="431"/>
        <w:rPr>
          <w:rFonts w:ascii="宋体" w:hAnsi="宋体"/>
          <w:b/>
          <w:bCs/>
          <w:color w:val="auto"/>
          <w:szCs w:val="21"/>
          <w:highlight w:val="none"/>
        </w:rPr>
      </w:pPr>
    </w:p>
    <w:p>
      <w:pPr>
        <w:snapToGrid w:val="0"/>
        <w:jc w:val="center"/>
        <w:rPr>
          <w:rFonts w:ascii="仿宋_GB2312" w:hAnsi="宋体" w:eastAsia="仿宋_GB2312"/>
          <w:b/>
          <w:color w:val="auto"/>
          <w:sz w:val="44"/>
          <w:szCs w:val="44"/>
          <w:highlight w:val="none"/>
        </w:rPr>
      </w:pPr>
    </w:p>
    <w:p>
      <w:pPr>
        <w:snapToGrid w:val="0"/>
        <w:jc w:val="center"/>
        <w:rPr>
          <w:rFonts w:ascii="仿宋_GB2312" w:hAnsi="宋体" w:eastAsia="仿宋_GB2312"/>
          <w:b/>
          <w:color w:val="auto"/>
          <w:sz w:val="44"/>
          <w:szCs w:val="44"/>
          <w:highlight w:val="none"/>
        </w:rPr>
      </w:pPr>
    </w:p>
    <w:p>
      <w:pPr>
        <w:snapToGrid w:val="0"/>
        <w:jc w:val="center"/>
        <w:rPr>
          <w:rFonts w:ascii="仿宋_GB2312" w:hAnsi="宋体" w:eastAsia="仿宋_GB2312"/>
          <w:b/>
          <w:color w:val="auto"/>
          <w:sz w:val="44"/>
          <w:szCs w:val="44"/>
          <w:highlight w:val="none"/>
        </w:rPr>
      </w:pPr>
    </w:p>
    <w:p>
      <w:pPr>
        <w:snapToGrid w:val="0"/>
        <w:jc w:val="center"/>
        <w:rPr>
          <w:rFonts w:ascii="仿宋_GB2312" w:hAnsi="宋体" w:eastAsia="仿宋_GB2312"/>
          <w:b/>
          <w:color w:val="auto"/>
          <w:sz w:val="44"/>
          <w:szCs w:val="44"/>
          <w:highlight w:val="none"/>
        </w:rPr>
      </w:pPr>
    </w:p>
    <w:p>
      <w:pPr>
        <w:snapToGrid w:val="0"/>
        <w:jc w:val="center"/>
        <w:rPr>
          <w:rFonts w:ascii="仿宋_GB2312" w:hAnsi="宋体" w:eastAsia="仿宋_GB2312"/>
          <w:b/>
          <w:color w:val="auto"/>
          <w:sz w:val="44"/>
          <w:szCs w:val="44"/>
          <w:highlight w:val="none"/>
        </w:rPr>
      </w:pPr>
    </w:p>
    <w:p>
      <w:pPr>
        <w:snapToGrid w:val="0"/>
        <w:jc w:val="center"/>
        <w:rPr>
          <w:rFonts w:ascii="仿宋_GB2312" w:hAnsi="宋体" w:eastAsia="仿宋_GB2312"/>
          <w:b/>
          <w:color w:val="auto"/>
          <w:sz w:val="44"/>
          <w:szCs w:val="44"/>
          <w:highlight w:val="none"/>
        </w:rPr>
      </w:pPr>
    </w:p>
    <w:p>
      <w:pPr>
        <w:snapToGrid w:val="0"/>
        <w:jc w:val="center"/>
        <w:rPr>
          <w:rFonts w:ascii="仿宋_GB2312" w:hAnsi="宋体" w:eastAsia="仿宋_GB2312"/>
          <w:b/>
          <w:color w:val="auto"/>
          <w:sz w:val="44"/>
          <w:szCs w:val="44"/>
          <w:highlight w:val="none"/>
        </w:rPr>
      </w:pPr>
    </w:p>
    <w:p>
      <w:pPr>
        <w:snapToGrid w:val="0"/>
        <w:jc w:val="center"/>
        <w:rPr>
          <w:rFonts w:ascii="仿宋_GB2312" w:hAnsi="宋体" w:eastAsia="仿宋_GB2312"/>
          <w:b/>
          <w:color w:val="auto"/>
          <w:sz w:val="44"/>
          <w:szCs w:val="44"/>
          <w:highlight w:val="none"/>
        </w:rPr>
      </w:pPr>
    </w:p>
    <w:p>
      <w:pPr>
        <w:snapToGrid w:val="0"/>
        <w:jc w:val="center"/>
        <w:rPr>
          <w:rFonts w:ascii="仿宋_GB2312" w:hAnsi="宋体" w:eastAsia="仿宋_GB2312"/>
          <w:b/>
          <w:color w:val="auto"/>
          <w:sz w:val="44"/>
          <w:szCs w:val="44"/>
          <w:highlight w:val="none"/>
        </w:rPr>
      </w:pPr>
    </w:p>
    <w:p>
      <w:pPr>
        <w:snapToGrid w:val="0"/>
        <w:jc w:val="center"/>
        <w:rPr>
          <w:rFonts w:ascii="仿宋_GB2312" w:hAnsi="宋体" w:eastAsia="仿宋_GB2312"/>
          <w:b/>
          <w:color w:val="auto"/>
          <w:sz w:val="44"/>
          <w:szCs w:val="44"/>
          <w:highlight w:val="none"/>
        </w:rPr>
      </w:pPr>
    </w:p>
    <w:p>
      <w:pPr>
        <w:snapToGrid w:val="0"/>
        <w:jc w:val="center"/>
        <w:rPr>
          <w:rFonts w:ascii="仿宋_GB2312" w:hAnsi="宋体" w:eastAsia="仿宋_GB2312"/>
          <w:b/>
          <w:color w:val="auto"/>
          <w:sz w:val="44"/>
          <w:szCs w:val="44"/>
          <w:highlight w:val="none"/>
        </w:rPr>
      </w:pPr>
    </w:p>
    <w:p>
      <w:pPr>
        <w:snapToGrid w:val="0"/>
        <w:jc w:val="center"/>
        <w:rPr>
          <w:rFonts w:ascii="仿宋_GB2312" w:hAnsi="宋体" w:eastAsia="仿宋_GB2312"/>
          <w:b/>
          <w:color w:val="auto"/>
          <w:sz w:val="44"/>
          <w:szCs w:val="44"/>
          <w:highlight w:val="none"/>
        </w:rPr>
      </w:pPr>
    </w:p>
    <w:p>
      <w:pPr>
        <w:snapToGrid w:val="0"/>
        <w:jc w:val="center"/>
        <w:rPr>
          <w:rFonts w:ascii="仿宋_GB2312" w:hAnsi="宋体" w:eastAsia="仿宋_GB2312"/>
          <w:b/>
          <w:color w:val="auto"/>
          <w:sz w:val="44"/>
          <w:szCs w:val="44"/>
          <w:highlight w:val="none"/>
        </w:rPr>
      </w:pPr>
    </w:p>
    <w:p>
      <w:pPr>
        <w:snapToGrid w:val="0"/>
        <w:jc w:val="center"/>
        <w:rPr>
          <w:rFonts w:ascii="仿宋_GB2312" w:hAnsi="宋体" w:eastAsia="仿宋_GB2312"/>
          <w:b/>
          <w:color w:val="auto"/>
          <w:sz w:val="44"/>
          <w:szCs w:val="44"/>
          <w:highlight w:val="none"/>
        </w:rPr>
      </w:pPr>
    </w:p>
    <w:p>
      <w:pPr>
        <w:snapToGrid w:val="0"/>
        <w:jc w:val="center"/>
        <w:rPr>
          <w:rFonts w:ascii="仿宋_GB2312" w:hAnsi="宋体" w:eastAsia="仿宋_GB2312"/>
          <w:b/>
          <w:color w:val="auto"/>
          <w:sz w:val="44"/>
          <w:szCs w:val="44"/>
          <w:highlight w:val="none"/>
        </w:rPr>
      </w:pPr>
    </w:p>
    <w:p>
      <w:pPr>
        <w:snapToGrid w:val="0"/>
        <w:jc w:val="center"/>
        <w:rPr>
          <w:rFonts w:ascii="仿宋_GB2312" w:hAnsi="宋体" w:eastAsia="仿宋_GB2312"/>
          <w:b/>
          <w:color w:val="auto"/>
          <w:sz w:val="44"/>
          <w:szCs w:val="44"/>
          <w:highlight w:val="none"/>
        </w:rPr>
      </w:pPr>
    </w:p>
    <w:p>
      <w:pPr>
        <w:snapToGrid w:val="0"/>
        <w:jc w:val="center"/>
        <w:rPr>
          <w:rFonts w:ascii="仿宋_GB2312" w:hAnsi="宋体" w:eastAsia="仿宋_GB2312"/>
          <w:b/>
          <w:color w:val="auto"/>
          <w:sz w:val="44"/>
          <w:szCs w:val="44"/>
          <w:highlight w:val="none"/>
        </w:rPr>
      </w:pPr>
    </w:p>
    <w:p>
      <w:pPr>
        <w:snapToGrid w:val="0"/>
        <w:jc w:val="center"/>
        <w:rPr>
          <w:rFonts w:ascii="黑体" w:hAnsi="宋体" w:eastAsia="黑体"/>
          <w:color w:val="auto"/>
          <w:sz w:val="32"/>
          <w:szCs w:val="32"/>
          <w:highlight w:val="none"/>
        </w:rPr>
      </w:pPr>
      <w:r>
        <w:rPr>
          <w:rFonts w:hint="eastAsia" w:ascii="仿宋_GB2312" w:hAnsi="宋体" w:eastAsia="仿宋_GB2312"/>
          <w:b/>
          <w:color w:val="auto"/>
          <w:sz w:val="44"/>
          <w:szCs w:val="44"/>
          <w:highlight w:val="none"/>
        </w:rPr>
        <w:t>第三章  投标人须知</w:t>
      </w:r>
    </w:p>
    <w:p>
      <w:pPr>
        <w:snapToGrid w:val="0"/>
        <w:jc w:val="center"/>
        <w:rPr>
          <w:rFonts w:ascii="黑体" w:hAnsi="宋体" w:eastAsia="黑体"/>
          <w:color w:val="auto"/>
          <w:sz w:val="32"/>
          <w:szCs w:val="32"/>
          <w:highlight w:val="none"/>
        </w:rPr>
      </w:pPr>
    </w:p>
    <w:p>
      <w:pPr>
        <w:snapToGrid w:val="0"/>
        <w:spacing w:line="340" w:lineRule="exact"/>
        <w:jc w:val="center"/>
        <w:rPr>
          <w:rFonts w:ascii="仿宋_GB2312" w:hAnsi="宋体" w:eastAsia="仿宋_GB2312"/>
          <w:b/>
          <w:color w:val="auto"/>
          <w:szCs w:val="21"/>
          <w:highlight w:val="none"/>
        </w:rPr>
      </w:pPr>
      <w:r>
        <w:rPr>
          <w:rFonts w:ascii="仿宋_GB2312" w:hAnsi="宋体" w:eastAsia="仿宋_GB2312"/>
          <w:b/>
          <w:color w:val="auto"/>
          <w:sz w:val="32"/>
          <w:szCs w:val="32"/>
          <w:highlight w:val="none"/>
        </w:rPr>
        <w:br w:type="page"/>
      </w:r>
      <w:r>
        <w:rPr>
          <w:rFonts w:hint="eastAsia" w:ascii="仿宋_GB2312" w:hAnsi="宋体" w:eastAsia="仿宋_GB2312"/>
          <w:b/>
          <w:color w:val="auto"/>
          <w:sz w:val="32"/>
          <w:szCs w:val="32"/>
          <w:highlight w:val="none"/>
        </w:rPr>
        <w:t>投标</w:t>
      </w:r>
      <w:bookmarkStart w:id="0" w:name="_Toc254970667"/>
      <w:bookmarkStart w:id="1" w:name="_Toc254970526"/>
      <w:r>
        <w:rPr>
          <w:rFonts w:hint="eastAsia" w:ascii="仿宋_GB2312" w:hAnsi="宋体" w:eastAsia="仿宋_GB2312"/>
          <w:b/>
          <w:color w:val="auto"/>
          <w:sz w:val="32"/>
          <w:szCs w:val="32"/>
          <w:highlight w:val="none"/>
        </w:rPr>
        <w:t>人须知及前附表</w:t>
      </w:r>
      <w:bookmarkEnd w:id="0"/>
      <w:bookmarkEnd w:id="1"/>
    </w:p>
    <w:tbl>
      <w:tblPr>
        <w:tblStyle w:val="49"/>
        <w:tblW w:w="94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8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color w:val="auto"/>
                <w:szCs w:val="21"/>
                <w:highlight w:val="none"/>
              </w:rPr>
            </w:pPr>
            <w:r>
              <w:rPr>
                <w:rFonts w:hint="eastAsia" w:ascii="宋体" w:hAnsi="宋体"/>
                <w:color w:val="auto"/>
                <w:szCs w:val="21"/>
                <w:highlight w:val="none"/>
              </w:rPr>
              <w:t>序号</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color w:val="auto"/>
                <w:szCs w:val="21"/>
                <w:highlight w:val="none"/>
              </w:rPr>
            </w:pPr>
            <w:r>
              <w:rPr>
                <w:rFonts w:hint="eastAsia" w:ascii="宋体" w:hAnsi="宋体"/>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color w:val="auto"/>
                <w:szCs w:val="21"/>
                <w:highlight w:val="none"/>
              </w:rPr>
            </w:pPr>
            <w:r>
              <w:rPr>
                <w:rFonts w:hint="eastAsia" w:ascii="宋体" w:hAnsi="宋体"/>
                <w:color w:val="auto"/>
                <w:szCs w:val="21"/>
                <w:highlight w:val="none"/>
              </w:rPr>
              <w:t>1</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宋体" w:hAnsi="宋体"/>
                <w:color w:val="auto"/>
                <w:szCs w:val="21"/>
                <w:highlight w:val="none"/>
              </w:rPr>
            </w:pPr>
            <w:r>
              <w:rPr>
                <w:rFonts w:hint="eastAsia" w:ascii="宋体" w:hAnsi="宋体"/>
                <w:color w:val="auto"/>
                <w:szCs w:val="21"/>
                <w:highlight w:val="none"/>
              </w:rPr>
              <w:t>项目名称：中药配方颗粒配送服务采购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color w:val="auto"/>
                <w:szCs w:val="21"/>
                <w:highlight w:val="none"/>
              </w:rPr>
            </w:pPr>
            <w:r>
              <w:rPr>
                <w:rFonts w:hint="eastAsia" w:ascii="宋体" w:hAnsi="宋体"/>
                <w:color w:val="auto"/>
                <w:szCs w:val="21"/>
                <w:highlight w:val="none"/>
              </w:rPr>
              <w:t>2</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宋体" w:hAnsi="宋体"/>
                <w:color w:val="auto"/>
                <w:szCs w:val="21"/>
                <w:highlight w:val="none"/>
              </w:rPr>
            </w:pPr>
            <w:r>
              <w:rPr>
                <w:rFonts w:hint="eastAsia" w:ascii="宋体" w:hAnsi="宋体"/>
                <w:color w:val="auto"/>
                <w:szCs w:val="21"/>
                <w:highlight w:val="none"/>
              </w:rPr>
              <w:t>投标报价及费用：1、本项目投标应以人民币报价；2、不论投标结果如何，投标人均应自行承担所有与投标有关的全部费用。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color w:val="auto"/>
                <w:szCs w:val="21"/>
                <w:highlight w:val="none"/>
              </w:rPr>
            </w:pPr>
            <w:r>
              <w:rPr>
                <w:rFonts w:hint="eastAsia" w:ascii="宋体" w:hAnsi="宋体"/>
                <w:color w:val="auto"/>
                <w:szCs w:val="21"/>
                <w:highlight w:val="none"/>
              </w:rPr>
              <w:t>3</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b/>
                <w:color w:val="auto"/>
                <w:highlight w:val="none"/>
              </w:rPr>
            </w:pPr>
            <w:r>
              <w:rPr>
                <w:rFonts w:hint="eastAsia" w:ascii="宋体" w:hAnsi="宋体"/>
                <w:color w:val="auto"/>
                <w:szCs w:val="21"/>
                <w:highlight w:val="none"/>
              </w:rPr>
              <w:t>投标保证金（人民币）：</w:t>
            </w:r>
            <w:r>
              <w:rPr>
                <w:rFonts w:hint="eastAsia" w:ascii="宋体" w:hAnsi="宋体"/>
                <w:color w:val="auto"/>
                <w:szCs w:val="21"/>
                <w:highlight w:val="none"/>
                <w:u w:val="single"/>
              </w:rPr>
              <w:t xml:space="preserve">   详见本项目公开招标公告     </w:t>
            </w:r>
            <w:r>
              <w:rPr>
                <w:rFonts w:hint="eastAsia" w:ascii="宋体" w:hAnsi="宋体"/>
                <w:color w:val="auto"/>
                <w:szCs w:val="21"/>
                <w:highlight w:val="none"/>
              </w:rPr>
              <w:t>。</w:t>
            </w:r>
          </w:p>
          <w:p>
            <w:pPr>
              <w:snapToGrid w:val="0"/>
              <w:spacing w:line="280" w:lineRule="exact"/>
              <w:rPr>
                <w:rFonts w:ascii="宋体" w:hAnsi="宋体"/>
                <w:color w:val="auto"/>
                <w:szCs w:val="21"/>
                <w:highlight w:val="none"/>
              </w:rPr>
            </w:pPr>
            <w:r>
              <w:rPr>
                <w:rFonts w:hint="eastAsia"/>
                <w:bCs/>
                <w:color w:val="auto"/>
                <w:highlight w:val="none"/>
              </w:rPr>
              <w:t>实际交纳的保证金按上述要求，否则视为未交纳保证金</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color w:val="auto"/>
                <w:szCs w:val="21"/>
                <w:highlight w:val="none"/>
              </w:rPr>
            </w:pPr>
            <w:r>
              <w:rPr>
                <w:rFonts w:hint="eastAsia" w:ascii="宋体" w:hAnsi="宋体"/>
                <w:color w:val="auto"/>
                <w:szCs w:val="21"/>
                <w:highlight w:val="none"/>
              </w:rPr>
              <w:t>4</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宋体" w:hAnsi="宋体"/>
                <w:color w:val="auto"/>
                <w:szCs w:val="21"/>
                <w:highlight w:val="none"/>
              </w:rPr>
            </w:pPr>
            <w:r>
              <w:rPr>
                <w:rFonts w:hint="eastAsia" w:ascii="宋体" w:hAnsi="宋体"/>
                <w:color w:val="auto"/>
                <w:szCs w:val="21"/>
                <w:highlight w:val="none"/>
              </w:rPr>
              <w:t>现场踏勘：</w:t>
            </w:r>
            <w:r>
              <w:rPr>
                <w:rFonts w:hint="eastAsia" w:ascii="宋体" w:hAnsi="宋体"/>
                <w:color w:val="auto"/>
                <w:szCs w:val="21"/>
                <w:highlight w:val="none"/>
                <w:u w:val="single"/>
              </w:rPr>
              <w:t xml:space="preserve">        无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color w:val="auto"/>
                <w:szCs w:val="21"/>
                <w:highlight w:val="none"/>
              </w:rPr>
            </w:pPr>
            <w:r>
              <w:rPr>
                <w:rFonts w:hint="eastAsia" w:ascii="宋体" w:hAnsi="宋体"/>
                <w:color w:val="auto"/>
                <w:szCs w:val="21"/>
                <w:highlight w:val="none"/>
              </w:rPr>
              <w:t>5</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宋体" w:hAnsi="宋体"/>
                <w:color w:val="auto"/>
                <w:szCs w:val="21"/>
                <w:highlight w:val="none"/>
              </w:rPr>
            </w:pPr>
            <w:r>
              <w:rPr>
                <w:rFonts w:hint="eastAsia" w:ascii="宋体" w:hAnsi="宋体"/>
                <w:color w:val="auto"/>
                <w:szCs w:val="21"/>
                <w:highlight w:val="none"/>
              </w:rPr>
              <w:t>演示时间及地点：</w:t>
            </w:r>
            <w:r>
              <w:rPr>
                <w:rFonts w:hint="eastAsia" w:ascii="宋体" w:hAnsi="宋体"/>
                <w:color w:val="auto"/>
                <w:szCs w:val="21"/>
                <w:highlight w:val="none"/>
                <w:u w:val="single"/>
              </w:rPr>
              <w:t xml:space="preserve">     无   </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color w:val="auto"/>
                <w:szCs w:val="21"/>
                <w:highlight w:val="none"/>
              </w:rPr>
            </w:pPr>
            <w:r>
              <w:rPr>
                <w:rFonts w:hint="eastAsia" w:ascii="宋体" w:hAnsi="宋体"/>
                <w:color w:val="auto"/>
                <w:szCs w:val="21"/>
                <w:highlight w:val="none"/>
              </w:rPr>
              <w:t>6</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ind w:left="210" w:hanging="210" w:hangingChars="100"/>
              <w:rPr>
                <w:rFonts w:ascii="宋体" w:hAnsi="宋体"/>
                <w:color w:val="auto"/>
                <w:szCs w:val="21"/>
                <w:highlight w:val="none"/>
              </w:rPr>
            </w:pPr>
            <w:r>
              <w:rPr>
                <w:rFonts w:hint="eastAsia" w:ascii="宋体" w:hAnsi="宋体"/>
                <w:color w:val="auto"/>
                <w:szCs w:val="21"/>
                <w:highlight w:val="none"/>
              </w:rPr>
              <w:t>答疑、澄清：投标人如认为招标文件表述不清晰、</w:t>
            </w:r>
            <w:r>
              <w:rPr>
                <w:rFonts w:hint="eastAsia" w:hAnsi="宋体"/>
                <w:bCs/>
                <w:color w:val="auto"/>
                <w:highlight w:val="none"/>
              </w:rPr>
              <w:t>有误或有不合理要求的</w:t>
            </w:r>
            <w:r>
              <w:rPr>
                <w:rFonts w:hint="eastAsia" w:ascii="宋体" w:hAnsi="宋体"/>
                <w:color w:val="auto"/>
                <w:szCs w:val="21"/>
                <w:highlight w:val="none"/>
              </w:rPr>
              <w:t>，应当于</w:t>
            </w:r>
            <w:r>
              <w:rPr>
                <w:rFonts w:hint="eastAsia" w:ascii="宋体" w:hAnsi="宋体"/>
                <w:b/>
                <w:color w:val="auto"/>
                <w:szCs w:val="21"/>
                <w:highlight w:val="none"/>
                <w:u w:val="single"/>
              </w:rPr>
              <w:t>2020年</w:t>
            </w:r>
            <w:r>
              <w:rPr>
                <w:rFonts w:hint="eastAsia" w:ascii="宋体" w:hAnsi="宋体"/>
                <w:b/>
                <w:color w:val="auto"/>
                <w:szCs w:val="21"/>
                <w:highlight w:val="none"/>
                <w:u w:val="single"/>
                <w:lang w:val="en-US" w:eastAsia="zh-CN"/>
              </w:rPr>
              <w:t>6</w:t>
            </w:r>
            <w:r>
              <w:rPr>
                <w:rFonts w:hint="eastAsia" w:ascii="宋体" w:hAnsi="宋体"/>
                <w:b/>
                <w:color w:val="auto"/>
                <w:szCs w:val="21"/>
                <w:highlight w:val="none"/>
                <w:u w:val="single"/>
              </w:rPr>
              <w:t>月</w:t>
            </w:r>
            <w:r>
              <w:rPr>
                <w:rFonts w:hint="eastAsia" w:ascii="宋体" w:hAnsi="宋体"/>
                <w:b/>
                <w:color w:val="auto"/>
                <w:szCs w:val="21"/>
                <w:highlight w:val="none"/>
                <w:u w:val="single"/>
                <w:lang w:val="en-US" w:eastAsia="zh-CN"/>
              </w:rPr>
              <w:t>15</w:t>
            </w:r>
            <w:r>
              <w:rPr>
                <w:rFonts w:hint="eastAsia" w:ascii="宋体" w:hAnsi="宋体"/>
                <w:b/>
                <w:color w:val="auto"/>
                <w:szCs w:val="21"/>
                <w:highlight w:val="none"/>
                <w:u w:val="single"/>
              </w:rPr>
              <w:t>日</w:t>
            </w:r>
            <w:r>
              <w:rPr>
                <w:rFonts w:hint="eastAsia" w:ascii="宋体" w:hAnsi="宋体"/>
                <w:color w:val="auto"/>
                <w:szCs w:val="21"/>
                <w:highlight w:val="none"/>
              </w:rPr>
              <w:t>前，以书面形式要求采购人或者采购代理机构作出书面答疑、澄清；</w:t>
            </w:r>
          </w:p>
          <w:p>
            <w:pPr>
              <w:snapToGrid w:val="0"/>
              <w:spacing w:line="280" w:lineRule="exact"/>
              <w:rPr>
                <w:rFonts w:ascii="宋体" w:hAnsi="宋体"/>
                <w:color w:val="auto"/>
                <w:szCs w:val="21"/>
                <w:highlight w:val="none"/>
              </w:rPr>
            </w:pPr>
            <w:r>
              <w:rPr>
                <w:rFonts w:hint="eastAsia" w:ascii="宋体" w:hAnsi="宋体"/>
                <w:color w:val="auto"/>
                <w:szCs w:val="21"/>
                <w:highlight w:val="none"/>
              </w:rPr>
              <w:t>询问、质疑：投标人如认为招标文件存在歧视性、排他性或者其他违法内容的，按投标人须知“一、总则（九）询问、质疑和投诉”中的要求向采购人或者采购代理机构提出书面询问、质疑。</w:t>
            </w:r>
          </w:p>
          <w:p>
            <w:pPr>
              <w:snapToGrid w:val="0"/>
              <w:spacing w:line="280" w:lineRule="exact"/>
              <w:rPr>
                <w:rFonts w:ascii="宋体" w:hAnsi="宋体"/>
                <w:color w:val="auto"/>
                <w:szCs w:val="21"/>
                <w:highlight w:val="none"/>
              </w:rPr>
            </w:pPr>
            <w:r>
              <w:rPr>
                <w:rFonts w:hint="eastAsia" w:ascii="宋体" w:hAnsi="宋体"/>
                <w:color w:val="auto"/>
                <w:szCs w:val="21"/>
                <w:highlight w:val="none"/>
              </w:rPr>
              <w:t>答疑、澄清内容是招标文件的组成部份，本公司将以书面形式送达所有已报名的投标人；</w:t>
            </w:r>
            <w:r>
              <w:rPr>
                <w:rFonts w:hint="eastAsia" w:hAnsi="宋体"/>
                <w:color w:val="auto"/>
                <w:highlight w:val="none"/>
              </w:rPr>
              <w:t>本公司可以视采购具体情况，延长招标文件或者资格预审文件提供期限，并在财政部门指定的政府采购信息发布媒体上发布公告。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color w:val="auto"/>
                <w:szCs w:val="21"/>
                <w:highlight w:val="none"/>
              </w:rPr>
            </w:pPr>
            <w:r>
              <w:rPr>
                <w:rFonts w:hint="eastAsia" w:ascii="宋体" w:hAnsi="宋体"/>
                <w:color w:val="auto"/>
                <w:szCs w:val="21"/>
                <w:highlight w:val="none"/>
              </w:rPr>
              <w:t>7</w:t>
            </w:r>
          </w:p>
        </w:tc>
        <w:tc>
          <w:tcPr>
            <w:tcW w:w="88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80" w:lineRule="exact"/>
              <w:textAlignment w:val="bottom"/>
              <w:rPr>
                <w:rFonts w:ascii="宋体" w:hAnsi="宋体"/>
                <w:color w:val="auto"/>
                <w:szCs w:val="21"/>
                <w:highlight w:val="none"/>
              </w:rPr>
            </w:pPr>
            <w:r>
              <w:rPr>
                <w:rFonts w:hint="eastAsia" w:ascii="宋体" w:hAnsi="宋体"/>
                <w:color w:val="auto"/>
                <w:szCs w:val="21"/>
                <w:highlight w:val="none"/>
              </w:rPr>
              <w:t>投标文件组成：开标一览表</w:t>
            </w:r>
            <w:r>
              <w:rPr>
                <w:rFonts w:hint="eastAsia" w:ascii="宋体" w:hAnsi="宋体"/>
                <w:color w:val="auto"/>
                <w:szCs w:val="21"/>
                <w:highlight w:val="none"/>
                <w:u w:val="single"/>
              </w:rPr>
              <w:t xml:space="preserve"> </w:t>
            </w:r>
            <w:r>
              <w:rPr>
                <w:rFonts w:hint="eastAsia" w:ascii="宋体" w:hAnsi="宋体" w:cs="Arial"/>
                <w:color w:val="auto"/>
                <w:szCs w:val="21"/>
                <w:highlight w:val="none"/>
                <w:u w:val="single"/>
              </w:rPr>
              <w:t xml:space="preserve">壹 </w:t>
            </w:r>
            <w:r>
              <w:rPr>
                <w:rFonts w:hint="eastAsia" w:ascii="宋体" w:hAnsi="宋体" w:cs="Arial"/>
                <w:color w:val="auto"/>
                <w:szCs w:val="21"/>
                <w:highlight w:val="none"/>
              </w:rPr>
              <w:t>份；资格文件</w:t>
            </w:r>
            <w:r>
              <w:rPr>
                <w:rFonts w:hint="eastAsia" w:ascii="宋体" w:hAnsi="宋体"/>
                <w:color w:val="auto"/>
                <w:szCs w:val="21"/>
                <w:highlight w:val="none"/>
              </w:rPr>
              <w:t xml:space="preserve">正本 </w:t>
            </w:r>
            <w:r>
              <w:rPr>
                <w:rFonts w:hint="eastAsia" w:ascii="宋体" w:hAnsi="宋体" w:cs="Arial"/>
                <w:color w:val="auto"/>
                <w:szCs w:val="21"/>
                <w:highlight w:val="none"/>
                <w:u w:val="single"/>
              </w:rPr>
              <w:t>壹</w:t>
            </w:r>
            <w:r>
              <w:rPr>
                <w:rFonts w:hint="eastAsia" w:ascii="宋体" w:hAnsi="宋体"/>
                <w:color w:val="auto"/>
                <w:szCs w:val="21"/>
                <w:highlight w:val="none"/>
                <w:u w:val="single"/>
              </w:rPr>
              <w:t xml:space="preserve"> </w:t>
            </w:r>
            <w:r>
              <w:rPr>
                <w:rFonts w:hint="eastAsia" w:ascii="宋体" w:hAnsi="宋体"/>
                <w:color w:val="auto"/>
                <w:szCs w:val="21"/>
                <w:highlight w:val="none"/>
              </w:rPr>
              <w:t>份；副本</w:t>
            </w:r>
            <w:r>
              <w:rPr>
                <w:rFonts w:hint="eastAsia" w:ascii="宋体" w:hAnsi="宋体"/>
                <w:color w:val="auto"/>
                <w:szCs w:val="21"/>
                <w:highlight w:val="none"/>
                <w:u w:val="single"/>
              </w:rPr>
              <w:t xml:space="preserve"> 贰 </w:t>
            </w:r>
            <w:r>
              <w:rPr>
                <w:rFonts w:hint="eastAsia" w:ascii="宋体" w:hAnsi="宋体"/>
                <w:color w:val="auto"/>
                <w:szCs w:val="21"/>
                <w:highlight w:val="none"/>
              </w:rPr>
              <w:t>份,</w:t>
            </w:r>
            <w:r>
              <w:rPr>
                <w:rFonts w:hint="eastAsia" w:ascii="宋体" w:hAnsi="宋体" w:cs="Arial"/>
                <w:color w:val="auto"/>
                <w:szCs w:val="21"/>
                <w:highlight w:val="none"/>
              </w:rPr>
              <w:t>投标文件</w:t>
            </w:r>
            <w:r>
              <w:rPr>
                <w:rFonts w:hint="eastAsia" w:ascii="宋体" w:hAnsi="宋体"/>
                <w:color w:val="auto"/>
                <w:szCs w:val="21"/>
                <w:highlight w:val="none"/>
              </w:rPr>
              <w:t>正本</w:t>
            </w:r>
            <w:r>
              <w:rPr>
                <w:rFonts w:hint="eastAsia" w:ascii="宋体" w:hAnsi="宋体" w:cs="Arial"/>
                <w:color w:val="auto"/>
                <w:szCs w:val="21"/>
                <w:highlight w:val="none"/>
                <w:u w:val="single"/>
              </w:rPr>
              <w:t>壹</w:t>
            </w:r>
            <w:r>
              <w:rPr>
                <w:rFonts w:hint="eastAsia" w:ascii="宋体" w:hAnsi="宋体"/>
                <w:color w:val="auto"/>
                <w:szCs w:val="21"/>
                <w:highlight w:val="none"/>
                <w:u w:val="single"/>
              </w:rPr>
              <w:t xml:space="preserve"> </w:t>
            </w:r>
            <w:r>
              <w:rPr>
                <w:rFonts w:hint="eastAsia" w:ascii="宋体" w:hAnsi="宋体"/>
                <w:color w:val="auto"/>
                <w:szCs w:val="21"/>
                <w:highlight w:val="none"/>
              </w:rPr>
              <w:t>份；副本</w:t>
            </w:r>
            <w:r>
              <w:rPr>
                <w:rFonts w:hint="eastAsia" w:ascii="宋体" w:hAnsi="宋体"/>
                <w:color w:val="auto"/>
                <w:szCs w:val="21"/>
                <w:highlight w:val="none"/>
                <w:u w:val="single"/>
              </w:rPr>
              <w:t xml:space="preserve"> 肆 </w:t>
            </w:r>
            <w:r>
              <w:rPr>
                <w:rFonts w:hint="eastAsia" w:ascii="宋体" w:hAnsi="宋体"/>
                <w:color w:val="auto"/>
                <w:szCs w:val="21"/>
                <w:highlight w:val="none"/>
              </w:rPr>
              <w:t>份,提供投标文件电子版光盘1份(光盘封面请注明项目名称、项目编号及投标人名称)。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color w:val="auto"/>
                <w:szCs w:val="21"/>
                <w:highlight w:val="none"/>
              </w:rPr>
            </w:pPr>
            <w:r>
              <w:rPr>
                <w:rFonts w:hint="eastAsia" w:ascii="宋体" w:hAnsi="宋体"/>
                <w:color w:val="auto"/>
                <w:szCs w:val="21"/>
                <w:highlight w:val="none"/>
              </w:rPr>
              <w:t>8</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宋体" w:hAnsi="宋体"/>
                <w:color w:val="auto"/>
                <w:szCs w:val="21"/>
                <w:highlight w:val="none"/>
              </w:rPr>
            </w:pPr>
            <w:r>
              <w:rPr>
                <w:rFonts w:hint="eastAsia" w:ascii="宋体" w:hAnsi="宋体"/>
                <w:color w:val="auto"/>
                <w:szCs w:val="21"/>
                <w:highlight w:val="none"/>
              </w:rPr>
              <w:t>投标截止时间及地点：</w:t>
            </w:r>
            <w:r>
              <w:rPr>
                <w:rFonts w:hint="eastAsia" w:ascii="宋体" w:hAnsi="宋体" w:cs="Arial"/>
                <w:b/>
                <w:color w:val="auto"/>
                <w:szCs w:val="21"/>
                <w:highlight w:val="none"/>
                <w:u w:val="single"/>
                <w:shd w:val="clear" w:color="auto" w:fill="FFFFFF"/>
              </w:rPr>
              <w:t>2020年</w:t>
            </w:r>
            <w:r>
              <w:rPr>
                <w:rFonts w:hint="eastAsia" w:ascii="宋体" w:hAnsi="宋体" w:cs="Arial"/>
                <w:b/>
                <w:color w:val="auto"/>
                <w:szCs w:val="21"/>
                <w:highlight w:val="none"/>
                <w:u w:val="single"/>
                <w:shd w:val="clear" w:color="auto" w:fill="FFFFFF"/>
                <w:lang w:val="en-US" w:eastAsia="zh-CN"/>
              </w:rPr>
              <w:t>7</w:t>
            </w:r>
            <w:r>
              <w:rPr>
                <w:rFonts w:hint="eastAsia" w:ascii="宋体" w:hAnsi="宋体" w:cs="Arial"/>
                <w:b/>
                <w:color w:val="auto"/>
                <w:szCs w:val="21"/>
                <w:highlight w:val="none"/>
                <w:u w:val="single"/>
                <w:shd w:val="clear" w:color="auto" w:fill="FFFFFF"/>
              </w:rPr>
              <w:t>月</w:t>
            </w:r>
            <w:r>
              <w:rPr>
                <w:rFonts w:hint="eastAsia" w:ascii="宋体" w:hAnsi="宋体" w:cs="Arial"/>
                <w:b/>
                <w:color w:val="auto"/>
                <w:szCs w:val="21"/>
                <w:highlight w:val="none"/>
                <w:u w:val="single"/>
                <w:shd w:val="clear" w:color="auto" w:fill="FFFFFF"/>
                <w:lang w:val="en-US" w:eastAsia="zh-CN"/>
              </w:rPr>
              <w:t>1</w:t>
            </w:r>
            <w:r>
              <w:rPr>
                <w:rFonts w:hint="eastAsia" w:ascii="宋体" w:hAnsi="宋体" w:cs="Arial"/>
                <w:b/>
                <w:color w:val="auto"/>
                <w:szCs w:val="21"/>
                <w:highlight w:val="none"/>
                <w:u w:val="single"/>
                <w:shd w:val="clear" w:color="auto" w:fill="FFFFFF"/>
              </w:rPr>
              <w:t>日</w:t>
            </w:r>
            <w:r>
              <w:rPr>
                <w:rFonts w:hint="eastAsia"/>
                <w:b/>
                <w:color w:val="auto"/>
                <w:highlight w:val="none"/>
              </w:rPr>
              <w:t>上午1</w:t>
            </w:r>
            <w:r>
              <w:rPr>
                <w:rFonts w:hint="eastAsia"/>
                <w:b/>
                <w:color w:val="auto"/>
                <w:highlight w:val="none"/>
                <w:lang w:val="en-US" w:eastAsia="zh-CN"/>
              </w:rPr>
              <w:t>0</w:t>
            </w:r>
            <w:r>
              <w:rPr>
                <w:rFonts w:hint="eastAsia"/>
                <w:b/>
                <w:color w:val="auto"/>
                <w:highlight w:val="none"/>
              </w:rPr>
              <w:t>时正，</w:t>
            </w:r>
            <w:r>
              <w:rPr>
                <w:rFonts w:hint="eastAsia" w:ascii="宋体" w:hAnsi="宋体" w:cs="Arial"/>
                <w:color w:val="auto"/>
                <w:szCs w:val="21"/>
                <w:highlight w:val="none"/>
              </w:rPr>
              <w:t>广西壮族自治区公共资源交易中心开标室（广西南宁市青秀区怡宾路6号自治区政务服务中心4楼）（具体开标室根据电子屏幕显示的安排）</w:t>
            </w:r>
            <w:r>
              <w:rPr>
                <w:rFonts w:hint="eastAsia"/>
                <w:b/>
                <w:color w:val="auto"/>
                <w:highlight w:val="none"/>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color w:val="auto"/>
                <w:szCs w:val="21"/>
                <w:highlight w:val="none"/>
              </w:rPr>
            </w:pPr>
            <w:r>
              <w:rPr>
                <w:rFonts w:hint="eastAsia" w:ascii="宋体" w:hAnsi="宋体"/>
                <w:color w:val="auto"/>
                <w:szCs w:val="21"/>
                <w:highlight w:val="none"/>
              </w:rPr>
              <w:t>9</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宋体" w:hAnsi="宋体"/>
                <w:color w:val="auto"/>
                <w:szCs w:val="21"/>
                <w:highlight w:val="none"/>
              </w:rPr>
            </w:pPr>
            <w:r>
              <w:rPr>
                <w:rFonts w:hint="eastAsia" w:ascii="宋体" w:hAnsi="宋体"/>
                <w:color w:val="auto"/>
                <w:szCs w:val="21"/>
                <w:highlight w:val="none"/>
              </w:rPr>
              <w:t>开标时间及地点：</w:t>
            </w:r>
            <w:r>
              <w:rPr>
                <w:rFonts w:hint="eastAsia" w:ascii="宋体" w:hAnsi="宋体" w:cs="Arial"/>
                <w:b/>
                <w:color w:val="auto"/>
                <w:szCs w:val="21"/>
                <w:highlight w:val="none"/>
                <w:u w:val="single"/>
                <w:shd w:val="clear" w:color="auto" w:fill="FFFFFF"/>
              </w:rPr>
              <w:t>2020年</w:t>
            </w:r>
            <w:r>
              <w:rPr>
                <w:rFonts w:hint="eastAsia" w:ascii="宋体" w:hAnsi="宋体" w:cs="Arial"/>
                <w:b/>
                <w:color w:val="auto"/>
                <w:szCs w:val="21"/>
                <w:highlight w:val="none"/>
                <w:u w:val="single"/>
                <w:shd w:val="clear" w:color="auto" w:fill="FFFFFF"/>
                <w:lang w:val="en-US" w:eastAsia="zh-CN"/>
              </w:rPr>
              <w:t>7</w:t>
            </w:r>
            <w:r>
              <w:rPr>
                <w:rFonts w:hint="eastAsia" w:ascii="宋体" w:hAnsi="宋体" w:cs="Arial"/>
                <w:b/>
                <w:color w:val="auto"/>
                <w:szCs w:val="21"/>
                <w:highlight w:val="none"/>
                <w:u w:val="single"/>
                <w:shd w:val="clear" w:color="auto" w:fill="FFFFFF"/>
              </w:rPr>
              <w:t>月</w:t>
            </w:r>
            <w:r>
              <w:rPr>
                <w:rFonts w:hint="eastAsia" w:ascii="宋体" w:hAnsi="宋体" w:cs="Arial"/>
                <w:b/>
                <w:color w:val="auto"/>
                <w:szCs w:val="21"/>
                <w:highlight w:val="none"/>
                <w:u w:val="single"/>
                <w:shd w:val="clear" w:color="auto" w:fill="FFFFFF"/>
                <w:lang w:val="en-US" w:eastAsia="zh-CN"/>
              </w:rPr>
              <w:t>1</w:t>
            </w:r>
            <w:r>
              <w:rPr>
                <w:rFonts w:hint="eastAsia" w:ascii="宋体" w:hAnsi="宋体" w:cs="Arial"/>
                <w:b/>
                <w:color w:val="auto"/>
                <w:szCs w:val="21"/>
                <w:highlight w:val="none"/>
                <w:u w:val="single"/>
                <w:shd w:val="clear" w:color="auto" w:fill="FFFFFF"/>
              </w:rPr>
              <w:t>日</w:t>
            </w:r>
            <w:r>
              <w:rPr>
                <w:rFonts w:hint="eastAsia"/>
                <w:b/>
                <w:color w:val="auto"/>
                <w:highlight w:val="none"/>
              </w:rPr>
              <w:t>上午1</w:t>
            </w:r>
            <w:r>
              <w:rPr>
                <w:rFonts w:hint="eastAsia"/>
                <w:b/>
                <w:color w:val="auto"/>
                <w:highlight w:val="none"/>
                <w:lang w:val="en-US" w:eastAsia="zh-CN"/>
              </w:rPr>
              <w:t>0</w:t>
            </w:r>
            <w:r>
              <w:rPr>
                <w:rFonts w:hint="eastAsia"/>
                <w:b/>
                <w:color w:val="auto"/>
                <w:highlight w:val="none"/>
              </w:rPr>
              <w:t>时正，</w:t>
            </w:r>
            <w:r>
              <w:rPr>
                <w:rFonts w:hint="eastAsia" w:ascii="宋体" w:hAnsi="宋体" w:cs="Arial"/>
                <w:color w:val="auto"/>
                <w:szCs w:val="21"/>
                <w:highlight w:val="none"/>
              </w:rPr>
              <w:t>广西壮族自治区公共资源交易中心开标室（广西南宁市青秀区怡宾路6号自治区政务服务中心4楼）（具体开标室根据电子屏幕显示的安排）</w:t>
            </w:r>
            <w:r>
              <w:rPr>
                <w:rFonts w:hint="eastAsia"/>
                <w:b/>
                <w:color w:val="auto"/>
                <w:highlight w:val="none"/>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color w:val="auto"/>
                <w:szCs w:val="21"/>
                <w:highlight w:val="none"/>
              </w:rPr>
            </w:pPr>
            <w:r>
              <w:rPr>
                <w:rFonts w:hint="eastAsia" w:ascii="宋体" w:hAnsi="宋体"/>
                <w:color w:val="auto"/>
                <w:szCs w:val="21"/>
                <w:highlight w:val="none"/>
              </w:rPr>
              <w:t>10</w:t>
            </w:r>
          </w:p>
        </w:tc>
        <w:tc>
          <w:tcPr>
            <w:tcW w:w="88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80" w:lineRule="exact"/>
              <w:textAlignment w:val="bottom"/>
              <w:rPr>
                <w:rFonts w:ascii="宋体" w:hAnsi="宋体"/>
                <w:color w:val="auto"/>
                <w:szCs w:val="21"/>
                <w:highlight w:val="none"/>
              </w:rPr>
            </w:pPr>
            <w:r>
              <w:rPr>
                <w:rFonts w:hint="eastAsia" w:ascii="宋体" w:hAnsi="宋体"/>
                <w:color w:val="auto"/>
                <w:szCs w:val="21"/>
                <w:highlight w:val="none"/>
              </w:rPr>
              <w:t>评标方法及评定标准：综合评分法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color w:val="auto"/>
                <w:szCs w:val="21"/>
                <w:highlight w:val="none"/>
              </w:rPr>
            </w:pPr>
            <w:r>
              <w:rPr>
                <w:rFonts w:hint="eastAsia" w:ascii="宋体" w:hAnsi="宋体"/>
                <w:color w:val="auto"/>
                <w:szCs w:val="21"/>
                <w:highlight w:val="none"/>
              </w:rPr>
              <w:t>11</w:t>
            </w:r>
          </w:p>
        </w:tc>
        <w:tc>
          <w:tcPr>
            <w:tcW w:w="88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80" w:lineRule="exact"/>
              <w:textAlignment w:val="bottom"/>
              <w:rPr>
                <w:rFonts w:ascii="宋体" w:hAnsi="宋体"/>
                <w:color w:val="auto"/>
                <w:szCs w:val="21"/>
                <w:highlight w:val="none"/>
              </w:rPr>
            </w:pPr>
            <w:r>
              <w:rPr>
                <w:rFonts w:hint="eastAsia" w:ascii="宋体" w:hAnsi="宋体"/>
                <w:color w:val="auto"/>
                <w:szCs w:val="21"/>
                <w:highlight w:val="none"/>
              </w:rPr>
              <w:t>中标公告及中标通知书：本公司在采购人依法确认中标人后二个工作日内发布中标公告和中标通知书，中标公告发布于上述媒体</w:t>
            </w:r>
            <w:r>
              <w:rPr>
                <w:rFonts w:hint="eastAsia" w:ascii="宋体" w:hAnsi="宋体" w:cs="Courier New"/>
                <w:color w:val="auto"/>
                <w:szCs w:val="21"/>
                <w:highlight w:val="none"/>
              </w:rPr>
              <w:t>（详细见公告中公布的网站）</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color w:val="auto"/>
                <w:szCs w:val="21"/>
                <w:highlight w:val="none"/>
              </w:rPr>
            </w:pPr>
            <w:r>
              <w:rPr>
                <w:rFonts w:hint="eastAsia" w:ascii="宋体" w:hAnsi="宋体"/>
                <w:color w:val="auto"/>
                <w:szCs w:val="21"/>
                <w:highlight w:val="none"/>
              </w:rPr>
              <w:t>12</w:t>
            </w:r>
          </w:p>
        </w:tc>
        <w:tc>
          <w:tcPr>
            <w:tcW w:w="88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80" w:lineRule="exact"/>
              <w:textAlignment w:val="bottom"/>
              <w:rPr>
                <w:rFonts w:ascii="宋体" w:hAnsi="宋体"/>
                <w:color w:val="auto"/>
                <w:szCs w:val="21"/>
                <w:highlight w:val="none"/>
              </w:rPr>
            </w:pPr>
            <w:r>
              <w:rPr>
                <w:rFonts w:hint="eastAsia" w:ascii="宋体" w:hAnsi="宋体"/>
                <w:color w:val="auto"/>
                <w:szCs w:val="21"/>
                <w:highlight w:val="none"/>
              </w:rPr>
              <w:t>投标保证金</w:t>
            </w:r>
            <w:r>
              <w:rPr>
                <w:rFonts w:hint="eastAsia" w:hAnsi="宋体"/>
                <w:color w:val="auto"/>
                <w:highlight w:val="none"/>
              </w:rPr>
              <w:t>交纳及</w:t>
            </w:r>
            <w:r>
              <w:rPr>
                <w:rFonts w:hint="eastAsia" w:ascii="宋体" w:hAnsi="宋体"/>
                <w:color w:val="auto"/>
                <w:szCs w:val="21"/>
                <w:highlight w:val="none"/>
              </w:rPr>
              <w:t>退还（不计息）：</w:t>
            </w:r>
            <w:r>
              <w:rPr>
                <w:rFonts w:hint="eastAsia" w:hAnsi="宋体" w:cs="Arial"/>
                <w:b/>
                <w:color w:val="auto"/>
                <w:highlight w:val="none"/>
              </w:rPr>
              <w:t>投标人应于公告规定的时间前</w:t>
            </w:r>
            <w:r>
              <w:rPr>
                <w:rFonts w:hint="eastAsia" w:hAnsi="宋体" w:cs="Arial"/>
                <w:color w:val="auto"/>
                <w:highlight w:val="none"/>
              </w:rPr>
              <w:t>将投标保证金以</w:t>
            </w:r>
            <w:r>
              <w:rPr>
                <w:rFonts w:ascii="宋体" w:hAnsi="宋体"/>
                <w:color w:val="auto"/>
                <w:szCs w:val="21"/>
                <w:highlight w:val="none"/>
                <w:u w:val="single"/>
              </w:rPr>
              <w:t>支票、汇票、本票</w:t>
            </w:r>
            <w:r>
              <w:rPr>
                <w:rFonts w:hint="eastAsia" w:ascii="宋体" w:hAnsi="宋体"/>
                <w:color w:val="auto"/>
                <w:szCs w:val="21"/>
                <w:highlight w:val="none"/>
                <w:u w:val="single"/>
              </w:rPr>
              <w:t>、</w:t>
            </w:r>
            <w:r>
              <w:rPr>
                <w:rFonts w:hint="eastAsia" w:hAnsi="宋体" w:cs="Arial"/>
                <w:bCs/>
                <w:color w:val="auto"/>
                <w:highlight w:val="none"/>
                <w:u w:val="single"/>
              </w:rPr>
              <w:t>网上银行等非现金</w:t>
            </w:r>
            <w:r>
              <w:rPr>
                <w:rFonts w:hint="eastAsia" w:hAnsi="宋体" w:cs="Arial"/>
                <w:color w:val="auto"/>
                <w:highlight w:val="none"/>
              </w:rPr>
              <w:t>形式转至本公司</w:t>
            </w:r>
            <w:r>
              <w:rPr>
                <w:rFonts w:hint="eastAsia"/>
                <w:b/>
                <w:bCs/>
                <w:color w:val="auto"/>
                <w:highlight w:val="none"/>
              </w:rPr>
              <w:t>账户</w:t>
            </w:r>
            <w:r>
              <w:rPr>
                <w:rFonts w:hint="eastAsia" w:hAnsi="宋体" w:cs="Arial"/>
                <w:color w:val="auto"/>
                <w:highlight w:val="none"/>
              </w:rPr>
              <w:t>。除招标文件规定不予退还保证金的情形外，中</w:t>
            </w:r>
            <w:r>
              <w:rPr>
                <w:rFonts w:hint="eastAsia" w:ascii="宋体" w:hAnsi="宋体"/>
                <w:color w:val="auto"/>
                <w:szCs w:val="21"/>
                <w:highlight w:val="none"/>
              </w:rPr>
              <w:t>标通知书发布后五个工作日内退还未中标投标人的投标保证金，</w:t>
            </w:r>
            <w:r>
              <w:rPr>
                <w:rFonts w:ascii="宋体" w:hAnsi="宋体"/>
                <w:b/>
                <w:color w:val="auto"/>
                <w:szCs w:val="21"/>
                <w:highlight w:val="none"/>
              </w:rPr>
              <w:t>自政府采购合同签订之日起</w:t>
            </w:r>
            <w:r>
              <w:rPr>
                <w:rFonts w:hint="eastAsia" w:ascii="宋体" w:hAnsi="宋体"/>
                <w:b/>
                <w:color w:val="auto"/>
                <w:szCs w:val="21"/>
                <w:highlight w:val="none"/>
              </w:rPr>
              <w:t>五</w:t>
            </w:r>
            <w:r>
              <w:rPr>
                <w:rFonts w:ascii="宋体" w:hAnsi="宋体"/>
                <w:b/>
                <w:color w:val="auto"/>
                <w:szCs w:val="21"/>
                <w:highlight w:val="none"/>
              </w:rPr>
              <w:t>个工作日内</w:t>
            </w:r>
            <w:r>
              <w:rPr>
                <w:rFonts w:hint="eastAsia" w:ascii="宋体" w:hAnsi="宋体"/>
                <w:b/>
                <w:color w:val="auto"/>
                <w:szCs w:val="21"/>
                <w:highlight w:val="none"/>
              </w:rPr>
              <w:t>（合同签订后送达本公司)</w:t>
            </w:r>
            <w:r>
              <w:rPr>
                <w:rFonts w:ascii="宋体" w:hAnsi="宋体"/>
                <w:b/>
                <w:color w:val="auto"/>
                <w:szCs w:val="21"/>
                <w:highlight w:val="none"/>
              </w:rPr>
              <w:t>退还中标供应商的投标保证金</w:t>
            </w:r>
            <w:r>
              <w:rPr>
                <w:rFonts w:ascii="宋体" w:hAnsi="宋体"/>
                <w:color w:val="auto"/>
                <w:szCs w:val="21"/>
                <w:highlight w:val="none"/>
              </w:rPr>
              <w:t>。</w:t>
            </w:r>
            <w:r>
              <w:rPr>
                <w:rFonts w:hint="eastAsia" w:ascii="宋体" w:hAnsi="宋体"/>
                <w:color w:val="auto"/>
                <w:szCs w:val="21"/>
                <w:highlight w:val="none"/>
              </w:rPr>
              <w:t>投标人在项目开标当天将投标保证金转账凭证复印件壹份交到本公司财务室，</w:t>
            </w:r>
            <w:r>
              <w:rPr>
                <w:color w:val="auto"/>
                <w:highlight w:val="none"/>
              </w:rPr>
              <w:t>广西国栋招标有限公司</w:t>
            </w:r>
            <w:r>
              <w:rPr>
                <w:rFonts w:hint="eastAsia"/>
                <w:color w:val="auto"/>
                <w:highlight w:val="none"/>
              </w:rPr>
              <w:t>将按有关规定</w:t>
            </w:r>
            <w:r>
              <w:rPr>
                <w:rFonts w:hint="eastAsia" w:ascii="宋体" w:hAnsi="宋体"/>
                <w:color w:val="auto"/>
                <w:szCs w:val="21"/>
                <w:highlight w:val="none"/>
              </w:rPr>
              <w:t>退还投标人的投标保证金。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color w:val="auto"/>
                <w:szCs w:val="21"/>
                <w:highlight w:val="none"/>
              </w:rPr>
            </w:pPr>
            <w:r>
              <w:rPr>
                <w:rFonts w:hint="eastAsia" w:ascii="宋体" w:hAnsi="宋体"/>
                <w:color w:val="auto"/>
                <w:szCs w:val="21"/>
                <w:highlight w:val="none"/>
              </w:rPr>
              <w:t>13</w:t>
            </w:r>
          </w:p>
        </w:tc>
        <w:tc>
          <w:tcPr>
            <w:tcW w:w="882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napToGrid w:val="0"/>
              <w:spacing w:before="100" w:beforeAutospacing="1" w:after="100" w:afterAutospacing="1" w:line="340" w:lineRule="exact"/>
              <w:rPr>
                <w:rFonts w:hAnsi="宋体"/>
                <w:color w:val="auto"/>
                <w:highlight w:val="none"/>
              </w:rPr>
            </w:pPr>
            <w:r>
              <w:rPr>
                <w:rFonts w:hint="eastAsia" w:ascii="宋体" w:hAnsi="宋体"/>
                <w:b/>
                <w:color w:val="auto"/>
                <w:szCs w:val="21"/>
                <w:highlight w:val="none"/>
              </w:rPr>
              <w:t>履约保证金</w:t>
            </w:r>
            <w:r>
              <w:rPr>
                <w:rFonts w:hint="eastAsia" w:ascii="宋体" w:hAnsi="宋体"/>
                <w:color w:val="auto"/>
                <w:szCs w:val="21"/>
                <w:highlight w:val="none"/>
              </w:rPr>
              <w:t>:</w:t>
            </w:r>
            <w:r>
              <w:rPr>
                <w:rFonts w:hint="eastAsia" w:ascii="宋体" w:hAnsi="宋体" w:cs="Arial"/>
                <w:b/>
                <w:color w:val="auto"/>
                <w:szCs w:val="21"/>
                <w:highlight w:val="none"/>
                <w:shd w:val="clear" w:color="auto" w:fill="FFFFFF"/>
              </w:rPr>
              <w:t xml:space="preserve"> 在签订合同前，中标供应商一次性支付给采购方壹拾万元整作为履约保证金，在履约服务期（三年）满后无履约问题，一个月内无息退还。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color w:val="auto"/>
                <w:szCs w:val="21"/>
                <w:highlight w:val="none"/>
              </w:rPr>
            </w:pPr>
            <w:r>
              <w:rPr>
                <w:rFonts w:hint="eastAsia" w:ascii="宋体" w:hAnsi="宋体"/>
                <w:color w:val="auto"/>
                <w:szCs w:val="21"/>
                <w:highlight w:val="none"/>
              </w:rPr>
              <w:t>14</w:t>
            </w:r>
          </w:p>
        </w:tc>
        <w:tc>
          <w:tcPr>
            <w:tcW w:w="88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80" w:lineRule="exact"/>
              <w:textAlignment w:val="bottom"/>
              <w:rPr>
                <w:rFonts w:ascii="宋体" w:hAnsi="宋体"/>
                <w:color w:val="auto"/>
                <w:szCs w:val="21"/>
                <w:highlight w:val="none"/>
              </w:rPr>
            </w:pPr>
            <w:r>
              <w:rPr>
                <w:rFonts w:hint="eastAsia" w:ascii="宋体" w:hAnsi="宋体"/>
                <w:color w:val="auto"/>
                <w:szCs w:val="21"/>
                <w:highlight w:val="none"/>
              </w:rPr>
              <w:t>签订合同时间：（1）自中标通知书发出之日起三十日内；（2）按招标项目采购需求中“</w:t>
            </w:r>
            <w:r>
              <w:rPr>
                <w:rFonts w:hint="eastAsia"/>
                <w:color w:val="auto"/>
                <w:szCs w:val="21"/>
                <w:highlight w:val="none"/>
              </w:rPr>
              <w:t>关于签订合同的补充说明</w:t>
            </w:r>
            <w:r>
              <w:rPr>
                <w:rFonts w:hint="eastAsia" w:ascii="宋体" w:hAnsi="宋体"/>
                <w:color w:val="auto"/>
                <w:szCs w:val="21"/>
                <w:highlight w:val="none"/>
              </w:rPr>
              <w:t>”约定执行。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color w:val="auto"/>
                <w:szCs w:val="21"/>
                <w:highlight w:val="none"/>
              </w:rPr>
            </w:pPr>
            <w:r>
              <w:rPr>
                <w:rFonts w:hint="eastAsia" w:ascii="宋体" w:hAnsi="宋体"/>
                <w:color w:val="auto"/>
                <w:szCs w:val="21"/>
                <w:highlight w:val="none"/>
              </w:rPr>
              <w:t>15</w:t>
            </w:r>
          </w:p>
        </w:tc>
        <w:tc>
          <w:tcPr>
            <w:tcW w:w="88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80" w:lineRule="exact"/>
              <w:textAlignment w:val="bottom"/>
              <w:rPr>
                <w:rFonts w:ascii="宋体" w:hAnsi="宋体"/>
                <w:color w:val="auto"/>
                <w:szCs w:val="21"/>
                <w:highlight w:val="none"/>
              </w:rPr>
            </w:pPr>
            <w:r>
              <w:rPr>
                <w:rFonts w:hint="eastAsia" w:ascii="宋体" w:hAnsi="宋体"/>
                <w:color w:val="auto"/>
                <w:szCs w:val="21"/>
                <w:highlight w:val="none"/>
              </w:rPr>
              <w:t>采购资金来源：</w:t>
            </w:r>
            <w:r>
              <w:rPr>
                <w:rFonts w:hint="eastAsia" w:ascii="宋体" w:hAnsi="宋体"/>
                <w:b/>
                <w:color w:val="auto"/>
                <w:szCs w:val="21"/>
                <w:highlight w:val="none"/>
              </w:rPr>
              <w:t>财政性资金。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color w:val="auto"/>
                <w:szCs w:val="21"/>
                <w:highlight w:val="none"/>
              </w:rPr>
            </w:pPr>
            <w:r>
              <w:rPr>
                <w:rFonts w:hint="eastAsia" w:ascii="宋体" w:hAnsi="宋体"/>
                <w:color w:val="auto"/>
                <w:szCs w:val="21"/>
                <w:highlight w:val="none"/>
              </w:rPr>
              <w:t>16</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宋体" w:hAnsi="宋体"/>
                <w:color w:val="auto"/>
                <w:szCs w:val="21"/>
                <w:highlight w:val="none"/>
              </w:rPr>
            </w:pPr>
            <w:r>
              <w:rPr>
                <w:rFonts w:hint="eastAsia" w:ascii="宋体" w:hAnsi="宋体"/>
                <w:color w:val="auto"/>
                <w:szCs w:val="21"/>
                <w:highlight w:val="none"/>
              </w:rPr>
              <w:t>付款方式：采购人自行支付。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color w:val="auto"/>
                <w:szCs w:val="21"/>
                <w:highlight w:val="none"/>
              </w:rPr>
            </w:pPr>
            <w:r>
              <w:rPr>
                <w:rFonts w:hint="eastAsia" w:ascii="宋体" w:hAnsi="宋体"/>
                <w:color w:val="auto"/>
                <w:szCs w:val="21"/>
                <w:highlight w:val="none"/>
              </w:rPr>
              <w:t>17</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宋体" w:hAnsi="宋体"/>
                <w:color w:val="auto"/>
                <w:szCs w:val="21"/>
                <w:highlight w:val="none"/>
              </w:rPr>
            </w:pPr>
            <w:r>
              <w:rPr>
                <w:rFonts w:hint="eastAsia" w:ascii="宋体" w:hAnsi="宋体"/>
                <w:color w:val="auto"/>
                <w:szCs w:val="21"/>
                <w:highlight w:val="none"/>
              </w:rPr>
              <w:t>投标文件有效期：</w:t>
            </w:r>
            <w:r>
              <w:rPr>
                <w:rFonts w:hint="eastAsia" w:ascii="宋体" w:hAnsi="宋体" w:cs="Arial"/>
                <w:color w:val="auto"/>
                <w:szCs w:val="21"/>
                <w:highlight w:val="none"/>
                <w:u w:val="single"/>
              </w:rPr>
              <w:t xml:space="preserve"> 六十日。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color w:val="auto"/>
                <w:szCs w:val="21"/>
                <w:highlight w:val="none"/>
              </w:rPr>
            </w:pPr>
            <w:r>
              <w:rPr>
                <w:rFonts w:hint="eastAsia" w:ascii="宋体" w:hAnsi="宋体"/>
                <w:color w:val="auto"/>
                <w:szCs w:val="21"/>
                <w:highlight w:val="none"/>
              </w:rPr>
              <w:t>18</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宋体" w:hAnsi="宋体"/>
                <w:color w:val="auto"/>
                <w:szCs w:val="21"/>
                <w:highlight w:val="none"/>
              </w:rPr>
            </w:pPr>
            <w:r>
              <w:rPr>
                <w:rFonts w:hint="eastAsia" w:hAnsi="宋体"/>
                <w:color w:val="auto"/>
                <w:highlight w:val="none"/>
              </w:rPr>
              <w:t>本招标文件解释权属广西国栋招标有限公司。</w:t>
            </w:r>
          </w:p>
        </w:tc>
      </w:tr>
    </w:tbl>
    <w:p>
      <w:pPr>
        <w:pStyle w:val="26"/>
        <w:snapToGrid w:val="0"/>
        <w:spacing w:before="120" w:after="120" w:line="360" w:lineRule="exact"/>
        <w:jc w:val="center"/>
        <w:rPr>
          <w:rFonts w:hAnsi="宋体"/>
          <w:b/>
          <w:color w:val="auto"/>
          <w:highlight w:val="none"/>
        </w:rPr>
      </w:pPr>
      <w:r>
        <w:rPr>
          <w:rFonts w:ascii="仿宋_GB2312" w:hAnsi="宋体" w:eastAsia="仿宋_GB2312"/>
          <w:b/>
          <w:color w:val="auto"/>
          <w:sz w:val="32"/>
          <w:szCs w:val="32"/>
          <w:highlight w:val="none"/>
        </w:rPr>
        <w:br w:type="page"/>
      </w:r>
      <w:r>
        <w:rPr>
          <w:rFonts w:hint="eastAsia" w:ascii="仿宋_GB2312" w:hAnsi="宋体" w:eastAsia="仿宋_GB2312"/>
          <w:b/>
          <w:color w:val="auto"/>
          <w:sz w:val="32"/>
          <w:szCs w:val="32"/>
          <w:highlight w:val="none"/>
        </w:rPr>
        <w:t>投标人须知</w:t>
      </w:r>
    </w:p>
    <w:p>
      <w:pPr>
        <w:pStyle w:val="26"/>
        <w:snapToGrid w:val="0"/>
        <w:spacing w:before="120" w:after="120" w:line="440" w:lineRule="exact"/>
        <w:rPr>
          <w:rFonts w:hAnsi="宋体"/>
          <w:b/>
          <w:color w:val="auto"/>
          <w:highlight w:val="none"/>
        </w:rPr>
      </w:pPr>
      <w:r>
        <w:rPr>
          <w:rFonts w:hint="eastAsia" w:hAnsi="宋体"/>
          <w:b/>
          <w:color w:val="auto"/>
          <w:highlight w:val="none"/>
        </w:rPr>
        <w:t>一、总  则</w:t>
      </w:r>
    </w:p>
    <w:p>
      <w:pPr>
        <w:snapToGrid w:val="0"/>
        <w:spacing w:line="440" w:lineRule="exact"/>
        <w:ind w:firstLine="413" w:firstLineChars="196"/>
        <w:jc w:val="left"/>
        <w:outlineLvl w:val="0"/>
        <w:rPr>
          <w:rFonts w:ascii="宋体" w:hAnsi="宋体"/>
          <w:b/>
          <w:color w:val="auto"/>
          <w:szCs w:val="21"/>
          <w:highlight w:val="none"/>
        </w:rPr>
      </w:pPr>
      <w:bookmarkStart w:id="2" w:name="_Toc254970668"/>
      <w:bookmarkStart w:id="3" w:name="_Toc254970527"/>
      <w:r>
        <w:rPr>
          <w:rFonts w:hint="eastAsia" w:ascii="宋体" w:hAnsi="宋体"/>
          <w:b/>
          <w:color w:val="auto"/>
          <w:szCs w:val="21"/>
          <w:highlight w:val="none"/>
        </w:rPr>
        <w:t>（一） 适用范围</w:t>
      </w:r>
      <w:bookmarkEnd w:id="2"/>
      <w:bookmarkEnd w:id="3"/>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本招标文件适用于</w:t>
      </w:r>
      <w:r>
        <w:rPr>
          <w:rFonts w:hint="eastAsia" w:ascii="宋体" w:hAnsi="宋体"/>
          <w:bCs/>
          <w:color w:val="auto"/>
          <w:szCs w:val="21"/>
          <w:highlight w:val="none"/>
        </w:rPr>
        <w:t>本</w:t>
      </w:r>
      <w:r>
        <w:rPr>
          <w:rFonts w:hint="eastAsia" w:ascii="宋体" w:hAnsi="宋体"/>
          <w:color w:val="auto"/>
          <w:szCs w:val="21"/>
          <w:highlight w:val="none"/>
        </w:rPr>
        <w:t>项目的招标、投标、评标、定标、验收、合同履约、付款等行为（法律、法规另有规定的，从其规定）。</w:t>
      </w:r>
    </w:p>
    <w:p>
      <w:pPr>
        <w:snapToGrid w:val="0"/>
        <w:spacing w:beforeLines="50" w:line="360" w:lineRule="exact"/>
        <w:ind w:firstLine="310" w:firstLineChars="147"/>
        <w:jc w:val="left"/>
        <w:outlineLvl w:val="0"/>
        <w:rPr>
          <w:rFonts w:ascii="宋体" w:hAnsi="宋体"/>
          <w:b/>
          <w:color w:val="auto"/>
          <w:szCs w:val="21"/>
          <w:highlight w:val="none"/>
        </w:rPr>
      </w:pPr>
      <w:bookmarkStart w:id="4" w:name="_Toc254970669"/>
      <w:bookmarkStart w:id="5" w:name="_Toc254970528"/>
      <w:bookmarkStart w:id="6" w:name="_Toc254970689"/>
      <w:bookmarkStart w:id="7" w:name="_Toc254970548"/>
      <w:r>
        <w:rPr>
          <w:rFonts w:hint="eastAsia" w:ascii="宋体" w:hAnsi="宋体"/>
          <w:b/>
          <w:color w:val="auto"/>
          <w:szCs w:val="21"/>
          <w:highlight w:val="none"/>
        </w:rPr>
        <w:t>（二）定义</w:t>
      </w:r>
      <w:bookmarkEnd w:id="4"/>
      <w:bookmarkEnd w:id="5"/>
    </w:p>
    <w:p>
      <w:pPr>
        <w:snapToGrid w:val="0"/>
        <w:spacing w:line="360" w:lineRule="exact"/>
        <w:ind w:firstLine="420" w:firstLineChars="200"/>
        <w:jc w:val="left"/>
        <w:rPr>
          <w:rFonts w:hAnsi="宋体"/>
          <w:color w:val="auto"/>
          <w:highlight w:val="none"/>
        </w:rPr>
      </w:pPr>
      <w:bookmarkStart w:id="8" w:name="_Toc254970529"/>
      <w:bookmarkStart w:id="9" w:name="_Toc254970670"/>
      <w:r>
        <w:rPr>
          <w:rFonts w:hint="eastAsia" w:ascii="宋体" w:hAnsi="宋体"/>
          <w:color w:val="auto"/>
          <w:szCs w:val="21"/>
          <w:highlight w:val="none"/>
        </w:rPr>
        <w:t>1.</w:t>
      </w:r>
      <w:r>
        <w:rPr>
          <w:rFonts w:hint="eastAsia" w:hAnsi="宋体"/>
          <w:color w:val="auto"/>
          <w:highlight w:val="none"/>
        </w:rPr>
        <w:t xml:space="preserve"> “采购人”系指组织本次招标的采购单位。</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hAnsi="宋体"/>
          <w:color w:val="auto"/>
          <w:highlight w:val="none"/>
        </w:rPr>
        <w:t xml:space="preserve"> “采购代理机构”系指广西国栋招标有限公司（以下简称“本公司）。</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hint="eastAsia" w:hAnsi="宋体"/>
          <w:color w:val="auto"/>
          <w:highlight w:val="none"/>
        </w:rPr>
        <w:t xml:space="preserve"> “投标人”系指响应招标、参加投标竞争的法人、其他组织或者自然人。</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4.“产品”系指供方按招标文件规定，须向采购人提供的一切设备、保险、税金、备品备件、工具、手册及其它有关技术资料和材料。</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5.“服务”系指招标文件规定投标人须承担的安装、调试、技术协助、校准、培训、技术指导以及其他类似的义务。</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6.“项目”系指投标人按招标文件规定向采购人提供的产品和服务。</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7.“书面形式”包括信函、传真、电报等。</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8.“▲”系指实质性要求条款。</w:t>
      </w:r>
    </w:p>
    <w:p>
      <w:pPr>
        <w:snapToGrid w:val="0"/>
        <w:spacing w:beforeLines="50" w:line="360" w:lineRule="exact"/>
        <w:ind w:firstLine="413" w:firstLineChars="196"/>
        <w:jc w:val="left"/>
        <w:outlineLvl w:val="1"/>
        <w:rPr>
          <w:rFonts w:ascii="宋体" w:hAnsi="宋体"/>
          <w:b/>
          <w:color w:val="auto"/>
          <w:szCs w:val="21"/>
          <w:highlight w:val="none"/>
        </w:rPr>
      </w:pPr>
      <w:r>
        <w:rPr>
          <w:rFonts w:hint="eastAsia" w:ascii="宋体" w:hAnsi="宋体"/>
          <w:b/>
          <w:color w:val="auto"/>
          <w:szCs w:val="21"/>
          <w:highlight w:val="none"/>
        </w:rPr>
        <w:t>（三）招标方式</w:t>
      </w:r>
      <w:bookmarkEnd w:id="8"/>
      <w:bookmarkEnd w:id="9"/>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公开招标方式。</w:t>
      </w:r>
    </w:p>
    <w:p>
      <w:pPr>
        <w:snapToGrid w:val="0"/>
        <w:spacing w:beforeLines="50" w:line="360" w:lineRule="exact"/>
        <w:ind w:firstLine="413" w:firstLineChars="196"/>
        <w:jc w:val="left"/>
        <w:outlineLvl w:val="0"/>
        <w:rPr>
          <w:rFonts w:ascii="宋体" w:hAnsi="宋体"/>
          <w:b/>
          <w:color w:val="auto"/>
          <w:szCs w:val="21"/>
          <w:highlight w:val="none"/>
        </w:rPr>
      </w:pPr>
      <w:bookmarkStart w:id="10" w:name="_Toc254970530"/>
      <w:bookmarkStart w:id="11" w:name="_Toc254970671"/>
      <w:r>
        <w:rPr>
          <w:rFonts w:hint="eastAsia" w:ascii="宋体" w:hAnsi="宋体"/>
          <w:b/>
          <w:color w:val="auto"/>
          <w:szCs w:val="21"/>
          <w:highlight w:val="none"/>
        </w:rPr>
        <w:t>（四）投标委托</w:t>
      </w:r>
      <w:bookmarkEnd w:id="10"/>
      <w:bookmarkEnd w:id="11"/>
    </w:p>
    <w:p>
      <w:pPr>
        <w:pStyle w:val="20"/>
        <w:snapToGrid w:val="0"/>
        <w:spacing w:line="360" w:lineRule="exact"/>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投标人代表须携带有效身份证件。如投标人代表不是法定代表人，须有法定代表人出具的授权委托书（正本用原件，副本用复印件，格式见第六章《投标文件格式》）。</w:t>
      </w:r>
    </w:p>
    <w:p>
      <w:pPr>
        <w:snapToGrid w:val="0"/>
        <w:spacing w:beforeLines="50" w:line="360" w:lineRule="exact"/>
        <w:ind w:firstLine="413" w:firstLineChars="196"/>
        <w:jc w:val="left"/>
        <w:outlineLvl w:val="0"/>
        <w:rPr>
          <w:rFonts w:ascii="宋体" w:hAnsi="宋体"/>
          <w:b/>
          <w:color w:val="auto"/>
          <w:szCs w:val="21"/>
          <w:highlight w:val="none"/>
        </w:rPr>
      </w:pPr>
      <w:bookmarkStart w:id="12" w:name="_Toc254970531"/>
      <w:bookmarkStart w:id="13" w:name="_Toc254970672"/>
      <w:r>
        <w:rPr>
          <w:rFonts w:hint="eastAsia" w:ascii="宋体" w:hAnsi="宋体"/>
          <w:b/>
          <w:color w:val="auto"/>
          <w:szCs w:val="21"/>
          <w:highlight w:val="none"/>
        </w:rPr>
        <w:t>（五）投标费用</w:t>
      </w:r>
      <w:bookmarkEnd w:id="12"/>
      <w:bookmarkEnd w:id="13"/>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投标人均应自行承担所有与投标有关的全部费用（招标文件有相关的规定除外）。</w:t>
      </w:r>
    </w:p>
    <w:p>
      <w:pPr>
        <w:snapToGrid w:val="0"/>
        <w:spacing w:beforeLines="50" w:line="360" w:lineRule="exact"/>
        <w:ind w:firstLine="413" w:firstLineChars="196"/>
        <w:jc w:val="left"/>
        <w:outlineLvl w:val="0"/>
        <w:rPr>
          <w:rFonts w:ascii="宋体" w:hAnsi="宋体"/>
          <w:b/>
          <w:color w:val="auto"/>
          <w:szCs w:val="21"/>
          <w:highlight w:val="none"/>
        </w:rPr>
      </w:pPr>
      <w:r>
        <w:rPr>
          <w:rFonts w:hint="eastAsia" w:ascii="宋体" w:hAnsi="宋体"/>
          <w:b/>
          <w:color w:val="auto"/>
          <w:szCs w:val="21"/>
          <w:highlight w:val="none"/>
        </w:rPr>
        <w:t>（六）本项目不接受联合体投标</w:t>
      </w:r>
    </w:p>
    <w:p>
      <w:pPr>
        <w:snapToGrid w:val="0"/>
        <w:spacing w:beforeLines="50" w:line="360" w:lineRule="exact"/>
        <w:ind w:firstLine="413" w:firstLineChars="196"/>
        <w:outlineLvl w:val="0"/>
        <w:rPr>
          <w:rFonts w:ascii="宋体" w:hAnsi="宋体" w:cs="宋体"/>
          <w:b/>
          <w:color w:val="auto"/>
          <w:kern w:val="0"/>
          <w:szCs w:val="21"/>
          <w:highlight w:val="none"/>
        </w:rPr>
      </w:pPr>
      <w:r>
        <w:rPr>
          <w:rFonts w:hint="eastAsia" w:ascii="宋体" w:hAnsi="宋体"/>
          <w:b/>
          <w:color w:val="auto"/>
          <w:szCs w:val="21"/>
          <w:highlight w:val="none"/>
        </w:rPr>
        <w:t>（七）</w:t>
      </w:r>
      <w:r>
        <w:rPr>
          <w:rFonts w:hint="eastAsia" w:ascii="宋体" w:hAnsi="宋体" w:cs="宋体"/>
          <w:b/>
          <w:color w:val="auto"/>
          <w:kern w:val="0"/>
          <w:szCs w:val="21"/>
          <w:highlight w:val="none"/>
        </w:rPr>
        <w:t xml:space="preserve">转包与分包             </w:t>
      </w:r>
    </w:p>
    <w:p>
      <w:pPr>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1.本项目不允许转包。</w:t>
      </w:r>
    </w:p>
    <w:p>
      <w:pPr>
        <w:snapToGrid w:val="0"/>
        <w:spacing w:line="360" w:lineRule="exact"/>
        <w:ind w:firstLine="420" w:firstLineChars="200"/>
        <w:rPr>
          <w:rFonts w:ascii="宋体" w:hAnsi="宋体"/>
          <w:color w:val="auto"/>
          <w:szCs w:val="21"/>
          <w:highlight w:val="none"/>
        </w:rPr>
      </w:pPr>
      <w:r>
        <w:rPr>
          <w:rFonts w:hint="eastAsia" w:ascii="宋体" w:hAnsi="宋体" w:cs="宋体"/>
          <w:color w:val="auto"/>
          <w:kern w:val="0"/>
          <w:szCs w:val="21"/>
          <w:highlight w:val="none"/>
        </w:rPr>
        <w:t>2.本项目不可以分包。</w:t>
      </w:r>
    </w:p>
    <w:p>
      <w:pPr>
        <w:snapToGrid w:val="0"/>
        <w:spacing w:beforeLines="50" w:line="360" w:lineRule="exact"/>
        <w:ind w:firstLine="413" w:firstLineChars="196"/>
        <w:jc w:val="left"/>
        <w:outlineLvl w:val="0"/>
        <w:rPr>
          <w:rFonts w:ascii="宋体" w:hAnsi="宋体"/>
          <w:color w:val="auto"/>
          <w:szCs w:val="21"/>
          <w:highlight w:val="none"/>
        </w:rPr>
      </w:pPr>
      <w:bookmarkStart w:id="14" w:name="_Toc254970532"/>
      <w:bookmarkStart w:id="15" w:name="_Toc254970673"/>
      <w:r>
        <w:rPr>
          <w:rFonts w:hint="eastAsia" w:ascii="宋体" w:hAnsi="宋体"/>
          <w:b/>
          <w:color w:val="auto"/>
          <w:szCs w:val="21"/>
          <w:highlight w:val="none"/>
        </w:rPr>
        <w:t>（八）特别说明：</w:t>
      </w:r>
      <w:bookmarkEnd w:id="14"/>
      <w:bookmarkEnd w:id="15"/>
    </w:p>
    <w:p>
      <w:pPr>
        <w:pStyle w:val="26"/>
        <w:snapToGrid w:val="0"/>
        <w:spacing w:line="360" w:lineRule="exact"/>
        <w:ind w:left="2" w:leftChars="1" w:firstLine="420" w:firstLineChars="200"/>
        <w:rPr>
          <w:rFonts w:hAnsi="宋体" w:cs="Times New Roman"/>
          <w:color w:val="auto"/>
          <w:highlight w:val="none"/>
        </w:rPr>
      </w:pPr>
      <w:r>
        <w:rPr>
          <w:rFonts w:hint="eastAsia" w:hAnsi="宋体" w:cs="Times New Roman"/>
          <w:color w:val="auto"/>
          <w:highlight w:val="none"/>
        </w:rPr>
        <w:t>▲1.单位负责人为同一人或者存在直接控股、管理关系的不同供应商，不得参加同一合同项下的政府采购活动。</w:t>
      </w:r>
    </w:p>
    <w:p>
      <w:pPr>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color w:val="auto"/>
          <w:highlight w:val="none"/>
        </w:rPr>
        <w:t xml:space="preserve"> </w:t>
      </w:r>
      <w:r>
        <w:rPr>
          <w:rFonts w:hint="eastAsia" w:ascii="宋体" w:hAnsi="宋体"/>
          <w:color w:val="auto"/>
          <w:szCs w:val="21"/>
          <w:highlight w:val="none"/>
        </w:rPr>
        <w:t>使用综合评分法的采购项目，</w:t>
      </w:r>
      <w:r>
        <w:rPr>
          <w:rFonts w:hint="eastAsia"/>
          <w:color w:val="auto"/>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评标方法及评定标准》中的推荐原则确定一个投标人获得中标人推荐资格，其他同品牌投标人不作为中标候选人。</w:t>
      </w:r>
    </w:p>
    <w:p>
      <w:pPr>
        <w:pStyle w:val="26"/>
        <w:snapToGrid w:val="0"/>
        <w:spacing w:line="360" w:lineRule="exact"/>
        <w:ind w:left="2" w:leftChars="1" w:firstLine="420" w:firstLineChars="200"/>
        <w:rPr>
          <w:rFonts w:hAnsi="宋体" w:cs="Times New Roman"/>
          <w:color w:val="auto"/>
          <w:highlight w:val="none"/>
        </w:rPr>
      </w:pPr>
      <w:r>
        <w:rPr>
          <w:rFonts w:hint="eastAsia" w:hAnsi="宋体" w:cs="Times New Roman"/>
          <w:color w:val="auto"/>
          <w:highlight w:val="none"/>
        </w:rPr>
        <w:t>非单一产品采购项目中，多家投标人提供的招标文件中载明的核心产品品牌相同的，视为提供相同品牌产品。</w:t>
      </w:r>
    </w:p>
    <w:p>
      <w:pPr>
        <w:pStyle w:val="26"/>
        <w:snapToGrid w:val="0"/>
        <w:spacing w:line="360" w:lineRule="exact"/>
        <w:ind w:left="2" w:leftChars="1" w:firstLine="420" w:firstLineChars="200"/>
        <w:rPr>
          <w:rFonts w:hAnsi="宋体" w:cs="Times New Roman"/>
          <w:color w:val="auto"/>
          <w:highlight w:val="none"/>
        </w:rPr>
      </w:pPr>
      <w:r>
        <w:rPr>
          <w:rFonts w:hint="eastAsia" w:hAnsi="宋体" w:cs="Times New Roman"/>
          <w:color w:val="auto"/>
          <w:highlight w:val="none"/>
        </w:rPr>
        <w:t>▲3.生产厂商授权给供应商后自己不得参加同一合同项下的政府采购活动；生产厂商对同一品牌同一型号的货物，仅能委托一个代理商参加投标。</w:t>
      </w:r>
    </w:p>
    <w:p>
      <w:pPr>
        <w:pStyle w:val="26"/>
        <w:snapToGrid w:val="0"/>
        <w:spacing w:line="360" w:lineRule="exact"/>
        <w:ind w:left="2" w:leftChars="1" w:firstLine="420" w:firstLineChars="200"/>
        <w:rPr>
          <w:rFonts w:hAnsi="宋体" w:cs="Times New Roman"/>
          <w:color w:val="auto"/>
          <w:highlight w:val="none"/>
        </w:rPr>
      </w:pPr>
      <w:r>
        <w:rPr>
          <w:rFonts w:hint="eastAsia" w:hAnsi="宋体" w:cs="Times New Roman"/>
          <w:color w:val="auto"/>
          <w:highlight w:val="none"/>
        </w:rPr>
        <w:t>▲4.投标人投标所使用的资格、信誉、荣誉、业绩与企业认证必须为本法人所拥有。投标人投标所使用的采购项目实施（指项目合同的履行）人员必须为本法人员工（或必须为本法人或控股公司正式员工）。</w:t>
      </w:r>
    </w:p>
    <w:p>
      <w:pPr>
        <w:pStyle w:val="26"/>
        <w:snapToGrid w:val="0"/>
        <w:spacing w:line="360" w:lineRule="exact"/>
        <w:ind w:left="2" w:leftChars="1" w:firstLine="420" w:firstLineChars="200"/>
        <w:rPr>
          <w:rFonts w:hAnsi="宋体" w:cs="Times New Roman"/>
          <w:color w:val="auto"/>
          <w:highlight w:val="none"/>
        </w:rPr>
      </w:pPr>
      <w:r>
        <w:rPr>
          <w:rFonts w:hint="eastAsia" w:hAnsi="宋体" w:cs="Times New Roman"/>
          <w:color w:val="auto"/>
          <w:highlight w:val="none"/>
        </w:rPr>
        <w:t>▲5.投标人应仔细阅读招标文件的所有内容，按照招标文件的要求提交投标文件，并对所提供的全部资料的真实性承担法律责任。</w:t>
      </w:r>
    </w:p>
    <w:p>
      <w:pPr>
        <w:pStyle w:val="26"/>
        <w:snapToGrid w:val="0"/>
        <w:spacing w:line="360" w:lineRule="exact"/>
        <w:ind w:left="2" w:leftChars="1" w:firstLine="420" w:firstLineChars="200"/>
        <w:rPr>
          <w:rFonts w:hAnsi="宋体" w:cs="Times New Roman"/>
          <w:color w:val="auto"/>
          <w:highlight w:val="none"/>
        </w:rPr>
      </w:pPr>
      <w:r>
        <w:rPr>
          <w:rFonts w:hint="eastAsia" w:hAnsi="宋体" w:cs="Times New Roman"/>
          <w:color w:val="auto"/>
          <w:highlight w:val="none"/>
        </w:rPr>
        <w:t>▲6.投标人在投标活动中提供任何虚假材料、互相串通投标，其投标无效，并报监管部门查处。</w:t>
      </w:r>
    </w:p>
    <w:p>
      <w:pPr>
        <w:pStyle w:val="26"/>
        <w:snapToGrid w:val="0"/>
        <w:spacing w:line="360" w:lineRule="exact"/>
        <w:ind w:left="2" w:leftChars="1" w:firstLine="420" w:firstLineChars="200"/>
        <w:rPr>
          <w:rFonts w:hAnsi="宋体"/>
          <w:color w:val="auto"/>
          <w:highlight w:val="none"/>
        </w:rPr>
      </w:pPr>
      <w:r>
        <w:rPr>
          <w:rFonts w:hint="eastAsia" w:hAnsi="宋体"/>
          <w:color w:val="auto"/>
          <w:highlight w:val="none"/>
        </w:rPr>
        <w:t>▲</w:t>
      </w:r>
      <w:r>
        <w:rPr>
          <w:rFonts w:hAnsi="宋体"/>
          <w:color w:val="auto"/>
          <w:highlight w:val="none"/>
        </w:rPr>
        <w:t>7.</w:t>
      </w:r>
      <w:r>
        <w:rPr>
          <w:rFonts w:hint="eastAsia" w:hAnsi="宋体"/>
          <w:color w:val="auto"/>
          <w:highlight w:val="none"/>
        </w:rPr>
        <w:t>投标截止时间前三条，购买招标文件的供应商不足三家的，本公司将延迟截标和开标时间不少于十日，并书面通知已购买招标文件的供应商，并在财政部门指定的政府采购信息发布媒体上发布变更公告。</w:t>
      </w:r>
    </w:p>
    <w:p>
      <w:pPr>
        <w:pStyle w:val="26"/>
        <w:snapToGrid w:val="0"/>
        <w:spacing w:line="360" w:lineRule="exact"/>
        <w:ind w:firstLine="413" w:firstLineChars="196"/>
        <w:outlineLvl w:val="0"/>
        <w:rPr>
          <w:rFonts w:hAnsi="宋体"/>
          <w:b/>
          <w:bCs/>
          <w:color w:val="auto"/>
          <w:highlight w:val="none"/>
        </w:rPr>
      </w:pPr>
      <w:bookmarkStart w:id="16" w:name="_Toc254970674"/>
      <w:bookmarkStart w:id="17" w:name="_Toc254970533"/>
      <w:r>
        <w:rPr>
          <w:rFonts w:hint="eastAsia" w:hAnsi="宋体"/>
          <w:b/>
          <w:bCs/>
          <w:color w:val="auto"/>
          <w:highlight w:val="none"/>
        </w:rPr>
        <w:t>（九）</w:t>
      </w:r>
      <w:bookmarkEnd w:id="16"/>
      <w:bookmarkEnd w:id="17"/>
      <w:r>
        <w:rPr>
          <w:rFonts w:hint="eastAsia" w:hAnsi="宋体"/>
          <w:b/>
          <w:color w:val="auto"/>
          <w:highlight w:val="none"/>
        </w:rPr>
        <w:t>询问、质疑和投诉</w:t>
      </w:r>
    </w:p>
    <w:p>
      <w:pPr>
        <w:pStyle w:val="26"/>
        <w:adjustRightInd w:val="0"/>
        <w:snapToGrid w:val="0"/>
        <w:spacing w:line="400" w:lineRule="atLeast"/>
        <w:ind w:firstLine="420" w:firstLineChars="200"/>
        <w:rPr>
          <w:rFonts w:hAnsi="宋体"/>
          <w:color w:val="auto"/>
          <w:highlight w:val="none"/>
        </w:rPr>
      </w:pPr>
      <w:r>
        <w:rPr>
          <w:rFonts w:hint="eastAsia" w:hAnsi="宋体"/>
          <w:color w:val="auto"/>
          <w:highlight w:val="none"/>
        </w:rPr>
        <w:t>1．投标人对政府采购活动事项有疑问的，可以向采购人、采购代理机构提出询问。</w:t>
      </w:r>
    </w:p>
    <w:p>
      <w:pPr>
        <w:pStyle w:val="26"/>
        <w:adjustRightInd w:val="0"/>
        <w:snapToGrid w:val="0"/>
        <w:spacing w:line="400" w:lineRule="atLeast"/>
        <w:ind w:firstLine="420" w:firstLineChars="200"/>
        <w:rPr>
          <w:rFonts w:hAnsi="宋体"/>
          <w:color w:val="auto"/>
          <w:highlight w:val="none"/>
        </w:rPr>
      </w:pPr>
      <w:r>
        <w:rPr>
          <w:rFonts w:hint="eastAsia" w:hAnsi="宋体"/>
          <w:color w:val="auto"/>
          <w:highlight w:val="none"/>
        </w:rPr>
        <w:t>2.投标人认为招标文件、招标过程或中标结果使自己的合法权益受到损害的，应当在知道或者应知其权益受到损害之日起七个工作日内，以书面形式向采购人、采购代理机构提出质疑。具体计算时间如下：</w:t>
      </w:r>
    </w:p>
    <w:p>
      <w:pPr>
        <w:pStyle w:val="26"/>
        <w:adjustRightInd w:val="0"/>
        <w:snapToGrid w:val="0"/>
        <w:spacing w:line="400" w:lineRule="atLeast"/>
        <w:ind w:firstLine="310" w:firstLineChars="147"/>
        <w:rPr>
          <w:rFonts w:hAnsi="宋体"/>
          <w:bCs/>
          <w:color w:val="auto"/>
          <w:highlight w:val="none"/>
        </w:rPr>
      </w:pPr>
      <w:r>
        <w:rPr>
          <w:rFonts w:hint="eastAsia" w:hAnsi="宋体"/>
          <w:b/>
          <w:color w:val="auto"/>
          <w:highlight w:val="none"/>
        </w:rPr>
        <w:t>（1）对可以质疑的招标采购文件提出质疑的，为收到采购文件之日；</w:t>
      </w:r>
    </w:p>
    <w:p>
      <w:pPr>
        <w:widowControl/>
        <w:adjustRightInd w:val="0"/>
        <w:snapToGrid w:val="0"/>
        <w:spacing w:line="400" w:lineRule="atLeast"/>
        <w:jc w:val="left"/>
        <w:rPr>
          <w:rFonts w:ascii="宋体" w:hAnsi="宋体" w:cs="Courier New"/>
          <w:b/>
          <w:color w:val="auto"/>
          <w:szCs w:val="21"/>
          <w:highlight w:val="none"/>
        </w:rPr>
      </w:pPr>
      <w:r>
        <w:rPr>
          <w:rFonts w:hint="eastAsia" w:ascii="宋体" w:hAnsi="宋体" w:cs="Courier New"/>
          <w:color w:val="auto"/>
          <w:szCs w:val="21"/>
          <w:highlight w:val="none"/>
        </w:rPr>
        <w:t xml:space="preserve">　 </w:t>
      </w:r>
      <w:r>
        <w:rPr>
          <w:rFonts w:hint="eastAsia" w:ascii="宋体" w:hAnsi="宋体" w:cs="Courier New"/>
          <w:b/>
          <w:color w:val="auto"/>
          <w:szCs w:val="21"/>
          <w:highlight w:val="none"/>
        </w:rPr>
        <w:t>（2）对招标采购过程提出质疑的，为各采购程序环节结束之日；</w:t>
      </w:r>
    </w:p>
    <w:p>
      <w:pPr>
        <w:widowControl/>
        <w:adjustRightInd w:val="0"/>
        <w:snapToGrid w:val="0"/>
        <w:spacing w:line="400" w:lineRule="atLeast"/>
        <w:ind w:firstLine="103" w:firstLineChars="49"/>
        <w:jc w:val="left"/>
        <w:rPr>
          <w:rFonts w:ascii="宋体" w:hAnsi="宋体" w:cs="Courier New"/>
          <w:b/>
          <w:color w:val="auto"/>
          <w:szCs w:val="21"/>
          <w:highlight w:val="none"/>
        </w:rPr>
      </w:pPr>
      <w:r>
        <w:rPr>
          <w:rFonts w:hint="eastAsia" w:ascii="宋体" w:hAnsi="宋体" w:cs="Courier New"/>
          <w:b/>
          <w:color w:val="auto"/>
          <w:szCs w:val="21"/>
          <w:highlight w:val="none"/>
        </w:rPr>
        <w:t xml:space="preserve">  （3）对中标结果提出质疑的，为中标结果公告期限届满之日。投标人对</w:t>
      </w:r>
      <w:r>
        <w:rPr>
          <w:rFonts w:hint="eastAsia" w:ascii="宋体" w:hAnsi="宋体"/>
          <w:b/>
          <w:color w:val="auto"/>
          <w:szCs w:val="21"/>
          <w:highlight w:val="none"/>
        </w:rPr>
        <w:t>采购人、采购代理机构</w:t>
      </w:r>
      <w:r>
        <w:rPr>
          <w:rFonts w:hint="eastAsia" w:ascii="宋体" w:hAnsi="宋体" w:cs="Courier New"/>
          <w:b/>
          <w:color w:val="auto"/>
          <w:szCs w:val="21"/>
          <w:highlight w:val="none"/>
        </w:rPr>
        <w:t>的质疑答复不满意或者</w:t>
      </w:r>
      <w:r>
        <w:rPr>
          <w:rFonts w:hint="eastAsia" w:ascii="宋体" w:hAnsi="宋体"/>
          <w:b/>
          <w:color w:val="auto"/>
          <w:szCs w:val="21"/>
          <w:highlight w:val="none"/>
        </w:rPr>
        <w:t>采购人、采购代理机构</w:t>
      </w:r>
      <w:r>
        <w:rPr>
          <w:rFonts w:hint="eastAsia" w:ascii="宋体" w:hAnsi="宋体" w:cs="Courier New"/>
          <w:b/>
          <w:color w:val="auto"/>
          <w:szCs w:val="21"/>
          <w:highlight w:val="none"/>
        </w:rPr>
        <w:t>未在规定时间内作出答复的，可以在答复期满后十五个工作日内向同级采购监管部门投诉。</w:t>
      </w:r>
    </w:p>
    <w:p>
      <w:pPr>
        <w:pStyle w:val="26"/>
        <w:adjustRightInd w:val="0"/>
        <w:snapToGrid w:val="0"/>
        <w:spacing w:line="400" w:lineRule="atLeast"/>
        <w:ind w:firstLine="420" w:firstLineChars="200"/>
        <w:rPr>
          <w:rFonts w:hAnsi="宋体"/>
          <w:bCs/>
          <w:color w:val="auto"/>
          <w:highlight w:val="none"/>
        </w:rPr>
      </w:pPr>
      <w:r>
        <w:rPr>
          <w:rFonts w:hint="eastAsia" w:hAnsi="宋体"/>
          <w:bCs/>
          <w:color w:val="auto"/>
          <w:highlight w:val="none"/>
        </w:rPr>
        <w:t>3.质疑、投诉应当采用书面形式，质疑书、投诉书均应明确阐述招标采购文件、招标采购过程、中标结果中使自己合法权益受到损害的实质性内容，提供相关事实、明确的请求、必要的证明材料，便于有关单位调查、答复和处理。</w:t>
      </w:r>
    </w:p>
    <w:p>
      <w:pPr>
        <w:pStyle w:val="26"/>
        <w:spacing w:line="440" w:lineRule="exact"/>
        <w:ind w:firstLine="735" w:firstLineChars="350"/>
        <w:rPr>
          <w:rFonts w:hAnsi="宋体"/>
          <w:bCs/>
          <w:color w:val="auto"/>
          <w:highlight w:val="none"/>
        </w:rPr>
      </w:pPr>
      <w:r>
        <w:rPr>
          <w:rFonts w:hint="eastAsia" w:hAnsi="宋体"/>
          <w:bCs/>
          <w:color w:val="auto"/>
          <w:highlight w:val="none"/>
        </w:rPr>
        <w:t xml:space="preserve">①质疑联系部门及电话为：广西国栋招标有限公司监督部         </w:t>
      </w:r>
      <w:r>
        <w:rPr>
          <w:rFonts w:hAnsi="宋体"/>
          <w:bCs/>
          <w:color w:val="auto"/>
          <w:highlight w:val="none"/>
        </w:rPr>
        <w:t>0771-5712550</w:t>
      </w:r>
    </w:p>
    <w:p>
      <w:pPr>
        <w:pStyle w:val="26"/>
        <w:adjustRightInd w:val="0"/>
        <w:snapToGrid w:val="0"/>
        <w:spacing w:line="400" w:lineRule="atLeast"/>
        <w:ind w:firstLine="735" w:firstLineChars="350"/>
        <w:rPr>
          <w:rFonts w:hAnsi="宋体"/>
          <w:bCs/>
          <w:color w:val="auto"/>
          <w:highlight w:val="none"/>
        </w:rPr>
      </w:pPr>
      <w:r>
        <w:rPr>
          <w:rFonts w:hint="eastAsia" w:hAnsi="宋体"/>
          <w:bCs/>
          <w:color w:val="auto"/>
          <w:highlight w:val="none"/>
        </w:rPr>
        <w:t xml:space="preserve"> ②投诉联系部门及电话为：广西壮族自治区政府采购监督管理处   0771-5331810</w:t>
      </w:r>
    </w:p>
    <w:p>
      <w:pPr>
        <w:pStyle w:val="26"/>
        <w:snapToGrid w:val="0"/>
        <w:spacing w:line="360" w:lineRule="exact"/>
        <w:ind w:firstLine="413" w:firstLineChars="196"/>
        <w:outlineLvl w:val="0"/>
        <w:rPr>
          <w:rFonts w:hAnsi="宋体"/>
          <w:b/>
          <w:color w:val="auto"/>
          <w:highlight w:val="none"/>
        </w:rPr>
      </w:pPr>
      <w:bookmarkStart w:id="18" w:name="_Toc254970675"/>
      <w:bookmarkStart w:id="19" w:name="_Toc254970534"/>
      <w:r>
        <w:rPr>
          <w:rFonts w:hint="eastAsia" w:hAnsi="宋体"/>
          <w:b/>
          <w:color w:val="auto"/>
          <w:highlight w:val="none"/>
        </w:rPr>
        <w:t>二、招标文件</w:t>
      </w:r>
      <w:bookmarkEnd w:id="18"/>
      <w:bookmarkEnd w:id="19"/>
    </w:p>
    <w:p>
      <w:pPr>
        <w:snapToGrid w:val="0"/>
        <w:spacing w:line="360" w:lineRule="exact"/>
        <w:ind w:firstLine="413" w:firstLineChars="196"/>
        <w:jc w:val="left"/>
        <w:outlineLvl w:val="0"/>
        <w:rPr>
          <w:rFonts w:ascii="宋体" w:hAnsi="宋体"/>
          <w:b/>
          <w:color w:val="auto"/>
          <w:szCs w:val="21"/>
          <w:highlight w:val="none"/>
        </w:rPr>
      </w:pPr>
      <w:r>
        <w:rPr>
          <w:rFonts w:hint="eastAsia" w:ascii="宋体" w:hAnsi="宋体"/>
          <w:b/>
          <w:color w:val="auto"/>
          <w:szCs w:val="21"/>
          <w:highlight w:val="none"/>
        </w:rPr>
        <w:t>（一）招标文件的构成。</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1.公开招标公告；</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2.招标项目采购需求</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3.投标人须知；</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4.评标方法及评定标准；</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5.政府采购合同主要条款；</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6.投标文件格式。</w:t>
      </w:r>
    </w:p>
    <w:p>
      <w:pPr>
        <w:snapToGrid w:val="0"/>
        <w:spacing w:beforeLines="50" w:line="360" w:lineRule="exact"/>
        <w:ind w:firstLine="413" w:firstLineChars="196"/>
        <w:jc w:val="left"/>
        <w:outlineLvl w:val="0"/>
        <w:rPr>
          <w:rFonts w:ascii="宋体" w:hAnsi="宋体"/>
          <w:b/>
          <w:color w:val="auto"/>
          <w:szCs w:val="21"/>
          <w:highlight w:val="none"/>
        </w:rPr>
      </w:pPr>
      <w:r>
        <w:rPr>
          <w:rFonts w:hint="eastAsia" w:ascii="宋体" w:hAnsi="宋体"/>
          <w:b/>
          <w:color w:val="auto"/>
          <w:szCs w:val="21"/>
          <w:highlight w:val="none"/>
        </w:rPr>
        <w:t>（二）投标人的风险</w:t>
      </w:r>
    </w:p>
    <w:p>
      <w:pPr>
        <w:tabs>
          <w:tab w:val="left" w:pos="180"/>
          <w:tab w:val="left" w:pos="1620"/>
        </w:tabs>
        <w:spacing w:line="400" w:lineRule="exact"/>
        <w:ind w:firstLine="420" w:firstLineChars="200"/>
        <w:rPr>
          <w:rFonts w:ascii="宋体" w:hAnsi="宋体" w:cs="Courier New"/>
          <w:color w:val="auto"/>
          <w:szCs w:val="21"/>
          <w:highlight w:val="none"/>
        </w:rPr>
      </w:pPr>
      <w:r>
        <w:rPr>
          <w:rFonts w:hint="eastAsia" w:ascii="宋体" w:hAnsi="宋体" w:cs="Courier New"/>
          <w:color w:val="auto"/>
          <w:szCs w:val="21"/>
          <w:highlight w:val="none"/>
        </w:rPr>
        <w:t>1、投标人应认真阅读招标文件，按照招标文件的要求编制投标文件。投标文件应对招标文件提出的要求和条件作出明确响应。投标人没有按照招标文件要求提供全部资料，或者投标人没有对招标文件在各方面作出明确响应是投标人的风险，并可能导致其投标被拒绝。</w:t>
      </w:r>
    </w:p>
    <w:p>
      <w:pPr>
        <w:tabs>
          <w:tab w:val="left" w:pos="180"/>
          <w:tab w:val="left" w:pos="1620"/>
        </w:tabs>
        <w:spacing w:line="400" w:lineRule="exact"/>
        <w:ind w:firstLine="420" w:firstLineChars="200"/>
        <w:rPr>
          <w:rFonts w:ascii="宋体" w:hAnsi="宋体" w:cs="Courier New"/>
          <w:color w:val="auto"/>
          <w:szCs w:val="21"/>
          <w:highlight w:val="none"/>
        </w:rPr>
      </w:pPr>
      <w:r>
        <w:rPr>
          <w:rFonts w:hint="eastAsia" w:ascii="宋体" w:hAnsi="宋体" w:cs="Courier New"/>
          <w:color w:val="auto"/>
          <w:szCs w:val="21"/>
          <w:highlight w:val="none"/>
        </w:rPr>
        <w:t xml:space="preserve">2、对招标文件提出的实质性要求和条件作出明确响应是指投标人必须对招标文件中涉及招标项目的价格、采购服务的服务要求及其它要求、合同主要条款等内容作出明确响应。 </w:t>
      </w:r>
    </w:p>
    <w:p>
      <w:pPr>
        <w:pStyle w:val="13"/>
        <w:widowControl w:val="0"/>
        <w:tabs>
          <w:tab w:val="clear" w:pos="454"/>
        </w:tabs>
        <w:snapToGrid w:val="0"/>
        <w:spacing w:beforeLines="50" w:afterLines="0" w:line="360" w:lineRule="exact"/>
        <w:ind w:left="0" w:firstLine="413" w:firstLineChars="196"/>
        <w:outlineLvl w:val="0"/>
        <w:rPr>
          <w:rFonts w:ascii="宋体" w:hAnsi="宋体"/>
          <w:b/>
          <w:color w:val="auto"/>
          <w:sz w:val="21"/>
          <w:szCs w:val="21"/>
          <w:highlight w:val="none"/>
        </w:rPr>
      </w:pPr>
      <w:r>
        <w:rPr>
          <w:rFonts w:hint="eastAsia" w:ascii="宋体" w:hAnsi="宋体"/>
          <w:b/>
          <w:color w:val="auto"/>
          <w:sz w:val="21"/>
          <w:szCs w:val="21"/>
          <w:highlight w:val="none"/>
        </w:rPr>
        <w:t xml:space="preserve">（三）招标文件的澄清与修改 </w:t>
      </w:r>
    </w:p>
    <w:p>
      <w:pPr>
        <w:pStyle w:val="26"/>
        <w:snapToGrid w:val="0"/>
        <w:spacing w:line="360" w:lineRule="exact"/>
        <w:ind w:firstLine="420" w:firstLineChars="200"/>
        <w:rPr>
          <w:rFonts w:hAnsi="宋体"/>
          <w:color w:val="auto"/>
          <w:highlight w:val="none"/>
        </w:rPr>
      </w:pPr>
      <w:r>
        <w:rPr>
          <w:rFonts w:hint="eastAsia" w:hAnsi="宋体"/>
          <w:color w:val="auto"/>
          <w:highlight w:val="none"/>
        </w:rPr>
        <w:t>1.</w:t>
      </w:r>
      <w:r>
        <w:rPr>
          <w:rFonts w:hint="eastAsia" w:hAnsi="宋体"/>
          <w:bCs/>
          <w:color w:val="auto"/>
          <w:highlight w:val="none"/>
        </w:rPr>
        <w:t xml:space="preserve"> 投标人应认真阅读本招标文件，发现其中有误或有不合理要求的，投标人</w:t>
      </w:r>
      <w:r>
        <w:rPr>
          <w:rFonts w:hint="eastAsia" w:hAnsi="宋体"/>
          <w:b/>
          <w:bCs/>
          <w:color w:val="auto"/>
          <w:highlight w:val="none"/>
        </w:rPr>
        <w:t>应当</w:t>
      </w:r>
      <w:r>
        <w:rPr>
          <w:rFonts w:hint="eastAsia" w:hAnsi="宋体"/>
          <w:bCs/>
          <w:color w:val="auto"/>
          <w:highlight w:val="none"/>
        </w:rPr>
        <w:t>在</w:t>
      </w:r>
      <w:r>
        <w:rPr>
          <w:rFonts w:hint="eastAsia" w:hAnsi="宋体"/>
          <w:bCs/>
          <w:color w:val="auto"/>
          <w:highlight w:val="none"/>
          <w:u w:val="single"/>
        </w:rPr>
        <w:t>“采购文件：第三章 《投标人须知及前附表》序号6”规定的时间</w:t>
      </w:r>
      <w:r>
        <w:rPr>
          <w:rFonts w:hint="eastAsia" w:hAnsi="宋体"/>
          <w:bCs/>
          <w:color w:val="auto"/>
          <w:highlight w:val="none"/>
        </w:rPr>
        <w:t>前以书面形式要求采购人或者采购代理机构</w:t>
      </w:r>
      <w:r>
        <w:rPr>
          <w:rFonts w:hint="eastAsia" w:hAnsi="宋体"/>
          <w:color w:val="auto"/>
          <w:highlight w:val="none"/>
        </w:rPr>
        <w:t>答疑、澄清</w:t>
      </w:r>
      <w:r>
        <w:rPr>
          <w:rFonts w:hint="eastAsia" w:hAnsi="宋体"/>
          <w:bCs/>
          <w:color w:val="auto"/>
          <w:highlight w:val="none"/>
        </w:rPr>
        <w:t>。本公司对已发出的招标文件进行必要澄清或者修改</w:t>
      </w:r>
      <w:r>
        <w:rPr>
          <w:rFonts w:hint="eastAsia" w:hAnsi="宋体"/>
          <w:b/>
          <w:bCs/>
          <w:color w:val="auto"/>
          <w:highlight w:val="none"/>
        </w:rPr>
        <w:t>可能影响投标文件编制的</w:t>
      </w:r>
      <w:r>
        <w:rPr>
          <w:rFonts w:hint="eastAsia" w:hAnsi="宋体"/>
          <w:bCs/>
          <w:color w:val="auto"/>
          <w:highlight w:val="none"/>
        </w:rPr>
        <w:t>，应当在招标文件要求提交投标文件截止时间十五日前，在财政部门指定的政府采购信息发布媒体上发布更正公告，并以书面形式通知所有招标文件收受人。该澄清或者修改的内容为招标文件的组成部分</w:t>
      </w:r>
      <w:r>
        <w:rPr>
          <w:rFonts w:hint="eastAsia" w:hAnsi="宋体"/>
          <w:color w:val="auto"/>
          <w:highlight w:val="none"/>
        </w:rPr>
        <w:t>。</w:t>
      </w:r>
    </w:p>
    <w:p>
      <w:pPr>
        <w:pStyle w:val="26"/>
        <w:snapToGrid w:val="0"/>
        <w:spacing w:line="360" w:lineRule="exact"/>
        <w:ind w:firstLine="420" w:firstLineChars="200"/>
        <w:rPr>
          <w:rFonts w:hAnsi="宋体"/>
          <w:color w:val="auto"/>
          <w:highlight w:val="none"/>
        </w:rPr>
      </w:pPr>
      <w:r>
        <w:rPr>
          <w:rFonts w:hint="eastAsia" w:hAnsi="宋体"/>
          <w:color w:val="auto"/>
          <w:highlight w:val="none"/>
        </w:rPr>
        <w:t>2.本公司必须以书面形式答复投标人要求澄清的问题，并将不包含问题来源的答复书面通知所有购买招标文件的投标人；除书面答复以外的其他澄清方式及澄清内容均无效。</w:t>
      </w:r>
    </w:p>
    <w:p>
      <w:pPr>
        <w:pStyle w:val="26"/>
        <w:snapToGrid w:val="0"/>
        <w:spacing w:line="360" w:lineRule="exact"/>
        <w:ind w:firstLine="420" w:firstLineChars="200"/>
        <w:rPr>
          <w:rFonts w:hAnsi="宋体"/>
          <w:color w:val="auto"/>
          <w:highlight w:val="none"/>
        </w:rPr>
      </w:pPr>
      <w:r>
        <w:rPr>
          <w:rFonts w:hint="eastAsia" w:hAnsi="宋体"/>
          <w:color w:val="auto"/>
          <w:highlight w:val="none"/>
        </w:rPr>
        <w:t>3.招标文件的答疑、澄清、修改、补充的内容为招标文件的组成部分。当招标文件与招标文件的答疑、澄清、修改、补充通知就同一内容的表述不一致时，以最后发出的书面文件为准。</w:t>
      </w:r>
    </w:p>
    <w:p>
      <w:pPr>
        <w:pStyle w:val="26"/>
        <w:snapToGrid w:val="0"/>
        <w:spacing w:line="360" w:lineRule="exact"/>
        <w:ind w:firstLine="420" w:firstLineChars="200"/>
        <w:rPr>
          <w:rFonts w:hAnsi="宋体"/>
          <w:color w:val="auto"/>
          <w:highlight w:val="none"/>
        </w:rPr>
      </w:pPr>
      <w:r>
        <w:rPr>
          <w:rFonts w:hint="eastAsia" w:hAnsi="宋体"/>
          <w:color w:val="auto"/>
          <w:highlight w:val="none"/>
        </w:rPr>
        <w:t>4.招标文件的答疑、澄清、修改、补充都应该通过本公司以法定形式发布，采购人非通过本机构，不得擅自答疑、澄清、修改、补充招标文件。</w:t>
      </w:r>
    </w:p>
    <w:p>
      <w:pPr>
        <w:pStyle w:val="26"/>
        <w:snapToGrid w:val="0"/>
        <w:spacing w:line="360" w:lineRule="exact"/>
        <w:ind w:firstLine="420" w:firstLineChars="200"/>
        <w:rPr>
          <w:rFonts w:hAnsi="宋体"/>
          <w:color w:val="auto"/>
          <w:highlight w:val="none"/>
        </w:rPr>
      </w:pPr>
      <w:r>
        <w:rPr>
          <w:rFonts w:hint="eastAsia" w:hAnsi="宋体"/>
          <w:color w:val="auto"/>
          <w:highlight w:val="none"/>
        </w:rPr>
        <w:t>5、本公司可以视采购具体情况，延长招标文件或者资格预审文件提供期限，并在财政部门指定的政府采购信息发布媒体上发布公告。</w:t>
      </w:r>
    </w:p>
    <w:p>
      <w:pPr>
        <w:pStyle w:val="26"/>
        <w:snapToGrid w:val="0"/>
        <w:spacing w:line="360" w:lineRule="exact"/>
        <w:ind w:firstLine="413" w:firstLineChars="196"/>
        <w:outlineLvl w:val="1"/>
        <w:rPr>
          <w:rFonts w:hAnsi="宋体"/>
          <w:b/>
          <w:color w:val="auto"/>
          <w:highlight w:val="none"/>
        </w:rPr>
      </w:pPr>
      <w:bookmarkStart w:id="20" w:name="_Toc254970535"/>
      <w:bookmarkStart w:id="21" w:name="_Toc254970676"/>
      <w:r>
        <w:rPr>
          <w:rFonts w:hint="eastAsia" w:hAnsi="宋体"/>
          <w:b/>
          <w:color w:val="auto"/>
          <w:highlight w:val="none"/>
        </w:rPr>
        <w:t>三、投标文件的编制</w:t>
      </w:r>
      <w:bookmarkEnd w:id="20"/>
      <w:bookmarkEnd w:id="21"/>
    </w:p>
    <w:p>
      <w:pPr>
        <w:snapToGrid w:val="0"/>
        <w:spacing w:line="360" w:lineRule="exact"/>
        <w:ind w:firstLine="413" w:firstLineChars="196"/>
        <w:jc w:val="left"/>
        <w:outlineLvl w:val="0"/>
        <w:rPr>
          <w:rFonts w:ascii="宋体" w:hAnsi="宋体"/>
          <w:b/>
          <w:color w:val="auto"/>
          <w:szCs w:val="21"/>
          <w:highlight w:val="none"/>
        </w:rPr>
      </w:pPr>
      <w:bookmarkStart w:id="22" w:name="_Toc254970536"/>
      <w:bookmarkStart w:id="23" w:name="_Toc254970677"/>
      <w:r>
        <w:rPr>
          <w:rFonts w:hint="eastAsia" w:ascii="宋体" w:hAnsi="宋体"/>
          <w:b/>
          <w:color w:val="auto"/>
          <w:szCs w:val="21"/>
          <w:highlight w:val="none"/>
        </w:rPr>
        <w:t>（一）投标文件的组成</w:t>
      </w:r>
      <w:bookmarkEnd w:id="22"/>
      <w:bookmarkEnd w:id="23"/>
    </w:p>
    <w:p>
      <w:pPr>
        <w:snapToGrid w:val="0"/>
        <w:spacing w:line="360" w:lineRule="exact"/>
        <w:ind w:firstLine="420" w:firstLineChars="200"/>
        <w:jc w:val="left"/>
        <w:rPr>
          <w:rFonts w:ascii="宋体" w:hAnsi="宋体"/>
          <w:color w:val="auto"/>
          <w:szCs w:val="21"/>
          <w:highlight w:val="none"/>
        </w:rPr>
      </w:pPr>
      <w:r>
        <w:rPr>
          <w:rFonts w:hint="eastAsia" w:ascii="宋体"/>
          <w:color w:val="auto"/>
          <w:szCs w:val="21"/>
          <w:highlight w:val="none"/>
        </w:rPr>
        <w:t>投标文件由资格文件、资信及商务文件、技术文件、投标报价文件</w:t>
      </w:r>
      <w:r>
        <w:rPr>
          <w:rFonts w:hint="eastAsia" w:ascii="宋体"/>
          <w:b/>
          <w:color w:val="auto"/>
          <w:szCs w:val="21"/>
          <w:highlight w:val="none"/>
        </w:rPr>
        <w:t>四部份</w:t>
      </w:r>
      <w:r>
        <w:rPr>
          <w:rFonts w:hint="eastAsia" w:ascii="宋体"/>
          <w:color w:val="auto"/>
          <w:szCs w:val="21"/>
          <w:highlight w:val="none"/>
        </w:rPr>
        <w:t>组成（</w:t>
      </w:r>
      <w:r>
        <w:rPr>
          <w:rFonts w:hint="eastAsia" w:ascii="宋体"/>
          <w:b/>
          <w:color w:val="auto"/>
          <w:szCs w:val="21"/>
          <w:highlight w:val="none"/>
        </w:rPr>
        <w:t>要求资格文件装订成一本；资信及商务文件、技术文件、投标报价文件</w:t>
      </w:r>
      <w:r>
        <w:rPr>
          <w:rFonts w:hint="eastAsia" w:ascii="宋体" w:cs="Arial"/>
          <w:b/>
          <w:color w:val="auto"/>
          <w:szCs w:val="21"/>
          <w:highlight w:val="none"/>
        </w:rPr>
        <w:t>装订成一本</w:t>
      </w:r>
      <w:r>
        <w:rPr>
          <w:rFonts w:hint="eastAsia" w:ascii="宋体" w:cs="Arial"/>
          <w:color w:val="auto"/>
          <w:szCs w:val="21"/>
          <w:highlight w:val="none"/>
        </w:rPr>
        <w:t>；</w:t>
      </w:r>
      <w:r>
        <w:rPr>
          <w:rFonts w:hint="eastAsia" w:ascii="宋体"/>
          <w:color w:val="auto"/>
          <w:szCs w:val="21"/>
          <w:highlight w:val="none"/>
        </w:rPr>
        <w:t>投标报价文件中的《开标一览表》</w:t>
      </w:r>
      <w:r>
        <w:rPr>
          <w:rFonts w:hint="eastAsia" w:ascii="宋体" w:cs="Arial"/>
          <w:color w:val="auto"/>
          <w:szCs w:val="21"/>
          <w:highlight w:val="none"/>
        </w:rPr>
        <w:t>独立装订成册，单独包装、密封递交）</w:t>
      </w:r>
      <w:r>
        <w:rPr>
          <w:rFonts w:hint="eastAsia" w:ascii="宋体"/>
          <w:color w:val="auto"/>
          <w:szCs w:val="21"/>
          <w:highlight w:val="none"/>
        </w:rPr>
        <w:t>。</w:t>
      </w:r>
    </w:p>
    <w:p>
      <w:pPr>
        <w:snapToGrid w:val="0"/>
        <w:spacing w:beforeLines="50"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1.资格文件：</w:t>
      </w:r>
    </w:p>
    <w:p>
      <w:pPr>
        <w:snapToGrid w:val="0"/>
        <w:spacing w:line="360" w:lineRule="exact"/>
        <w:ind w:firstLine="413" w:firstLineChars="196"/>
        <w:jc w:val="left"/>
        <w:rPr>
          <w:rFonts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有效的营业执照等证明文件复印件；</w:t>
      </w:r>
    </w:p>
    <w:p>
      <w:pPr>
        <w:pStyle w:val="26"/>
        <w:ind w:firstLine="525" w:firstLineChars="250"/>
        <w:rPr>
          <w:rFonts w:hAnsi="宋体"/>
          <w:b/>
          <w:color w:val="auto"/>
          <w:highlight w:val="none"/>
        </w:rPr>
      </w:pPr>
      <w:r>
        <w:rPr>
          <w:rFonts w:hint="eastAsia" w:hAnsi="宋体"/>
          <w:color w:val="auto"/>
          <w:highlight w:val="none"/>
        </w:rPr>
        <w:t>①投标人有效的营业执照等证明文件复印件，同时要加盖单位公章</w:t>
      </w:r>
      <w:r>
        <w:rPr>
          <w:rFonts w:hint="eastAsia" w:hAnsi="宋体"/>
          <w:b/>
          <w:color w:val="auto"/>
          <w:highlight w:val="none"/>
        </w:rPr>
        <w:t>（必须提供，原件备查）</w:t>
      </w:r>
      <w:r>
        <w:rPr>
          <w:rFonts w:hint="eastAsia" w:hAnsi="宋体"/>
          <w:color w:val="auto"/>
          <w:highlight w:val="none"/>
        </w:rPr>
        <w:t>；</w:t>
      </w:r>
    </w:p>
    <w:p>
      <w:pPr>
        <w:pStyle w:val="26"/>
        <w:spacing w:line="440" w:lineRule="exact"/>
        <w:ind w:firstLine="525" w:firstLineChars="250"/>
        <w:rPr>
          <w:rFonts w:hAnsi="宋体"/>
          <w:b/>
          <w:color w:val="auto"/>
          <w:highlight w:val="none"/>
        </w:rPr>
      </w:pPr>
      <w:r>
        <w:rPr>
          <w:rFonts w:hint="eastAsia" w:hAnsi="宋体"/>
          <w:color w:val="auto"/>
          <w:highlight w:val="none"/>
        </w:rPr>
        <w:t>②对于有经营资质要求的，投标人必须提供有效的经营资质证书副本内页复印件，同时要加盖单位公章。</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（2）</w:t>
      </w:r>
      <w:r>
        <w:rPr>
          <w:rFonts w:hint="eastAsia" w:ascii="宋体" w:hAnsi="宋体" w:cs="宋体"/>
          <w:color w:val="auto"/>
          <w:kern w:val="0"/>
          <w:szCs w:val="21"/>
          <w:highlight w:val="none"/>
        </w:rPr>
        <w:t>参加政府采购活动前三年内在经营活动中没有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b/>
          <w:color w:val="auto"/>
          <w:szCs w:val="21"/>
          <w:highlight w:val="none"/>
        </w:rPr>
        <w:t>和信用记录查询方法；</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①</w:t>
      </w:r>
      <w:r>
        <w:rPr>
          <w:rFonts w:hint="eastAsia" w:ascii="宋体" w:hAnsi="宋体" w:cs="宋体"/>
          <w:color w:val="auto"/>
          <w:kern w:val="0"/>
          <w:szCs w:val="21"/>
          <w:highlight w:val="none"/>
        </w:rPr>
        <w:t>参加政府采购活动前三年内在经营活动中没有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color w:val="auto"/>
          <w:szCs w:val="21"/>
          <w:highlight w:val="none"/>
        </w:rPr>
        <w:t>（格式自拟，必须提供）；</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②供应商可在“信用中国”网站（www.creditchina.gov.cn）、中国政府采购网（www.ccgp.gov.cn）查询相关供应商主体信用记录。</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“信用中国”网站查询方法：投标人在本项目投标截止时间前10日内,进入投标人基本信息页面，点击“下载信用报告”后点击“下载”。</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snapToGrid w:val="0"/>
        <w:spacing w:beforeLines="50"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2.</w:t>
      </w:r>
      <w:r>
        <w:rPr>
          <w:rFonts w:hint="eastAsia" w:ascii="宋体"/>
          <w:color w:val="auto"/>
          <w:szCs w:val="21"/>
          <w:highlight w:val="none"/>
        </w:rPr>
        <w:t xml:space="preserve"> </w:t>
      </w:r>
      <w:r>
        <w:rPr>
          <w:rFonts w:hint="eastAsia" w:ascii="宋体"/>
          <w:b/>
          <w:color w:val="auto"/>
          <w:szCs w:val="21"/>
          <w:highlight w:val="none"/>
        </w:rPr>
        <w:t>资信及商务文件</w:t>
      </w:r>
      <w:r>
        <w:rPr>
          <w:rFonts w:hint="eastAsia" w:ascii="宋体" w:hAnsi="宋体"/>
          <w:b/>
          <w:color w:val="auto"/>
          <w:szCs w:val="21"/>
          <w:highlight w:val="none"/>
        </w:rPr>
        <w:t>：</w:t>
      </w:r>
    </w:p>
    <w:p>
      <w:pPr>
        <w:snapToGrid w:val="0"/>
        <w:spacing w:line="360" w:lineRule="exact"/>
        <w:ind w:firstLine="413" w:firstLineChars="196"/>
        <w:jc w:val="left"/>
        <w:rPr>
          <w:rFonts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投标保证金的相关证明 复印件（可单独提交）</w:t>
      </w:r>
      <w:r>
        <w:rPr>
          <w:rFonts w:hint="eastAsia" w:ascii="宋体" w:hAnsi="宋体"/>
          <w:b/>
          <w:color w:val="auto"/>
          <w:szCs w:val="21"/>
          <w:highlight w:val="none"/>
        </w:rPr>
        <w:t>（必须提供）</w:t>
      </w:r>
      <w:r>
        <w:rPr>
          <w:rFonts w:hint="eastAsia" w:ascii="宋体" w:hAnsi="宋体"/>
          <w:color w:val="auto"/>
          <w:szCs w:val="21"/>
          <w:highlight w:val="none"/>
        </w:rPr>
        <w:t>；</w:t>
      </w:r>
    </w:p>
    <w:p>
      <w:pPr>
        <w:snapToGrid w:val="0"/>
        <w:spacing w:line="360" w:lineRule="exact"/>
        <w:ind w:firstLine="413" w:firstLineChars="196"/>
        <w:jc w:val="left"/>
        <w:rPr>
          <w:rFonts w:ascii="宋体" w:hAnsi="宋体"/>
          <w:color w:val="auto"/>
          <w:szCs w:val="21"/>
          <w:highlight w:val="none"/>
        </w:rPr>
      </w:pPr>
      <w:r>
        <w:rPr>
          <w:rFonts w:hint="eastAsia" w:ascii="宋体" w:hAnsi="宋体"/>
          <w:b/>
          <w:color w:val="auto"/>
          <w:szCs w:val="21"/>
          <w:highlight w:val="none"/>
        </w:rPr>
        <w:t>（2）</w:t>
      </w:r>
      <w:r>
        <w:rPr>
          <w:rFonts w:hint="eastAsia" w:ascii="宋体" w:hAnsi="宋体"/>
          <w:color w:val="auto"/>
          <w:szCs w:val="21"/>
          <w:highlight w:val="none"/>
        </w:rPr>
        <w:t>投标声明书 (格式见第六章)</w:t>
      </w:r>
      <w:r>
        <w:rPr>
          <w:rFonts w:hint="eastAsia" w:ascii="宋体" w:hAnsi="宋体"/>
          <w:b/>
          <w:color w:val="auto"/>
          <w:szCs w:val="21"/>
          <w:highlight w:val="none"/>
        </w:rPr>
        <w:t>（必须提供）</w:t>
      </w:r>
      <w:r>
        <w:rPr>
          <w:rFonts w:hint="eastAsia" w:ascii="宋体" w:hAnsi="宋体"/>
          <w:color w:val="auto"/>
          <w:szCs w:val="21"/>
          <w:highlight w:val="none"/>
        </w:rPr>
        <w:t>；</w:t>
      </w:r>
    </w:p>
    <w:p>
      <w:pPr>
        <w:snapToGrid w:val="0"/>
        <w:spacing w:line="360" w:lineRule="exact"/>
        <w:ind w:firstLine="413" w:firstLineChars="196"/>
        <w:jc w:val="left"/>
        <w:rPr>
          <w:rFonts w:ascii="宋体" w:hAnsi="宋体"/>
          <w:color w:val="auto"/>
          <w:szCs w:val="21"/>
          <w:highlight w:val="none"/>
        </w:rPr>
      </w:pPr>
      <w:r>
        <w:rPr>
          <w:rFonts w:hint="eastAsia" w:ascii="宋体" w:hAnsi="宋体"/>
          <w:b/>
          <w:color w:val="auto"/>
          <w:szCs w:val="21"/>
          <w:highlight w:val="none"/>
        </w:rPr>
        <w:t>（3）</w:t>
      </w:r>
      <w:r>
        <w:rPr>
          <w:rFonts w:hint="eastAsia" w:ascii="宋体" w:hAnsi="宋体"/>
          <w:color w:val="auto"/>
          <w:szCs w:val="21"/>
          <w:highlight w:val="none"/>
        </w:rPr>
        <w:t>法定代表人授权委托书和委托代理人身份证复印件（格式见第六章)</w:t>
      </w:r>
      <w:r>
        <w:rPr>
          <w:rFonts w:hint="eastAsia" w:ascii="宋体" w:hAnsi="宋体"/>
          <w:b/>
          <w:color w:val="auto"/>
          <w:szCs w:val="21"/>
          <w:highlight w:val="none"/>
        </w:rPr>
        <w:t>（必须提供）</w:t>
      </w:r>
      <w:r>
        <w:rPr>
          <w:rFonts w:hint="eastAsia" w:ascii="宋体" w:hAnsi="宋体"/>
          <w:color w:val="auto"/>
          <w:szCs w:val="21"/>
          <w:highlight w:val="none"/>
        </w:rPr>
        <w:t>；当法定代表人参加投标时，必须提供法定代表人身份证复印件；</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（4）投标截止之日前半年内投标人连续三个月</w:t>
      </w:r>
      <w:r>
        <w:rPr>
          <w:rFonts w:hint="eastAsia" w:ascii="宋体" w:hAnsi="宋体"/>
          <w:color w:val="auto"/>
          <w:szCs w:val="21"/>
          <w:highlight w:val="none"/>
        </w:rPr>
        <w:t>依法纳税的依法缴纳税费或依法免缴税费的证明</w:t>
      </w:r>
      <w:r>
        <w:rPr>
          <w:rFonts w:hint="eastAsia" w:ascii="宋体" w:hAnsi="宋体"/>
          <w:b/>
          <w:color w:val="auto"/>
          <w:szCs w:val="21"/>
          <w:highlight w:val="none"/>
        </w:rPr>
        <w:t>（复印件，原件备查，格式自拟）（必须提供）；</w:t>
      </w:r>
      <w:r>
        <w:rPr>
          <w:rFonts w:hint="eastAsia" w:ascii="宋体" w:hAnsi="宋体"/>
          <w:color w:val="auto"/>
          <w:szCs w:val="21"/>
          <w:highlight w:val="none"/>
        </w:rPr>
        <w:t>无纳税记录的，应提供由投标人所在地主管国税或地税部门出具的《依法纳税或依法免税证明》（格式自拟，复印件，原件备查）</w:t>
      </w:r>
      <w:r>
        <w:rPr>
          <w:rFonts w:hint="eastAsia" w:ascii="宋体" w:hAnsi="宋体"/>
          <w:b/>
          <w:color w:val="auto"/>
          <w:szCs w:val="21"/>
          <w:highlight w:val="none"/>
        </w:rPr>
        <w:t>。</w:t>
      </w:r>
    </w:p>
    <w:p>
      <w:pPr>
        <w:snapToGrid w:val="0"/>
        <w:spacing w:beforeLines="50" w:after="50" w:line="360" w:lineRule="exact"/>
        <w:rPr>
          <w:rFonts w:ascii="宋体" w:hAnsi="宋体"/>
          <w:color w:val="auto"/>
          <w:szCs w:val="21"/>
          <w:highlight w:val="none"/>
        </w:rPr>
      </w:pPr>
      <w:r>
        <w:rPr>
          <w:rFonts w:hint="eastAsia" w:ascii="宋体" w:hAnsi="宋体"/>
          <w:b/>
          <w:color w:val="auto"/>
          <w:szCs w:val="21"/>
          <w:highlight w:val="none"/>
        </w:rPr>
        <w:t xml:space="preserve">    （5）</w:t>
      </w:r>
      <w:r>
        <w:rPr>
          <w:rFonts w:hint="eastAsia" w:ascii="宋体" w:hAnsi="宋体"/>
          <w:color w:val="auto"/>
          <w:szCs w:val="21"/>
          <w:highlight w:val="none"/>
        </w:rPr>
        <w:t>投标截止之日前半年内投标人连续三个月的依法缴纳社保费的缴费凭证（</w:t>
      </w:r>
      <w:r>
        <w:rPr>
          <w:rFonts w:hint="eastAsia" w:ascii="宋体" w:hAnsi="宋体"/>
          <w:b/>
          <w:color w:val="auto"/>
          <w:szCs w:val="21"/>
          <w:highlight w:val="none"/>
        </w:rPr>
        <w:t>复印件，原件备查，格式自拟）（必须提供）；</w:t>
      </w:r>
      <w:r>
        <w:rPr>
          <w:rFonts w:hint="eastAsia" w:ascii="宋体" w:hAnsi="宋体"/>
          <w:color w:val="auto"/>
          <w:szCs w:val="21"/>
          <w:highlight w:val="none"/>
        </w:rPr>
        <w:t>无缴费记录的，应提供由投标人所在地社保部门出具的《依法缴纳或依法免缴社保费证明》（格式自拟，复印件，原件备查）。</w:t>
      </w:r>
    </w:p>
    <w:p>
      <w:pPr>
        <w:snapToGrid w:val="0"/>
        <w:spacing w:line="360" w:lineRule="exact"/>
        <w:jc w:val="left"/>
        <w:rPr>
          <w:rFonts w:ascii="宋体" w:hAnsi="宋体"/>
          <w:b/>
          <w:color w:val="auto"/>
          <w:szCs w:val="21"/>
          <w:highlight w:val="none"/>
        </w:rPr>
      </w:pPr>
      <w:r>
        <w:rPr>
          <w:rFonts w:hint="eastAsia" w:ascii="宋体" w:hAnsi="宋体"/>
          <w:b/>
          <w:color w:val="auto"/>
          <w:szCs w:val="21"/>
          <w:highlight w:val="none"/>
        </w:rPr>
        <w:t xml:space="preserve">    （6）</w:t>
      </w:r>
      <w:r>
        <w:rPr>
          <w:rFonts w:hint="eastAsia" w:ascii="宋体" w:hAnsi="宋体"/>
          <w:color w:val="auto"/>
          <w:szCs w:val="21"/>
          <w:highlight w:val="none"/>
        </w:rPr>
        <w:t>财务状况报告</w:t>
      </w:r>
      <w:r>
        <w:rPr>
          <w:rFonts w:hint="eastAsia" w:ascii="宋体" w:hAnsi="宋体"/>
          <w:b/>
          <w:color w:val="auto"/>
          <w:szCs w:val="21"/>
          <w:highlight w:val="none"/>
        </w:rPr>
        <w:t>（必须提供）；</w:t>
      </w:r>
    </w:p>
    <w:p>
      <w:pPr>
        <w:snapToGrid w:val="0"/>
        <w:spacing w:line="360" w:lineRule="exact"/>
        <w:ind w:firstLine="413" w:firstLineChars="196"/>
        <w:jc w:val="left"/>
        <w:rPr>
          <w:rFonts w:ascii="宋体" w:hAnsi="宋体" w:cs="宋体"/>
          <w:b/>
          <w:color w:val="auto"/>
          <w:kern w:val="0"/>
          <w:szCs w:val="21"/>
          <w:highlight w:val="none"/>
        </w:rPr>
      </w:pPr>
      <w:r>
        <w:rPr>
          <w:rFonts w:hint="eastAsia" w:ascii="宋体" w:hAnsi="宋体" w:cs="宋体"/>
          <w:b/>
          <w:color w:val="auto"/>
          <w:kern w:val="0"/>
          <w:szCs w:val="21"/>
          <w:highlight w:val="none"/>
        </w:rPr>
        <w:t>（7）</w:t>
      </w:r>
      <w:r>
        <w:rPr>
          <w:rFonts w:hint="eastAsia" w:ascii="宋体" w:hAnsi="宋体"/>
          <w:color w:val="auto"/>
          <w:szCs w:val="21"/>
          <w:highlight w:val="none"/>
        </w:rPr>
        <w:t>具备履行合同所必需的设备和专业技术能力的证明材料</w:t>
      </w:r>
      <w:r>
        <w:rPr>
          <w:rFonts w:hint="eastAsia" w:ascii="宋体" w:hAnsi="宋体"/>
          <w:b/>
          <w:color w:val="auto"/>
          <w:szCs w:val="21"/>
          <w:highlight w:val="none"/>
        </w:rPr>
        <w:t>（格式自拟）</w:t>
      </w:r>
      <w:r>
        <w:rPr>
          <w:rFonts w:hint="eastAsia" w:ascii="宋体" w:hAnsi="宋体" w:cs="宋体"/>
          <w:b/>
          <w:color w:val="auto"/>
          <w:kern w:val="0"/>
          <w:szCs w:val="21"/>
          <w:highlight w:val="none"/>
        </w:rPr>
        <w:t>；</w:t>
      </w:r>
    </w:p>
    <w:p>
      <w:pPr>
        <w:snapToGrid w:val="0"/>
        <w:spacing w:line="360" w:lineRule="exact"/>
        <w:ind w:firstLine="411" w:firstLineChars="196"/>
        <w:jc w:val="left"/>
        <w:rPr>
          <w:rFonts w:ascii="宋体" w:hAnsi="宋体"/>
          <w:color w:val="auto"/>
          <w:szCs w:val="21"/>
          <w:highlight w:val="none"/>
        </w:rPr>
      </w:pPr>
      <w:r>
        <w:rPr>
          <w:rFonts w:hint="eastAsia" w:ascii="宋体" w:hAnsi="宋体" w:cs="宋体"/>
          <w:color w:val="auto"/>
          <w:kern w:val="0"/>
          <w:szCs w:val="21"/>
          <w:highlight w:val="none"/>
        </w:rPr>
        <w:t>（8）税务登记证复印件；</w:t>
      </w:r>
    </w:p>
    <w:p>
      <w:pPr>
        <w:snapToGrid w:val="0"/>
        <w:spacing w:line="360" w:lineRule="exact"/>
        <w:ind w:firstLine="411" w:firstLineChars="196"/>
        <w:jc w:val="left"/>
        <w:rPr>
          <w:rFonts w:ascii="宋体" w:hAnsi="宋体"/>
          <w:b/>
          <w:color w:val="auto"/>
          <w:szCs w:val="21"/>
          <w:highlight w:val="none"/>
        </w:rPr>
      </w:pPr>
      <w:r>
        <w:rPr>
          <w:rFonts w:hint="eastAsia" w:ascii="宋体" w:hAnsi="宋体"/>
          <w:color w:val="auto"/>
          <w:szCs w:val="21"/>
          <w:highlight w:val="none"/>
        </w:rPr>
        <w:t>（9）商务及其他要求表（格式见第六章）</w:t>
      </w:r>
      <w:r>
        <w:rPr>
          <w:rFonts w:hint="eastAsia" w:ascii="宋体" w:hAnsi="宋体"/>
          <w:b/>
          <w:color w:val="auto"/>
          <w:szCs w:val="21"/>
          <w:highlight w:val="none"/>
        </w:rPr>
        <w:t>（必须提供）；</w:t>
      </w:r>
    </w:p>
    <w:p>
      <w:pPr>
        <w:snapToGrid w:val="0"/>
        <w:spacing w:line="360" w:lineRule="exact"/>
        <w:ind w:firstLine="411" w:firstLineChars="196"/>
        <w:jc w:val="left"/>
        <w:rPr>
          <w:rFonts w:ascii="宋体" w:hAnsi="宋体"/>
          <w:b/>
          <w:color w:val="auto"/>
          <w:szCs w:val="21"/>
          <w:highlight w:val="none"/>
        </w:rPr>
      </w:pPr>
      <w:r>
        <w:rPr>
          <w:rFonts w:hint="eastAsia" w:ascii="宋体" w:hAnsi="宋体"/>
          <w:color w:val="auto"/>
          <w:highlight w:val="none"/>
        </w:rPr>
        <w:t>▲</w:t>
      </w:r>
      <w:r>
        <w:rPr>
          <w:rFonts w:hint="eastAsia" w:ascii="宋体" w:hAnsi="宋体"/>
          <w:b/>
          <w:color w:val="auto"/>
          <w:szCs w:val="21"/>
          <w:highlight w:val="none"/>
        </w:rPr>
        <w:t>（10）招标项目采购需求中要求必须提供的材料等；</w:t>
      </w:r>
    </w:p>
    <w:p>
      <w:pPr>
        <w:snapToGrid w:val="0"/>
        <w:spacing w:line="360" w:lineRule="exact"/>
        <w:ind w:firstLine="411" w:firstLineChars="196"/>
        <w:jc w:val="left"/>
        <w:rPr>
          <w:rFonts w:ascii="宋体" w:hAnsi="宋体"/>
          <w:b/>
          <w:color w:val="auto"/>
          <w:szCs w:val="21"/>
          <w:highlight w:val="none"/>
        </w:rPr>
      </w:pPr>
      <w:r>
        <w:rPr>
          <w:rFonts w:hint="eastAsia" w:ascii="宋体" w:hAnsi="宋体"/>
          <w:color w:val="auto"/>
          <w:szCs w:val="21"/>
          <w:highlight w:val="none"/>
        </w:rPr>
        <w:t>（11）具备法律、行政法规规定的其他条件的证明材料</w:t>
      </w:r>
      <w:r>
        <w:rPr>
          <w:rFonts w:hint="eastAsia" w:ascii="宋体" w:hAnsi="宋体"/>
          <w:b/>
          <w:color w:val="auto"/>
          <w:szCs w:val="21"/>
          <w:highlight w:val="none"/>
        </w:rPr>
        <w:t>(如有规定,则必须提供)。</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bCs/>
          <w:color w:val="auto"/>
          <w:szCs w:val="21"/>
          <w:highlight w:val="none"/>
        </w:rPr>
        <w:t xml:space="preserve">可作为投标人资信评分的资质证明材料（可选）  </w:t>
      </w:r>
    </w:p>
    <w:p>
      <w:pPr>
        <w:snapToGrid w:val="0"/>
        <w:spacing w:line="360" w:lineRule="exact"/>
        <w:ind w:left="937" w:leftChars="196" w:hanging="525" w:hangingChars="250"/>
        <w:jc w:val="left"/>
        <w:rPr>
          <w:rFonts w:ascii="宋体" w:hAnsi="宋体"/>
          <w:color w:val="auto"/>
          <w:szCs w:val="21"/>
          <w:highlight w:val="none"/>
        </w:rPr>
      </w:pPr>
      <w:r>
        <w:rPr>
          <w:rFonts w:hint="eastAsia" w:ascii="宋体" w:hAnsi="宋体"/>
          <w:color w:val="auto"/>
          <w:szCs w:val="21"/>
          <w:highlight w:val="none"/>
        </w:rPr>
        <w:t>（12）类似案例成功的业绩（投标人同类项目实施情况一览表、合同复印件、用户验收报告、用户评价）；</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（13）其他特殊资质证书（如本地化服务能力等）；</w:t>
      </w:r>
    </w:p>
    <w:p>
      <w:pPr>
        <w:snapToGrid w:val="0"/>
        <w:spacing w:line="360" w:lineRule="exact"/>
        <w:ind w:firstLine="413" w:firstLineChars="196"/>
        <w:jc w:val="left"/>
        <w:rPr>
          <w:rFonts w:ascii="宋体" w:hAnsi="宋体"/>
          <w:color w:val="auto"/>
          <w:szCs w:val="21"/>
          <w:highlight w:val="none"/>
        </w:rPr>
      </w:pPr>
      <w:r>
        <w:rPr>
          <w:rFonts w:hint="eastAsia" w:ascii="宋体" w:hAnsi="宋体"/>
          <w:b/>
          <w:color w:val="auto"/>
          <w:szCs w:val="21"/>
          <w:highlight w:val="none"/>
        </w:rPr>
        <w:t>（</w:t>
      </w:r>
      <w:r>
        <w:rPr>
          <w:rFonts w:hint="eastAsia" w:ascii="宋体" w:hAnsi="宋体"/>
          <w:color w:val="auto"/>
          <w:szCs w:val="21"/>
          <w:highlight w:val="none"/>
        </w:rPr>
        <w:t>14</w:t>
      </w:r>
      <w:r>
        <w:rPr>
          <w:rFonts w:hint="eastAsia" w:ascii="宋体" w:hAnsi="宋体"/>
          <w:b/>
          <w:color w:val="auto"/>
          <w:szCs w:val="21"/>
          <w:highlight w:val="none"/>
        </w:rPr>
        <w:t>）</w:t>
      </w:r>
      <w:r>
        <w:rPr>
          <w:rFonts w:hint="eastAsia" w:ascii="宋体" w:hAnsi="宋体"/>
          <w:color w:val="auto"/>
          <w:szCs w:val="21"/>
          <w:highlight w:val="none"/>
        </w:rPr>
        <w:t>投标人质量管理和质量保证体系等方面的认证证书；</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（15）投标人认为可以证明其能力或业绩的其他材料；</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（16）投标人关于服务升级及本单位债务纠纷、违法违规记录等方面的情况（内容见投标声明书）；</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（17）投标人情况介绍。</w:t>
      </w:r>
    </w:p>
    <w:p>
      <w:pPr>
        <w:snapToGrid w:val="0"/>
        <w:spacing w:line="440" w:lineRule="exact"/>
        <w:ind w:firstLine="413" w:firstLineChars="196"/>
        <w:jc w:val="left"/>
        <w:rPr>
          <w:rFonts w:ascii="宋体" w:hAnsi="宋体"/>
          <w:b/>
          <w:bCs/>
          <w:color w:val="auto"/>
          <w:szCs w:val="21"/>
          <w:highlight w:val="none"/>
        </w:rPr>
      </w:pPr>
      <w:r>
        <w:rPr>
          <w:rFonts w:hint="eastAsia" w:ascii="宋体" w:hAnsi="宋体"/>
          <w:b/>
          <w:bCs/>
          <w:color w:val="auto"/>
          <w:szCs w:val="21"/>
          <w:highlight w:val="none"/>
        </w:rPr>
        <w:t>3.技术文件</w:t>
      </w:r>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（1）对本项目服务要求的理解；</w:t>
      </w:r>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（2）服务响应表；</w:t>
      </w:r>
      <w:r>
        <w:rPr>
          <w:rFonts w:hint="eastAsia" w:ascii="宋体" w:hAnsi="宋体"/>
          <w:b/>
          <w:color w:val="auto"/>
          <w:szCs w:val="21"/>
          <w:highlight w:val="none"/>
        </w:rPr>
        <w:t>（必须提供）</w:t>
      </w:r>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（3）服务清单（均不含报价）；</w:t>
      </w:r>
    </w:p>
    <w:p>
      <w:pPr>
        <w:snapToGrid w:val="0"/>
        <w:spacing w:line="44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（4）</w:t>
      </w:r>
      <w:r>
        <w:rPr>
          <w:rFonts w:hint="eastAsia"/>
          <w:b/>
          <w:color w:val="auto"/>
          <w:szCs w:val="21"/>
          <w:highlight w:val="none"/>
        </w:rPr>
        <w:t>服务方案(含服务承诺)（应据项目实际要求描述，如：</w:t>
      </w:r>
      <w:r>
        <w:rPr>
          <w:rFonts w:hint="eastAsia" w:ascii="宋体" w:hAnsi="宋体"/>
          <w:b/>
          <w:color w:val="auto"/>
          <w:szCs w:val="21"/>
          <w:highlight w:val="none"/>
        </w:rPr>
        <w:t>投标人建议的技术服务、服务的内容和措施等）；（格式自拟，必须提供）</w:t>
      </w:r>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（5）投标人拥有主要服务设施的情况和现状（格式自拟）及项目实施人员一览表； </w:t>
      </w:r>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（6）优惠条件：投标人承诺给予招标人的各种优惠条件；</w:t>
      </w:r>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（7）投标人对本项目的合理化建议和改进措施；</w:t>
      </w:r>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（8）投标人需要说明的其他文件和说明（格式略）；</w:t>
      </w:r>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▲（9）招标项目采购需求中要求必须提供的材料。</w:t>
      </w:r>
    </w:p>
    <w:p>
      <w:pPr>
        <w:snapToGrid w:val="0"/>
        <w:spacing w:line="44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4.报价文件：</w:t>
      </w:r>
    </w:p>
    <w:p>
      <w:pPr>
        <w:tabs>
          <w:tab w:val="left" w:pos="3870"/>
          <w:tab w:val="left" w:pos="4085"/>
        </w:tabs>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（1）投标函（格式见第六章）； </w:t>
      </w:r>
    </w:p>
    <w:p>
      <w:pPr>
        <w:tabs>
          <w:tab w:val="left" w:pos="3870"/>
          <w:tab w:val="left" w:pos="4085"/>
        </w:tabs>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（2）投标报价明细表（格式见第六章）；</w:t>
      </w:r>
    </w:p>
    <w:p>
      <w:pPr>
        <w:tabs>
          <w:tab w:val="left" w:pos="3870"/>
          <w:tab w:val="left" w:pos="4085"/>
        </w:tabs>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（3）投标人针对报价需要说明的其他文件和说明；（格式自拟）</w:t>
      </w:r>
    </w:p>
    <w:p>
      <w:pPr>
        <w:tabs>
          <w:tab w:val="left" w:pos="3870"/>
          <w:tab w:val="left" w:pos="4085"/>
        </w:tabs>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（4）开标一览表（单独封装递交，格式见第六章）。</w:t>
      </w:r>
    </w:p>
    <w:p>
      <w:pPr>
        <w:pStyle w:val="43"/>
        <w:spacing w:line="360" w:lineRule="exact"/>
        <w:ind w:firstLine="420" w:firstLineChars="200"/>
        <w:rPr>
          <w:rFonts w:ascii="宋体" w:hAnsi="宋体"/>
          <w:color w:val="auto"/>
          <w:szCs w:val="21"/>
          <w:highlight w:val="none"/>
        </w:rPr>
      </w:pPr>
      <w:bookmarkStart w:id="24" w:name="_Toc254970537"/>
      <w:bookmarkStart w:id="25" w:name="_Toc254970678"/>
      <w:r>
        <w:rPr>
          <w:rFonts w:hint="eastAsia" w:ascii="宋体" w:hAnsi="宋体"/>
          <w:color w:val="auto"/>
          <w:szCs w:val="21"/>
          <w:highlight w:val="none"/>
        </w:rPr>
        <w:t>▲</w:t>
      </w:r>
      <w:r>
        <w:rPr>
          <w:rFonts w:hint="eastAsia" w:ascii="宋体" w:hAnsi="宋体"/>
          <w:b/>
          <w:bCs/>
          <w:color w:val="auto"/>
          <w:szCs w:val="21"/>
          <w:highlight w:val="none"/>
        </w:rPr>
        <w:t>注：法定代表人授权委托书、投标声明书、投标函、开标一览表必须招标文件格式要求签署和加盖单位公章。</w:t>
      </w:r>
    </w:p>
    <w:p>
      <w:pPr>
        <w:snapToGrid w:val="0"/>
        <w:spacing w:line="360" w:lineRule="exact"/>
        <w:ind w:firstLine="413" w:firstLineChars="196"/>
        <w:jc w:val="left"/>
        <w:outlineLvl w:val="0"/>
        <w:rPr>
          <w:rFonts w:ascii="宋体" w:hAnsi="宋体"/>
          <w:b/>
          <w:color w:val="auto"/>
          <w:szCs w:val="21"/>
          <w:highlight w:val="none"/>
        </w:rPr>
      </w:pPr>
      <w:r>
        <w:rPr>
          <w:rFonts w:hint="eastAsia" w:ascii="宋体" w:hAnsi="宋体"/>
          <w:b/>
          <w:color w:val="auto"/>
          <w:szCs w:val="21"/>
          <w:highlight w:val="none"/>
        </w:rPr>
        <w:t>（二）投标文件的语言及计量</w:t>
      </w:r>
      <w:bookmarkEnd w:id="24"/>
      <w:bookmarkEnd w:id="25"/>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▲2投标计量单位，招标文件已有明确规定的，使用招标文件规定的计量单位；招标文件没有规定的，应采用中华人民共和国法定计量单位（货币单位：人民币元），否则视同未响应。</w:t>
      </w:r>
    </w:p>
    <w:p>
      <w:pPr>
        <w:snapToGrid w:val="0"/>
        <w:spacing w:beforeLines="50" w:line="360" w:lineRule="exact"/>
        <w:ind w:firstLine="413" w:firstLineChars="196"/>
        <w:jc w:val="left"/>
        <w:outlineLvl w:val="0"/>
        <w:rPr>
          <w:rFonts w:ascii="宋体" w:hAnsi="宋体"/>
          <w:b/>
          <w:color w:val="auto"/>
          <w:szCs w:val="21"/>
          <w:highlight w:val="none"/>
        </w:rPr>
      </w:pPr>
      <w:bookmarkStart w:id="26" w:name="_Toc254970538"/>
      <w:bookmarkStart w:id="27" w:name="_Toc254970679"/>
      <w:r>
        <w:rPr>
          <w:rFonts w:hint="eastAsia" w:ascii="宋体" w:hAnsi="宋体"/>
          <w:b/>
          <w:color w:val="auto"/>
          <w:szCs w:val="21"/>
          <w:highlight w:val="none"/>
        </w:rPr>
        <w:t>（三）投标报价</w:t>
      </w:r>
      <w:bookmarkEnd w:id="26"/>
      <w:bookmarkEnd w:id="27"/>
    </w:p>
    <w:p>
      <w:pPr>
        <w:pStyle w:val="26"/>
        <w:snapToGrid w:val="0"/>
        <w:spacing w:line="360" w:lineRule="exact"/>
        <w:ind w:firstLine="420" w:firstLineChars="200"/>
        <w:jc w:val="left"/>
        <w:rPr>
          <w:rFonts w:hAnsi="宋体"/>
          <w:color w:val="auto"/>
          <w:highlight w:val="none"/>
        </w:rPr>
      </w:pPr>
      <w:r>
        <w:rPr>
          <w:rFonts w:hint="eastAsia" w:hAnsi="宋体"/>
          <w:color w:val="auto"/>
          <w:highlight w:val="none"/>
        </w:rPr>
        <w:t>1.投标报价应按招标文件中相关附表格式填写。</w:t>
      </w:r>
      <w:r>
        <w:rPr>
          <w:rFonts w:hint="eastAsia" w:hAnsi="宋体"/>
          <w:b/>
          <w:color w:val="auto"/>
          <w:highlight w:val="none"/>
        </w:rPr>
        <w:t>投标人可就《项目采购需求》中的服务内容作完整唯一报价</w:t>
      </w:r>
      <w:r>
        <w:rPr>
          <w:rFonts w:hint="eastAsia" w:hAnsi="宋体"/>
          <w:color w:val="auto"/>
          <w:highlight w:val="none"/>
        </w:rPr>
        <w:t>。</w:t>
      </w:r>
    </w:p>
    <w:p>
      <w:pPr>
        <w:pStyle w:val="26"/>
        <w:snapToGrid w:val="0"/>
        <w:spacing w:line="360" w:lineRule="exact"/>
        <w:ind w:firstLine="420" w:firstLineChars="200"/>
        <w:jc w:val="left"/>
        <w:rPr>
          <w:rFonts w:hAnsi="宋体"/>
          <w:color w:val="auto"/>
          <w:highlight w:val="none"/>
        </w:rPr>
      </w:pPr>
      <w:r>
        <w:rPr>
          <w:rFonts w:hint="eastAsia" w:hAnsi="宋体"/>
          <w:color w:val="auto"/>
          <w:highlight w:val="none"/>
        </w:rPr>
        <w:t>2.投标报价是履行合同的最终价格。</w:t>
      </w:r>
    </w:p>
    <w:p>
      <w:pPr>
        <w:tabs>
          <w:tab w:val="left" w:pos="525"/>
        </w:tabs>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3.投标文件只允许有一个报价，有选择的或有条件的报价将不予接受。</w:t>
      </w:r>
    </w:p>
    <w:p>
      <w:pPr>
        <w:pStyle w:val="13"/>
        <w:widowControl w:val="0"/>
        <w:tabs>
          <w:tab w:val="clear" w:pos="454"/>
        </w:tabs>
        <w:snapToGrid w:val="0"/>
        <w:spacing w:beforeLines="50" w:afterLines="0" w:line="360" w:lineRule="exact"/>
        <w:ind w:left="0" w:firstLine="413" w:firstLineChars="196"/>
        <w:outlineLvl w:val="0"/>
        <w:rPr>
          <w:rFonts w:ascii="宋体" w:hAnsi="宋体"/>
          <w:b/>
          <w:color w:val="auto"/>
          <w:sz w:val="21"/>
          <w:szCs w:val="21"/>
          <w:highlight w:val="none"/>
        </w:rPr>
      </w:pPr>
      <w:r>
        <w:rPr>
          <w:rFonts w:hint="eastAsia" w:ascii="宋体" w:hAnsi="宋体"/>
          <w:b/>
          <w:color w:val="auto"/>
          <w:sz w:val="21"/>
          <w:szCs w:val="21"/>
          <w:highlight w:val="none"/>
        </w:rPr>
        <w:t>（四）投标文件的有效期</w:t>
      </w:r>
    </w:p>
    <w:p>
      <w:pPr>
        <w:pStyle w:val="13"/>
        <w:widowControl w:val="0"/>
        <w:tabs>
          <w:tab w:val="clear" w:pos="454"/>
        </w:tabs>
        <w:snapToGrid w:val="0"/>
        <w:spacing w:after="156" w:line="360" w:lineRule="exact"/>
        <w:ind w:left="0" w:firstLine="424" w:firstLineChars="202"/>
        <w:rPr>
          <w:rFonts w:ascii="宋体" w:hAnsi="宋体"/>
          <w:color w:val="auto"/>
          <w:sz w:val="21"/>
          <w:szCs w:val="21"/>
          <w:highlight w:val="none"/>
        </w:rPr>
      </w:pPr>
      <w:r>
        <w:rPr>
          <w:rFonts w:hint="eastAsia" w:ascii="宋体" w:hAnsi="宋体"/>
          <w:color w:val="auto"/>
          <w:sz w:val="21"/>
          <w:szCs w:val="21"/>
          <w:highlight w:val="none"/>
        </w:rPr>
        <w:t>1.自投标截止日起</w:t>
      </w:r>
      <w:r>
        <w:rPr>
          <w:rFonts w:hint="eastAsia" w:ascii="宋体" w:hAnsi="宋体"/>
          <w:color w:val="auto"/>
          <w:sz w:val="21"/>
          <w:szCs w:val="21"/>
          <w:highlight w:val="none"/>
          <w:u w:val="single"/>
        </w:rPr>
        <w:t>六十日</w:t>
      </w:r>
      <w:r>
        <w:rPr>
          <w:rFonts w:hint="eastAsia" w:ascii="宋体" w:hAnsi="宋体"/>
          <w:color w:val="auto"/>
          <w:sz w:val="21"/>
          <w:szCs w:val="21"/>
          <w:highlight w:val="none"/>
        </w:rPr>
        <w:t>投标文件应保持有效。有效期不足的投标文件将被拒绝。</w:t>
      </w:r>
    </w:p>
    <w:p>
      <w:pPr>
        <w:pStyle w:val="13"/>
        <w:widowControl w:val="0"/>
        <w:tabs>
          <w:tab w:val="clear" w:pos="454"/>
        </w:tabs>
        <w:snapToGrid w:val="0"/>
        <w:spacing w:after="156" w:line="360" w:lineRule="exact"/>
        <w:ind w:left="0" w:firstLine="424" w:firstLineChars="202"/>
        <w:rPr>
          <w:rFonts w:ascii="宋体" w:hAnsi="宋体"/>
          <w:color w:val="auto"/>
          <w:sz w:val="21"/>
          <w:szCs w:val="21"/>
          <w:highlight w:val="none"/>
        </w:rPr>
      </w:pPr>
      <w:r>
        <w:rPr>
          <w:rFonts w:hint="eastAsia" w:ascii="宋体" w:hAnsi="宋体"/>
          <w:color w:val="auto"/>
          <w:sz w:val="21"/>
          <w:szCs w:val="21"/>
          <w:highlight w:val="none"/>
        </w:rPr>
        <w:t>2.在特殊情况下，招标人可与投标人协商延长投标书的有效期，这种要求和答复均以书面形式进行。</w:t>
      </w:r>
    </w:p>
    <w:p>
      <w:pPr>
        <w:snapToGrid w:val="0"/>
        <w:spacing w:line="360" w:lineRule="exact"/>
        <w:ind w:firstLine="420" w:firstLineChars="200"/>
        <w:jc w:val="left"/>
        <w:outlineLvl w:val="0"/>
        <w:rPr>
          <w:rFonts w:ascii="宋体" w:hAnsi="宋体"/>
          <w:b/>
          <w:color w:val="auto"/>
          <w:szCs w:val="21"/>
          <w:highlight w:val="none"/>
        </w:rPr>
      </w:pPr>
      <w:bookmarkStart w:id="28" w:name="_Toc254970539"/>
      <w:bookmarkStart w:id="29" w:name="_Toc254970680"/>
      <w:r>
        <w:rPr>
          <w:rFonts w:hint="eastAsia" w:ascii="宋体" w:hAnsi="宋体"/>
          <w:color w:val="auto"/>
          <w:szCs w:val="21"/>
          <w:highlight w:val="none"/>
        </w:rPr>
        <w:t>3.投标人可拒绝接受延期要求而不会导致投标保证金被没收。同意延长有效期的投标人需要相应延长投标保证金的有效期，但不能修改投标文件。</w:t>
      </w:r>
      <w:bookmarkEnd w:id="28"/>
      <w:bookmarkEnd w:id="29"/>
      <w:r>
        <w:rPr>
          <w:rFonts w:hint="eastAsia" w:ascii="宋体" w:hAnsi="宋体"/>
          <w:b/>
          <w:color w:val="auto"/>
          <w:szCs w:val="21"/>
          <w:highlight w:val="none"/>
        </w:rPr>
        <w:t xml:space="preserve"> </w:t>
      </w:r>
    </w:p>
    <w:p>
      <w:pPr>
        <w:snapToGrid w:val="0"/>
        <w:spacing w:line="360" w:lineRule="exact"/>
        <w:ind w:firstLine="420" w:firstLineChars="200"/>
        <w:jc w:val="left"/>
        <w:outlineLvl w:val="0"/>
        <w:rPr>
          <w:rFonts w:ascii="宋体" w:hAnsi="宋体"/>
          <w:b/>
          <w:color w:val="auto"/>
          <w:szCs w:val="21"/>
          <w:highlight w:val="none"/>
        </w:rPr>
      </w:pPr>
      <w:bookmarkStart w:id="30" w:name="_Toc254970540"/>
      <w:bookmarkStart w:id="31" w:name="_Toc254970681"/>
      <w:r>
        <w:rPr>
          <w:rFonts w:hint="eastAsia" w:ascii="宋体" w:hAnsi="宋体"/>
          <w:color w:val="auto"/>
          <w:szCs w:val="21"/>
          <w:highlight w:val="none"/>
        </w:rPr>
        <w:t>4.中标人的投标文件自开标之日起至合同履行完毕止均应保持有效。</w:t>
      </w:r>
      <w:bookmarkEnd w:id="30"/>
      <w:bookmarkEnd w:id="31"/>
    </w:p>
    <w:p>
      <w:pPr>
        <w:snapToGrid w:val="0"/>
        <w:spacing w:beforeLines="50" w:line="360" w:lineRule="exact"/>
        <w:ind w:firstLine="413" w:firstLineChars="196"/>
        <w:jc w:val="left"/>
        <w:outlineLvl w:val="0"/>
        <w:rPr>
          <w:rFonts w:ascii="宋体" w:hAnsi="宋体"/>
          <w:b/>
          <w:color w:val="auto"/>
          <w:szCs w:val="21"/>
          <w:highlight w:val="none"/>
        </w:rPr>
      </w:pPr>
      <w:bookmarkStart w:id="32" w:name="_Toc254970541"/>
      <w:bookmarkStart w:id="33" w:name="_Toc254970682"/>
      <w:r>
        <w:rPr>
          <w:rFonts w:hint="eastAsia" w:ascii="宋体" w:hAnsi="宋体"/>
          <w:b/>
          <w:color w:val="auto"/>
          <w:szCs w:val="21"/>
          <w:highlight w:val="none"/>
        </w:rPr>
        <w:t>（五）投标保证金</w:t>
      </w:r>
      <w:bookmarkEnd w:id="32"/>
      <w:bookmarkEnd w:id="33"/>
    </w:p>
    <w:p>
      <w:pPr>
        <w:pStyle w:val="26"/>
        <w:spacing w:line="420" w:lineRule="exact"/>
        <w:ind w:left="840" w:leftChars="200" w:hanging="420" w:hangingChars="200"/>
        <w:rPr>
          <w:rFonts w:hAnsi="宋体"/>
          <w:color w:val="auto"/>
          <w:highlight w:val="none"/>
        </w:rPr>
      </w:pPr>
      <w:r>
        <w:rPr>
          <w:rFonts w:hint="eastAsia" w:hAnsi="宋体"/>
          <w:color w:val="auto"/>
          <w:highlight w:val="none"/>
        </w:rPr>
        <w:t>1. 投标保证金应用人民币，投标人须按规定提交投标保证金。否则，其投标将被拒绝。</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2.保证金交纳形式：</w:t>
      </w:r>
      <w:r>
        <w:rPr>
          <w:rFonts w:ascii="宋体" w:hAnsi="宋体"/>
          <w:color w:val="auto"/>
          <w:szCs w:val="21"/>
          <w:highlight w:val="none"/>
        </w:rPr>
        <w:t>支票、汇票、本票</w:t>
      </w:r>
      <w:r>
        <w:rPr>
          <w:rFonts w:hint="eastAsia" w:ascii="宋体" w:hAnsi="宋体"/>
          <w:color w:val="auto"/>
          <w:szCs w:val="21"/>
          <w:highlight w:val="none"/>
        </w:rPr>
        <w:t>、</w:t>
      </w:r>
      <w:r>
        <w:rPr>
          <w:rFonts w:hint="eastAsia" w:hAnsi="宋体" w:cs="Arial"/>
          <w:bCs/>
          <w:color w:val="auto"/>
          <w:highlight w:val="none"/>
        </w:rPr>
        <w:t>网上银行</w:t>
      </w:r>
      <w:r>
        <w:rPr>
          <w:rFonts w:hint="eastAsia" w:ascii="宋体" w:hAnsi="宋体"/>
          <w:color w:val="auto"/>
          <w:szCs w:val="21"/>
          <w:highlight w:val="none"/>
        </w:rPr>
        <w:t>等非现金形式提交。</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 投标人应按本须知及招标公告中所明确的开户名称、开户银行、账号，于投标截止前交到本公司账户上（投标人交纳投标保证金时应充分考虑保证金到达本公司账户上的清算时间）。</w:t>
      </w:r>
    </w:p>
    <w:p>
      <w:pPr>
        <w:snapToGrid w:val="0"/>
        <w:spacing w:line="360" w:lineRule="exact"/>
        <w:ind w:firstLine="735" w:firstLineChars="350"/>
        <w:jc w:val="left"/>
        <w:rPr>
          <w:rFonts w:ascii="宋体" w:hAnsi="宋体"/>
          <w:color w:val="auto"/>
          <w:szCs w:val="21"/>
          <w:highlight w:val="none"/>
        </w:rPr>
      </w:pPr>
      <w:r>
        <w:rPr>
          <w:rFonts w:hint="eastAsia" w:ascii="宋体" w:hAnsi="宋体"/>
          <w:color w:val="auto"/>
          <w:szCs w:val="21"/>
          <w:highlight w:val="none"/>
        </w:rPr>
        <w:t>投标人在项目开标当天将投标保证金转账凭据复印件壹份交到本公司财务室以便退还。</w:t>
      </w:r>
    </w:p>
    <w:p>
      <w:pPr>
        <w:pStyle w:val="26"/>
        <w:spacing w:line="420" w:lineRule="exact"/>
        <w:ind w:firstLine="565" w:firstLineChars="268"/>
        <w:rPr>
          <w:rFonts w:hAnsi="宋体"/>
          <w:b/>
          <w:color w:val="auto"/>
          <w:highlight w:val="none"/>
        </w:rPr>
      </w:pPr>
      <w:r>
        <w:rPr>
          <w:rFonts w:hint="eastAsia" w:hAnsi="宋体"/>
          <w:b/>
          <w:color w:val="auto"/>
          <w:highlight w:val="none"/>
        </w:rPr>
        <w:t>注：①办理投标保证金手续时，请务必在保证金凭据上注明或写明项目名称及项目编号，以免耽误投标。</w:t>
      </w:r>
    </w:p>
    <w:p>
      <w:pPr>
        <w:snapToGrid w:val="0"/>
        <w:spacing w:line="360" w:lineRule="exact"/>
        <w:ind w:firstLine="565" w:firstLineChars="268"/>
        <w:jc w:val="left"/>
        <w:rPr>
          <w:rFonts w:ascii="宋体" w:hAnsi="宋体"/>
          <w:b/>
          <w:color w:val="auto"/>
          <w:szCs w:val="21"/>
          <w:highlight w:val="none"/>
        </w:rPr>
      </w:pPr>
      <w:r>
        <w:rPr>
          <w:rFonts w:hint="eastAsia" w:ascii="宋体" w:hAnsi="宋体"/>
          <w:b/>
          <w:color w:val="auto"/>
          <w:szCs w:val="21"/>
          <w:highlight w:val="none"/>
        </w:rPr>
        <w:t>②未中标人的投标保证金在中标通知书发出后五个工作日内退还，不计利息。</w:t>
      </w:r>
    </w:p>
    <w:p>
      <w:pPr>
        <w:snapToGrid w:val="0"/>
        <w:spacing w:line="360" w:lineRule="exact"/>
        <w:ind w:firstLine="565" w:firstLineChars="268"/>
        <w:jc w:val="left"/>
        <w:rPr>
          <w:rFonts w:ascii="宋体" w:hAnsi="宋体"/>
          <w:b/>
          <w:color w:val="auto"/>
          <w:szCs w:val="21"/>
          <w:highlight w:val="none"/>
        </w:rPr>
      </w:pPr>
      <w:r>
        <w:rPr>
          <w:rFonts w:hint="eastAsia" w:ascii="宋体" w:hAnsi="宋体"/>
          <w:b/>
          <w:color w:val="auto"/>
          <w:szCs w:val="21"/>
          <w:highlight w:val="none"/>
        </w:rPr>
        <w:t>③中标人的投标保证金自政府采购合同签订之日起五个工作日内（合同签订后送达本公司)后退还，不计利息。</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4. 签订合同时间：（1）自中标通知书发出之日起三十日内；（2）按招标项目采购需求中“</w:t>
      </w:r>
      <w:r>
        <w:rPr>
          <w:rFonts w:hint="eastAsia"/>
          <w:color w:val="auto"/>
          <w:szCs w:val="21"/>
          <w:highlight w:val="none"/>
        </w:rPr>
        <w:t>关于签订合同的补充说明</w:t>
      </w:r>
      <w:r>
        <w:rPr>
          <w:rFonts w:hint="eastAsia" w:ascii="宋体" w:hAnsi="宋体"/>
          <w:color w:val="auto"/>
          <w:szCs w:val="21"/>
          <w:highlight w:val="none"/>
        </w:rPr>
        <w:t>”约定执行。</w:t>
      </w:r>
    </w:p>
    <w:p>
      <w:pPr>
        <w:pStyle w:val="26"/>
        <w:spacing w:line="400" w:lineRule="exact"/>
        <w:ind w:firstLine="420" w:firstLineChars="200"/>
        <w:rPr>
          <w:rFonts w:hAnsi="宋体"/>
          <w:color w:val="auto"/>
          <w:highlight w:val="none"/>
        </w:rPr>
      </w:pPr>
      <w:r>
        <w:rPr>
          <w:rFonts w:hint="eastAsia" w:hAnsi="宋体"/>
          <w:color w:val="auto"/>
          <w:highlight w:val="none"/>
        </w:rPr>
        <w:t>5.投标保证金不计息。</w:t>
      </w:r>
    </w:p>
    <w:p>
      <w:pPr>
        <w:snapToGrid w:val="0"/>
        <w:spacing w:line="360" w:lineRule="exact"/>
        <w:ind w:firstLine="413" w:firstLineChars="196"/>
        <w:jc w:val="left"/>
        <w:rPr>
          <w:rFonts w:ascii="宋体" w:hAnsi="宋体"/>
          <w:b/>
          <w:bCs/>
          <w:color w:val="auto"/>
          <w:szCs w:val="21"/>
          <w:highlight w:val="none"/>
        </w:rPr>
      </w:pPr>
      <w:r>
        <w:rPr>
          <w:rFonts w:hint="eastAsia" w:ascii="宋体" w:hAnsi="宋体"/>
          <w:b/>
          <w:bCs/>
          <w:color w:val="auto"/>
          <w:szCs w:val="21"/>
          <w:highlight w:val="none"/>
        </w:rPr>
        <w:t>6.投标人有下列情形之一的，投标保证金将不予退还：</w:t>
      </w:r>
    </w:p>
    <w:p>
      <w:pPr>
        <w:snapToGrid w:val="0"/>
        <w:spacing w:line="360" w:lineRule="exact"/>
        <w:ind w:firstLine="413" w:firstLineChars="196"/>
        <w:jc w:val="left"/>
        <w:rPr>
          <w:rFonts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投标人在投标有效期内撤回投标文件的；</w:t>
      </w:r>
    </w:p>
    <w:p>
      <w:pPr>
        <w:snapToGrid w:val="0"/>
        <w:spacing w:line="360" w:lineRule="exact"/>
        <w:ind w:firstLine="413" w:firstLineChars="196"/>
        <w:jc w:val="left"/>
        <w:rPr>
          <w:rFonts w:ascii="宋体" w:hAnsi="宋体"/>
          <w:color w:val="auto"/>
          <w:szCs w:val="21"/>
          <w:highlight w:val="none"/>
        </w:rPr>
      </w:pPr>
      <w:r>
        <w:rPr>
          <w:rFonts w:hint="eastAsia" w:ascii="宋体" w:hAnsi="宋体"/>
          <w:b/>
          <w:color w:val="auto"/>
          <w:szCs w:val="21"/>
          <w:highlight w:val="none"/>
        </w:rPr>
        <w:t>（2）</w:t>
      </w:r>
      <w:r>
        <w:rPr>
          <w:rFonts w:hint="eastAsia" w:ascii="宋体" w:hAnsi="宋体"/>
          <w:color w:val="auto"/>
          <w:szCs w:val="21"/>
          <w:highlight w:val="none"/>
        </w:rPr>
        <w:t>投标人在投标过程中弄虚作假，提供虚假材料的；</w:t>
      </w:r>
    </w:p>
    <w:p>
      <w:pPr>
        <w:snapToGrid w:val="0"/>
        <w:spacing w:line="360" w:lineRule="exact"/>
        <w:ind w:firstLine="413" w:firstLineChars="196"/>
        <w:jc w:val="left"/>
        <w:rPr>
          <w:rFonts w:ascii="宋体" w:hAnsi="宋体"/>
          <w:color w:val="auto"/>
          <w:szCs w:val="21"/>
          <w:highlight w:val="none"/>
        </w:rPr>
      </w:pPr>
      <w:r>
        <w:rPr>
          <w:rFonts w:hint="eastAsia" w:ascii="宋体" w:hAnsi="宋体"/>
          <w:b/>
          <w:color w:val="auto"/>
          <w:szCs w:val="21"/>
          <w:highlight w:val="none"/>
        </w:rPr>
        <w:t>（3）</w:t>
      </w:r>
      <w:r>
        <w:rPr>
          <w:rFonts w:hint="eastAsia" w:ascii="宋体" w:hAnsi="宋体"/>
          <w:color w:val="auto"/>
          <w:szCs w:val="21"/>
          <w:highlight w:val="none"/>
        </w:rPr>
        <w:t>中标人无正当理由不与采购人签订合同的；</w:t>
      </w:r>
    </w:p>
    <w:p>
      <w:pPr>
        <w:snapToGrid w:val="0"/>
        <w:spacing w:line="360" w:lineRule="exact"/>
        <w:ind w:firstLine="413" w:firstLineChars="196"/>
        <w:rPr>
          <w:rFonts w:ascii="宋体" w:hAnsi="宋体"/>
          <w:color w:val="auto"/>
          <w:szCs w:val="21"/>
          <w:highlight w:val="none"/>
        </w:rPr>
      </w:pPr>
      <w:r>
        <w:rPr>
          <w:rFonts w:hint="eastAsia" w:ascii="宋体" w:hAnsi="宋体"/>
          <w:b/>
          <w:color w:val="auto"/>
          <w:szCs w:val="21"/>
          <w:highlight w:val="none"/>
        </w:rPr>
        <w:t>（4）</w:t>
      </w:r>
      <w:r>
        <w:rPr>
          <w:rFonts w:hint="eastAsia" w:ascii="宋体" w:hAnsi="宋体"/>
          <w:bCs/>
          <w:color w:val="auto"/>
          <w:spacing w:val="-4"/>
          <w:szCs w:val="21"/>
          <w:highlight w:val="none"/>
        </w:rPr>
        <w:t>将中标项目转让给他人或者在投标文件中未说明且未经招标采购人同意，将中标项目分包给他人的；</w:t>
      </w:r>
    </w:p>
    <w:p>
      <w:pPr>
        <w:snapToGrid w:val="0"/>
        <w:spacing w:line="360" w:lineRule="exact"/>
        <w:ind w:firstLine="413" w:firstLineChars="196"/>
        <w:rPr>
          <w:rFonts w:ascii="宋体" w:hAnsi="宋体"/>
          <w:b/>
          <w:color w:val="auto"/>
          <w:szCs w:val="21"/>
          <w:highlight w:val="none"/>
        </w:rPr>
      </w:pPr>
      <w:r>
        <w:rPr>
          <w:rFonts w:hint="eastAsia" w:ascii="宋体" w:hAnsi="宋体"/>
          <w:b/>
          <w:color w:val="auto"/>
          <w:szCs w:val="21"/>
          <w:highlight w:val="none"/>
        </w:rPr>
        <w:t>（5）</w:t>
      </w:r>
      <w:r>
        <w:rPr>
          <w:rFonts w:hint="eastAsia" w:ascii="宋体" w:hAnsi="宋体"/>
          <w:color w:val="auto"/>
          <w:szCs w:val="21"/>
          <w:highlight w:val="none"/>
        </w:rPr>
        <w:t>拒绝履行合同义务的；</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（6）其他严重扰乱招投标程序的。</w:t>
      </w:r>
    </w:p>
    <w:p>
      <w:pPr>
        <w:snapToGrid w:val="0"/>
        <w:spacing w:beforeLines="50" w:line="360" w:lineRule="exact"/>
        <w:ind w:firstLine="413" w:firstLineChars="196"/>
        <w:jc w:val="left"/>
        <w:outlineLvl w:val="0"/>
        <w:rPr>
          <w:rFonts w:ascii="宋体" w:hAnsi="宋体"/>
          <w:b/>
          <w:color w:val="auto"/>
          <w:szCs w:val="21"/>
          <w:highlight w:val="none"/>
        </w:rPr>
      </w:pPr>
      <w:bookmarkStart w:id="34" w:name="_Toc254970542"/>
      <w:bookmarkStart w:id="35" w:name="_Toc254970683"/>
      <w:r>
        <w:rPr>
          <w:rFonts w:hint="eastAsia" w:ascii="宋体" w:hAnsi="宋体"/>
          <w:b/>
          <w:color w:val="auto"/>
          <w:szCs w:val="21"/>
          <w:highlight w:val="none"/>
        </w:rPr>
        <w:t>（六）投标文件的签署和份数</w:t>
      </w:r>
      <w:bookmarkEnd w:id="34"/>
      <w:bookmarkEnd w:id="35"/>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1.投标人应按本招标文件规定的格式和顺序编制、装订投标文件并标注页码，投标文件内容不完整、编排混乱导致投标文件被误读、漏读或者查找不到相关内容的，是投标人的责任。</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 投标人应按将投标文件装订成册，</w:t>
      </w:r>
      <w:r>
        <w:rPr>
          <w:rFonts w:hint="eastAsia" w:ascii="宋体"/>
          <w:color w:val="auto"/>
          <w:szCs w:val="21"/>
          <w:highlight w:val="none"/>
        </w:rPr>
        <w:t>其中</w:t>
      </w:r>
      <w:r>
        <w:rPr>
          <w:rFonts w:hint="eastAsia" w:ascii="宋体"/>
          <w:b/>
          <w:color w:val="auto"/>
          <w:szCs w:val="21"/>
          <w:highlight w:val="none"/>
        </w:rPr>
        <w:t>资格文件</w:t>
      </w:r>
      <w:r>
        <w:rPr>
          <w:rFonts w:hint="eastAsia" w:ascii="宋体"/>
          <w:color w:val="auto"/>
          <w:szCs w:val="21"/>
          <w:highlight w:val="none"/>
        </w:rPr>
        <w:t>正本</w:t>
      </w:r>
      <w:r>
        <w:rPr>
          <w:rFonts w:hint="eastAsia" w:ascii="宋体"/>
          <w:b/>
          <w:color w:val="auto"/>
          <w:szCs w:val="21"/>
          <w:highlight w:val="none"/>
        </w:rPr>
        <w:t>一份，</w:t>
      </w:r>
      <w:r>
        <w:rPr>
          <w:rFonts w:hint="eastAsia" w:ascii="宋体"/>
          <w:color w:val="auto"/>
          <w:szCs w:val="21"/>
          <w:highlight w:val="none"/>
        </w:rPr>
        <w:t>副本</w:t>
      </w:r>
      <w:r>
        <w:rPr>
          <w:rFonts w:hint="eastAsia" w:ascii="宋体"/>
          <w:b/>
          <w:color w:val="auto"/>
          <w:szCs w:val="21"/>
          <w:highlight w:val="none"/>
        </w:rPr>
        <w:t>二</w:t>
      </w:r>
      <w:r>
        <w:rPr>
          <w:rFonts w:hint="eastAsia" w:ascii="宋体"/>
          <w:color w:val="auto"/>
          <w:szCs w:val="21"/>
          <w:highlight w:val="none"/>
        </w:rPr>
        <w:t>份；</w:t>
      </w:r>
      <w:r>
        <w:rPr>
          <w:rFonts w:hint="eastAsia" w:ascii="宋体"/>
          <w:b/>
          <w:color w:val="auto"/>
          <w:szCs w:val="21"/>
          <w:highlight w:val="none"/>
        </w:rPr>
        <w:t>资信及商务文件、技术文件、投标报价文件</w:t>
      </w:r>
      <w:r>
        <w:rPr>
          <w:rFonts w:hint="eastAsia" w:ascii="宋体"/>
          <w:color w:val="auto"/>
          <w:szCs w:val="21"/>
          <w:highlight w:val="none"/>
        </w:rPr>
        <w:t>正本</w:t>
      </w:r>
      <w:r>
        <w:rPr>
          <w:rFonts w:hint="eastAsia" w:ascii="宋体"/>
          <w:b/>
          <w:color w:val="auto"/>
          <w:szCs w:val="21"/>
          <w:highlight w:val="none"/>
        </w:rPr>
        <w:t>一份，</w:t>
      </w:r>
      <w:r>
        <w:rPr>
          <w:rFonts w:hint="eastAsia" w:ascii="宋体"/>
          <w:color w:val="auto"/>
          <w:szCs w:val="21"/>
          <w:highlight w:val="none"/>
        </w:rPr>
        <w:t>副本</w:t>
      </w:r>
      <w:r>
        <w:rPr>
          <w:rFonts w:hint="eastAsia" w:ascii="宋体"/>
          <w:b/>
          <w:color w:val="auto"/>
          <w:szCs w:val="21"/>
          <w:highlight w:val="none"/>
        </w:rPr>
        <w:t>四</w:t>
      </w:r>
      <w:r>
        <w:rPr>
          <w:rFonts w:hint="eastAsia" w:ascii="宋体"/>
          <w:color w:val="auto"/>
          <w:szCs w:val="21"/>
          <w:highlight w:val="none"/>
        </w:rPr>
        <w:t>份；</w:t>
      </w:r>
      <w:r>
        <w:rPr>
          <w:rFonts w:hint="eastAsia" w:ascii="宋体" w:hAnsi="宋体"/>
          <w:color w:val="auto"/>
          <w:szCs w:val="21"/>
          <w:highlight w:val="none"/>
        </w:rPr>
        <w:t>提供投标文件电子版光盘(光盘封面请注明项目名称、项目编号及投标人名称)。1份投标文件的封面应注明“正本”、“副本”字样。活页装订的投标文件将被拒绝。</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3.投标文件的正本需打印或用不褪色的墨水填写，投标文件正本除本《投标人须知》中规定的可提供复印件外均须提供原件。副本为正本的复印件。</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4.投标文件须由投标人在规定位置盖章并由法定代表人或法定代表人的授权委托人签署，投标人应写全称。</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5.投标文件不得涂改，若有修改错漏处，须加盖单位公章或者法定代表人或授权委托人签字或盖章。投标文件因字迹潦草或表达不清所引起的后果由投标人负责。</w:t>
      </w:r>
    </w:p>
    <w:p>
      <w:pPr>
        <w:snapToGrid w:val="0"/>
        <w:spacing w:beforeLines="50" w:line="360" w:lineRule="exact"/>
        <w:ind w:firstLine="310" w:firstLineChars="147"/>
        <w:jc w:val="left"/>
        <w:outlineLvl w:val="0"/>
        <w:rPr>
          <w:rFonts w:ascii="宋体" w:hAnsi="宋体"/>
          <w:b/>
          <w:color w:val="auto"/>
          <w:szCs w:val="21"/>
          <w:highlight w:val="none"/>
        </w:rPr>
      </w:pPr>
      <w:r>
        <w:rPr>
          <w:rFonts w:hint="eastAsia" w:ascii="宋体" w:hAnsi="宋体"/>
          <w:b/>
          <w:color w:val="auto"/>
          <w:szCs w:val="21"/>
          <w:highlight w:val="none"/>
        </w:rPr>
        <w:t>（七）投标文件的包装、递交、修改和撤回</w:t>
      </w:r>
    </w:p>
    <w:p>
      <w:pPr>
        <w:snapToGrid w:val="0"/>
        <w:spacing w:line="360" w:lineRule="exact"/>
        <w:ind w:firstLine="420"/>
        <w:jc w:val="left"/>
        <w:rPr>
          <w:rFonts w:ascii="宋体" w:hAnsi="宋体"/>
          <w:color w:val="auto"/>
          <w:szCs w:val="21"/>
          <w:highlight w:val="none"/>
        </w:rPr>
      </w:pPr>
      <w:r>
        <w:rPr>
          <w:rFonts w:hint="eastAsia" w:hAnsi="宋体"/>
          <w:color w:val="auto"/>
          <w:highlight w:val="none"/>
        </w:rPr>
        <w:t>▲</w:t>
      </w:r>
      <w:r>
        <w:rPr>
          <w:rFonts w:hint="eastAsia" w:ascii="宋体" w:hAnsi="宋体"/>
          <w:color w:val="auto"/>
          <w:szCs w:val="21"/>
          <w:highlight w:val="none"/>
        </w:rPr>
        <w:t xml:space="preserve">1. </w:t>
      </w:r>
      <w:r>
        <w:rPr>
          <w:rFonts w:hint="eastAsia" w:ascii="宋体"/>
          <w:color w:val="auto"/>
          <w:szCs w:val="21"/>
          <w:highlight w:val="none"/>
        </w:rPr>
        <w:t>投标人应将投标文件装订成册（</w:t>
      </w:r>
      <w:r>
        <w:rPr>
          <w:rFonts w:hint="eastAsia" w:ascii="宋体"/>
          <w:b/>
          <w:color w:val="auto"/>
          <w:szCs w:val="21"/>
          <w:highlight w:val="none"/>
        </w:rPr>
        <w:t>要求资格文件装订成一本；资信及商务文件、技术文件、投标报价文件</w:t>
      </w:r>
      <w:r>
        <w:rPr>
          <w:rFonts w:hint="eastAsia" w:ascii="宋体" w:cs="Arial"/>
          <w:b/>
          <w:color w:val="auto"/>
          <w:szCs w:val="21"/>
          <w:highlight w:val="none"/>
        </w:rPr>
        <w:t>装订成一本</w:t>
      </w:r>
      <w:r>
        <w:rPr>
          <w:rFonts w:hint="eastAsia" w:ascii="宋体" w:cs="Arial"/>
          <w:color w:val="auto"/>
          <w:szCs w:val="21"/>
          <w:highlight w:val="none"/>
        </w:rPr>
        <w:t>）</w:t>
      </w:r>
      <w:r>
        <w:rPr>
          <w:rFonts w:hint="eastAsia" w:ascii="宋体"/>
          <w:color w:val="auto"/>
          <w:szCs w:val="21"/>
          <w:highlight w:val="none"/>
        </w:rPr>
        <w:t>，其中</w:t>
      </w:r>
      <w:r>
        <w:rPr>
          <w:rFonts w:hint="eastAsia" w:ascii="宋体"/>
          <w:b/>
          <w:color w:val="auto"/>
          <w:szCs w:val="21"/>
          <w:highlight w:val="none"/>
        </w:rPr>
        <w:t>资格文件</w:t>
      </w:r>
      <w:r>
        <w:rPr>
          <w:rFonts w:hint="eastAsia" w:ascii="宋体"/>
          <w:color w:val="auto"/>
          <w:szCs w:val="21"/>
          <w:highlight w:val="none"/>
        </w:rPr>
        <w:t>正本</w:t>
      </w:r>
      <w:r>
        <w:rPr>
          <w:rFonts w:hint="eastAsia" w:ascii="宋体"/>
          <w:b/>
          <w:color w:val="auto"/>
          <w:szCs w:val="21"/>
          <w:highlight w:val="none"/>
        </w:rPr>
        <w:t>一份，</w:t>
      </w:r>
      <w:r>
        <w:rPr>
          <w:rFonts w:hint="eastAsia" w:ascii="宋体"/>
          <w:color w:val="auto"/>
          <w:szCs w:val="21"/>
          <w:highlight w:val="none"/>
        </w:rPr>
        <w:t>副本</w:t>
      </w:r>
      <w:r>
        <w:rPr>
          <w:rFonts w:hint="eastAsia" w:ascii="宋体"/>
          <w:b/>
          <w:color w:val="auto"/>
          <w:szCs w:val="21"/>
          <w:highlight w:val="none"/>
        </w:rPr>
        <w:t>二</w:t>
      </w:r>
      <w:r>
        <w:rPr>
          <w:rFonts w:hint="eastAsia" w:ascii="宋体"/>
          <w:color w:val="auto"/>
          <w:szCs w:val="21"/>
          <w:highlight w:val="none"/>
        </w:rPr>
        <w:t>份；</w:t>
      </w:r>
      <w:r>
        <w:rPr>
          <w:rFonts w:hint="eastAsia" w:ascii="宋体"/>
          <w:b/>
          <w:color w:val="auto"/>
          <w:szCs w:val="21"/>
          <w:highlight w:val="none"/>
        </w:rPr>
        <w:t>资信及商务文件、技术文件、投标报价文件</w:t>
      </w:r>
      <w:r>
        <w:rPr>
          <w:rFonts w:hint="eastAsia" w:ascii="宋体"/>
          <w:color w:val="auto"/>
          <w:szCs w:val="21"/>
          <w:highlight w:val="none"/>
        </w:rPr>
        <w:t>正本</w:t>
      </w:r>
      <w:r>
        <w:rPr>
          <w:rFonts w:hint="eastAsia" w:ascii="宋体"/>
          <w:b/>
          <w:color w:val="auto"/>
          <w:szCs w:val="21"/>
          <w:highlight w:val="none"/>
        </w:rPr>
        <w:t>一份，</w:t>
      </w:r>
      <w:r>
        <w:rPr>
          <w:rFonts w:hint="eastAsia" w:ascii="宋体"/>
          <w:color w:val="auto"/>
          <w:szCs w:val="21"/>
          <w:highlight w:val="none"/>
        </w:rPr>
        <w:t>副本</w:t>
      </w:r>
      <w:r>
        <w:rPr>
          <w:rFonts w:hint="eastAsia" w:ascii="宋体"/>
          <w:b/>
          <w:color w:val="auto"/>
          <w:szCs w:val="21"/>
          <w:highlight w:val="none"/>
        </w:rPr>
        <w:t>四</w:t>
      </w:r>
      <w:r>
        <w:rPr>
          <w:rFonts w:hint="eastAsia" w:ascii="宋体"/>
          <w:color w:val="auto"/>
          <w:szCs w:val="21"/>
          <w:highlight w:val="none"/>
        </w:rPr>
        <w:t>份；提供投标文件电子版光盘1份(光盘封面请注明项目名称、项目编号及投标人名称)；</w:t>
      </w:r>
      <w:r>
        <w:rPr>
          <w:rFonts w:hint="eastAsia" w:ascii="宋体"/>
          <w:b/>
          <w:color w:val="auto"/>
          <w:szCs w:val="21"/>
          <w:highlight w:val="none"/>
        </w:rPr>
        <w:t>资格文件</w:t>
      </w:r>
      <w:r>
        <w:rPr>
          <w:rFonts w:hint="eastAsia"/>
          <w:color w:val="auto"/>
          <w:highlight w:val="none"/>
        </w:rPr>
        <w:t>装入到一个投标文件袋内加以密封</w:t>
      </w:r>
      <w:r>
        <w:rPr>
          <w:rFonts w:hint="eastAsia" w:ascii="宋体"/>
          <w:color w:val="auto"/>
          <w:spacing w:val="-2"/>
          <w:szCs w:val="21"/>
          <w:highlight w:val="none"/>
        </w:rPr>
        <w:t>（要求文件袋无明显缝隙露出袋内文件），</w:t>
      </w:r>
      <w:r>
        <w:rPr>
          <w:rFonts w:hint="eastAsia" w:hAnsi="宋体"/>
          <w:b/>
          <w:color w:val="auto"/>
          <w:spacing w:val="-2"/>
          <w:szCs w:val="21"/>
          <w:highlight w:val="none"/>
          <w:u w:val="single"/>
        </w:rPr>
        <w:t>要求单独递交</w:t>
      </w:r>
      <w:r>
        <w:rPr>
          <w:rFonts w:hint="eastAsia"/>
          <w:color w:val="auto"/>
          <w:highlight w:val="none"/>
        </w:rPr>
        <w:t>；</w:t>
      </w:r>
      <w:r>
        <w:rPr>
          <w:rFonts w:hint="eastAsia" w:ascii="宋体"/>
          <w:b/>
          <w:color w:val="auto"/>
          <w:szCs w:val="21"/>
          <w:highlight w:val="none"/>
        </w:rPr>
        <w:t>资信及商务文件、技术文件、投标报价文件</w:t>
      </w:r>
      <w:r>
        <w:rPr>
          <w:rFonts w:hint="eastAsia"/>
          <w:b/>
          <w:color w:val="auto"/>
          <w:szCs w:val="21"/>
          <w:highlight w:val="none"/>
        </w:rPr>
        <w:t>及投标文件电子版光盘</w:t>
      </w:r>
      <w:r>
        <w:rPr>
          <w:rFonts w:hint="eastAsia"/>
          <w:color w:val="auto"/>
          <w:highlight w:val="none"/>
        </w:rPr>
        <w:t>一并装入到一个投标文件袋内加以密封</w:t>
      </w:r>
      <w:r>
        <w:rPr>
          <w:rFonts w:hint="eastAsia" w:ascii="宋体"/>
          <w:color w:val="auto"/>
          <w:spacing w:val="-2"/>
          <w:szCs w:val="21"/>
          <w:highlight w:val="none"/>
        </w:rPr>
        <w:t>（要求文件袋无明显缝隙露出袋内文件）</w:t>
      </w:r>
      <w:r>
        <w:rPr>
          <w:rFonts w:hint="eastAsia" w:hAnsi="宋体"/>
          <w:color w:val="auto"/>
          <w:spacing w:val="-2"/>
          <w:szCs w:val="21"/>
          <w:highlight w:val="none"/>
        </w:rPr>
        <w:t>，</w:t>
      </w:r>
      <w:r>
        <w:rPr>
          <w:rFonts w:hint="eastAsia" w:hAnsi="宋体"/>
          <w:b/>
          <w:color w:val="auto"/>
          <w:spacing w:val="-2"/>
          <w:szCs w:val="21"/>
          <w:highlight w:val="none"/>
          <w:u w:val="single"/>
        </w:rPr>
        <w:t>要求单独递交</w:t>
      </w:r>
      <w:r>
        <w:rPr>
          <w:rFonts w:hint="eastAsia" w:ascii="宋体"/>
          <w:color w:val="auto"/>
          <w:spacing w:val="-2"/>
          <w:szCs w:val="21"/>
          <w:highlight w:val="none"/>
        </w:rPr>
        <w:t>。</w:t>
      </w:r>
    </w:p>
    <w:p>
      <w:pPr>
        <w:snapToGrid w:val="0"/>
        <w:spacing w:line="360" w:lineRule="exact"/>
        <w:ind w:firstLine="420"/>
        <w:jc w:val="left"/>
        <w:rPr>
          <w:rFonts w:hAnsi="宋体"/>
          <w:color w:val="auto"/>
          <w:spacing w:val="-2"/>
          <w:szCs w:val="21"/>
          <w:highlight w:val="none"/>
        </w:rPr>
      </w:pPr>
      <w:r>
        <w:rPr>
          <w:rFonts w:hint="eastAsia" w:hAnsi="宋体"/>
          <w:color w:val="auto"/>
          <w:spacing w:val="-2"/>
          <w:szCs w:val="21"/>
          <w:highlight w:val="none"/>
        </w:rPr>
        <w:t>开标一览表（</w:t>
      </w:r>
      <w:r>
        <w:rPr>
          <w:rFonts w:hint="eastAsia" w:ascii="宋体" w:hAnsi="宋体"/>
          <w:color w:val="auto"/>
          <w:szCs w:val="21"/>
          <w:highlight w:val="none"/>
        </w:rPr>
        <w:t>格式见第六章，</w:t>
      </w:r>
      <w:r>
        <w:rPr>
          <w:rFonts w:hint="eastAsia" w:hAnsi="宋体"/>
          <w:color w:val="auto"/>
          <w:spacing w:val="-2"/>
          <w:szCs w:val="21"/>
          <w:highlight w:val="none"/>
        </w:rPr>
        <w:t>所投分标的开标一览表应合并装订成一份，且只需要一份）装入到一个开标一览表文件袋内封装并加以密封（要求文件袋无明显缝隙露出袋内文件），</w:t>
      </w:r>
      <w:r>
        <w:rPr>
          <w:rFonts w:hint="eastAsia" w:hAnsi="宋体"/>
          <w:b/>
          <w:color w:val="auto"/>
          <w:spacing w:val="-2"/>
          <w:szCs w:val="21"/>
          <w:highlight w:val="none"/>
          <w:u w:val="single"/>
        </w:rPr>
        <w:t>要求单独递交</w:t>
      </w:r>
      <w:r>
        <w:rPr>
          <w:rFonts w:hint="eastAsia" w:hAnsi="宋体"/>
          <w:color w:val="auto"/>
          <w:spacing w:val="-2"/>
          <w:szCs w:val="21"/>
          <w:highlight w:val="none"/>
        </w:rPr>
        <w:t>。</w:t>
      </w:r>
    </w:p>
    <w:p>
      <w:pPr>
        <w:snapToGrid w:val="0"/>
        <w:spacing w:line="360" w:lineRule="exact"/>
        <w:ind w:firstLine="420"/>
        <w:jc w:val="left"/>
        <w:rPr>
          <w:rFonts w:ascii="宋体" w:hAnsi="宋体"/>
          <w:color w:val="auto"/>
          <w:highlight w:val="none"/>
        </w:rPr>
      </w:pPr>
      <w:r>
        <w:rPr>
          <w:rFonts w:hint="eastAsia" w:ascii="宋体" w:hAnsi="宋体"/>
          <w:color w:val="auto"/>
          <w:szCs w:val="21"/>
          <w:highlight w:val="none"/>
        </w:rPr>
        <w:t>投标文件的包装封面上应注明投标人名称、投标人地址、投标文件名称（资格文件；资信及商务文件、技术文件、报价文件；开标一览表）、投标项目名称、项目编号、并加盖投标人公章，并</w:t>
      </w:r>
      <w:r>
        <w:rPr>
          <w:rFonts w:hint="eastAsia" w:ascii="宋体" w:hAnsi="宋体"/>
          <w:color w:val="auto"/>
          <w:highlight w:val="none"/>
        </w:rPr>
        <w:t>注明“开标时才能启封”。</w:t>
      </w:r>
    </w:p>
    <w:p>
      <w:pPr>
        <w:snapToGrid w:val="0"/>
        <w:spacing w:line="360" w:lineRule="exact"/>
        <w:ind w:firstLine="420"/>
        <w:jc w:val="left"/>
        <w:rPr>
          <w:rFonts w:ascii="宋体" w:hAnsi="宋体"/>
          <w:color w:val="auto"/>
          <w:szCs w:val="21"/>
          <w:highlight w:val="none"/>
        </w:rPr>
      </w:pPr>
      <w:r>
        <w:rPr>
          <w:rFonts w:hint="eastAsia" w:ascii="宋体" w:hAnsi="宋体"/>
          <w:color w:val="auto"/>
          <w:szCs w:val="21"/>
          <w:highlight w:val="none"/>
        </w:rPr>
        <w:t>2.</w:t>
      </w:r>
      <w:r>
        <w:rPr>
          <w:rFonts w:hint="eastAsia"/>
          <w:color w:val="auto"/>
          <w:highlight w:val="none"/>
        </w:rPr>
        <w:t>逾期送达或者未按照招标文件要求密封的投标文件将被拒绝，由此造成投标文件被误投或提前拆封的风险由投标人承担。</w:t>
      </w:r>
    </w:p>
    <w:p>
      <w:pPr>
        <w:snapToGrid w:val="0"/>
        <w:spacing w:line="360" w:lineRule="exact"/>
        <w:ind w:firstLine="420"/>
        <w:jc w:val="left"/>
        <w:rPr>
          <w:rFonts w:ascii="宋体" w:hAnsi="宋体"/>
          <w:color w:val="auto"/>
          <w:szCs w:val="21"/>
          <w:highlight w:val="none"/>
        </w:rPr>
      </w:pPr>
      <w:r>
        <w:rPr>
          <w:rFonts w:hint="eastAsia" w:ascii="宋体" w:hAnsi="宋体"/>
          <w:color w:val="auto"/>
          <w:szCs w:val="21"/>
          <w:highlight w:val="none"/>
        </w:rPr>
        <w:t>3.投标人在投标截止时间之前，可以对已提交的投标文件进行修改或撤回，并书面通知采购人；投标截止时间后，投标人不得撤回、修改投标文件。修改后重新递交的投标文件应当按本招标文件的要求签署、盖章和密封。</w:t>
      </w:r>
    </w:p>
    <w:p>
      <w:pPr>
        <w:snapToGrid w:val="0"/>
        <w:spacing w:line="360" w:lineRule="exact"/>
        <w:ind w:firstLine="420"/>
        <w:jc w:val="left"/>
        <w:rPr>
          <w:rFonts w:ascii="宋体" w:hAnsi="宋体"/>
          <w:color w:val="auto"/>
          <w:spacing w:val="-4"/>
          <w:szCs w:val="21"/>
          <w:highlight w:val="none"/>
        </w:rPr>
      </w:pPr>
      <w:bookmarkStart w:id="36" w:name="_Toc254970684"/>
      <w:bookmarkStart w:id="37" w:name="_Toc254970543"/>
      <w:r>
        <w:rPr>
          <w:rFonts w:hint="eastAsia" w:ascii="宋体" w:hAnsi="宋体"/>
          <w:color w:val="auto"/>
          <w:spacing w:val="-4"/>
          <w:szCs w:val="21"/>
          <w:highlight w:val="none"/>
        </w:rPr>
        <w:t>4.投标人已经被推荐为第一中标候选供应商后撤回投标或放弃中标的，其投标保证金将不予退还，并上缴国库，给采购人造成损失的，还应当赔偿损失，并作为不良行为记录在案。</w:t>
      </w:r>
    </w:p>
    <w:p>
      <w:pPr>
        <w:snapToGrid w:val="0"/>
        <w:spacing w:line="360" w:lineRule="exact"/>
        <w:ind w:firstLine="420"/>
        <w:jc w:val="left"/>
        <w:outlineLvl w:val="0"/>
        <w:rPr>
          <w:rFonts w:ascii="宋体" w:hAnsi="宋体"/>
          <w:b/>
          <w:color w:val="auto"/>
          <w:szCs w:val="21"/>
          <w:highlight w:val="none"/>
        </w:rPr>
      </w:pPr>
      <w:r>
        <w:rPr>
          <w:rFonts w:hint="eastAsia" w:ascii="宋体" w:hAnsi="宋体"/>
          <w:b/>
          <w:color w:val="auto"/>
          <w:szCs w:val="21"/>
          <w:highlight w:val="none"/>
        </w:rPr>
        <w:t>（八）投标无效的情形</w:t>
      </w:r>
      <w:bookmarkEnd w:id="36"/>
      <w:bookmarkEnd w:id="37"/>
    </w:p>
    <w:p>
      <w:pPr>
        <w:pStyle w:val="20"/>
        <w:snapToGrid w:val="0"/>
        <w:spacing w:line="360" w:lineRule="exact"/>
        <w:ind w:firstLine="411" w:firstLineChars="196"/>
        <w:rPr>
          <w:rFonts w:ascii="宋体" w:hAnsi="宋体" w:eastAsia="宋体"/>
          <w:bCs/>
          <w:color w:val="auto"/>
          <w:sz w:val="21"/>
          <w:szCs w:val="21"/>
          <w:highlight w:val="none"/>
        </w:rPr>
      </w:pPr>
      <w:r>
        <w:rPr>
          <w:rFonts w:hint="eastAsia" w:ascii="宋体" w:hAnsi="宋体" w:eastAsia="宋体"/>
          <w:bCs/>
          <w:color w:val="auto"/>
          <w:sz w:val="21"/>
          <w:szCs w:val="21"/>
          <w:highlight w:val="none"/>
        </w:rPr>
        <w:t>实质上没有响应招标文件要求的投标将被视为无效投标。投标人不得通过修正或撤销不合要求的偏离或保留从而使其投标成为实质上响应的投标，但经评标委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pStyle w:val="20"/>
        <w:snapToGrid w:val="0"/>
        <w:spacing w:line="360" w:lineRule="exact"/>
        <w:ind w:firstLine="411" w:firstLineChars="196"/>
        <w:rPr>
          <w:rFonts w:ascii="宋体" w:hAnsi="宋体" w:eastAsia="宋体"/>
          <w:bCs/>
          <w:color w:val="auto"/>
          <w:sz w:val="21"/>
          <w:szCs w:val="21"/>
          <w:highlight w:val="none"/>
        </w:rPr>
      </w:pPr>
      <w:r>
        <w:rPr>
          <w:rFonts w:hint="eastAsia" w:ascii="宋体" w:hAnsi="宋体" w:eastAsia="宋体"/>
          <w:bCs/>
          <w:color w:val="auto"/>
          <w:sz w:val="21"/>
          <w:szCs w:val="21"/>
          <w:highlight w:val="none"/>
        </w:rPr>
        <w:t>1.在符合性审查和资格性审查时，如发现下列情形之一的，投标文件将被视为无效：</w:t>
      </w:r>
    </w:p>
    <w:p>
      <w:pPr>
        <w:pStyle w:val="20"/>
        <w:snapToGrid w:val="0"/>
        <w:spacing w:line="360" w:lineRule="exact"/>
        <w:ind w:firstLine="411" w:firstLineChars="196"/>
        <w:rPr>
          <w:rFonts w:ascii="宋体" w:hAnsi="宋体" w:eastAsia="宋体"/>
          <w:bCs/>
          <w:color w:val="auto"/>
          <w:sz w:val="21"/>
          <w:szCs w:val="21"/>
          <w:highlight w:val="none"/>
        </w:rPr>
      </w:pPr>
      <w:r>
        <w:rPr>
          <w:rFonts w:hint="eastAsia" w:ascii="宋体" w:hAnsi="宋体" w:eastAsia="宋体"/>
          <w:bCs/>
          <w:color w:val="auto"/>
          <w:sz w:val="21"/>
          <w:szCs w:val="21"/>
          <w:highlight w:val="none"/>
        </w:rPr>
        <w:t>（1）超越了按照法律法规规定必须获得行政许可或者行政审批的经营范围的；</w:t>
      </w:r>
    </w:p>
    <w:p>
      <w:pPr>
        <w:pStyle w:val="20"/>
        <w:snapToGrid w:val="0"/>
        <w:spacing w:line="360" w:lineRule="exact"/>
        <w:ind w:firstLine="411" w:firstLineChars="196"/>
        <w:rPr>
          <w:rFonts w:ascii="宋体" w:hAnsi="宋体" w:eastAsia="宋体"/>
          <w:bCs/>
          <w:color w:val="auto"/>
          <w:sz w:val="21"/>
          <w:szCs w:val="21"/>
          <w:highlight w:val="none"/>
        </w:rPr>
      </w:pPr>
      <w:r>
        <w:rPr>
          <w:rFonts w:hint="eastAsia" w:ascii="宋体" w:hAnsi="宋体" w:eastAsia="宋体"/>
          <w:bCs/>
          <w:color w:val="auto"/>
          <w:sz w:val="21"/>
          <w:szCs w:val="21"/>
          <w:highlight w:val="none"/>
        </w:rPr>
        <w:t>（2）资格证明文件不全的，或者不符合招标文件标明的资格要求的；</w:t>
      </w:r>
    </w:p>
    <w:p>
      <w:pPr>
        <w:pStyle w:val="20"/>
        <w:snapToGrid w:val="0"/>
        <w:spacing w:line="360" w:lineRule="exact"/>
        <w:ind w:firstLine="411" w:firstLineChars="196"/>
        <w:rPr>
          <w:rFonts w:ascii="宋体" w:hAnsi="宋体" w:eastAsia="宋体"/>
          <w:bCs/>
          <w:color w:val="auto"/>
          <w:sz w:val="21"/>
          <w:szCs w:val="21"/>
          <w:highlight w:val="none"/>
        </w:rPr>
      </w:pPr>
      <w:r>
        <w:rPr>
          <w:rFonts w:hint="eastAsia" w:ascii="宋体" w:hAnsi="宋体" w:eastAsia="宋体"/>
          <w:bCs/>
          <w:color w:val="auto"/>
          <w:sz w:val="21"/>
          <w:szCs w:val="21"/>
          <w:highlight w:val="none"/>
        </w:rPr>
        <w:t>（3）投标文件无法定代表人或其授权委托代理人签字，或未提供法定代表人授权委托书、投标声明书或者填写项目不齐全的；</w:t>
      </w:r>
    </w:p>
    <w:p>
      <w:pPr>
        <w:pStyle w:val="20"/>
        <w:snapToGrid w:val="0"/>
        <w:spacing w:line="360" w:lineRule="exact"/>
        <w:ind w:firstLine="411" w:firstLineChars="196"/>
        <w:rPr>
          <w:rFonts w:ascii="宋体" w:hAnsi="宋体" w:eastAsia="宋体"/>
          <w:bCs/>
          <w:color w:val="auto"/>
          <w:sz w:val="21"/>
          <w:szCs w:val="21"/>
          <w:highlight w:val="none"/>
        </w:rPr>
      </w:pPr>
      <w:r>
        <w:rPr>
          <w:rFonts w:hint="eastAsia" w:ascii="宋体" w:hAnsi="宋体" w:eastAsia="宋体"/>
          <w:bCs/>
          <w:color w:val="auto"/>
          <w:sz w:val="21"/>
          <w:szCs w:val="21"/>
          <w:highlight w:val="none"/>
        </w:rPr>
        <w:t>（4）投标代表人未能出具身份证明或与法定代表人授权委托人身份不符的；</w:t>
      </w:r>
    </w:p>
    <w:p>
      <w:pPr>
        <w:pStyle w:val="20"/>
        <w:snapToGrid w:val="0"/>
        <w:spacing w:line="360" w:lineRule="exact"/>
        <w:ind w:firstLine="411" w:firstLineChars="196"/>
        <w:rPr>
          <w:rFonts w:ascii="宋体" w:hAnsi="宋体" w:eastAsia="宋体"/>
          <w:bCs/>
          <w:color w:val="auto"/>
          <w:sz w:val="21"/>
          <w:szCs w:val="21"/>
          <w:highlight w:val="none"/>
        </w:rPr>
      </w:pPr>
      <w:r>
        <w:rPr>
          <w:rFonts w:hint="eastAsia" w:ascii="宋体" w:hAnsi="宋体" w:eastAsia="宋体"/>
          <w:bCs/>
          <w:color w:val="auto"/>
          <w:sz w:val="21"/>
          <w:szCs w:val="21"/>
          <w:highlight w:val="none"/>
        </w:rPr>
        <w:t>（5）项目不齐全或者内容虚假的；</w:t>
      </w:r>
    </w:p>
    <w:p>
      <w:pPr>
        <w:pStyle w:val="20"/>
        <w:snapToGrid w:val="0"/>
        <w:spacing w:line="360" w:lineRule="exact"/>
        <w:ind w:firstLine="411" w:firstLineChars="196"/>
        <w:rPr>
          <w:rFonts w:ascii="宋体" w:hAnsi="宋体" w:eastAsia="宋体"/>
          <w:bCs/>
          <w:color w:val="auto"/>
          <w:sz w:val="21"/>
          <w:szCs w:val="21"/>
          <w:highlight w:val="none"/>
        </w:rPr>
      </w:pPr>
      <w:r>
        <w:rPr>
          <w:rFonts w:hint="eastAsia" w:ascii="宋体" w:hAnsi="宋体" w:eastAsia="宋体"/>
          <w:bCs/>
          <w:color w:val="auto"/>
          <w:sz w:val="21"/>
          <w:szCs w:val="21"/>
          <w:highlight w:val="none"/>
        </w:rPr>
        <w:t>（6）投标文件的实质性内容未使用中文表述、意思表述不明确、前后矛盾或者使用计量单位不符合投标文件要求的（经评标委员会认定并允许其当场更正的笔误除外）；</w:t>
      </w:r>
    </w:p>
    <w:p>
      <w:pPr>
        <w:pStyle w:val="20"/>
        <w:snapToGrid w:val="0"/>
        <w:spacing w:line="360" w:lineRule="exact"/>
        <w:ind w:firstLine="411" w:firstLineChars="196"/>
        <w:rPr>
          <w:rFonts w:ascii="宋体" w:hAnsi="宋体" w:eastAsia="宋体"/>
          <w:bCs/>
          <w:color w:val="auto"/>
          <w:sz w:val="21"/>
          <w:szCs w:val="21"/>
          <w:highlight w:val="none"/>
        </w:rPr>
      </w:pPr>
      <w:r>
        <w:rPr>
          <w:rFonts w:hint="eastAsia" w:ascii="宋体" w:hAnsi="宋体" w:eastAsia="宋体"/>
          <w:bCs/>
          <w:color w:val="auto"/>
          <w:sz w:val="21"/>
          <w:szCs w:val="21"/>
          <w:highlight w:val="none"/>
        </w:rPr>
        <w:t>（7）投标有效期、交付使用时间、质保期等商务条款不能满足招标文件要求的；</w:t>
      </w:r>
    </w:p>
    <w:p>
      <w:pPr>
        <w:pStyle w:val="20"/>
        <w:snapToGrid w:val="0"/>
        <w:spacing w:line="360" w:lineRule="exact"/>
        <w:ind w:firstLine="411" w:firstLineChars="196"/>
        <w:rPr>
          <w:rFonts w:ascii="宋体" w:hAnsi="宋体" w:eastAsia="宋体"/>
          <w:bCs/>
          <w:color w:val="auto"/>
          <w:sz w:val="21"/>
          <w:szCs w:val="21"/>
          <w:highlight w:val="none"/>
        </w:rPr>
      </w:pPr>
      <w:r>
        <w:rPr>
          <w:rFonts w:hint="eastAsia" w:ascii="宋体" w:hAnsi="宋体" w:eastAsia="宋体"/>
          <w:bCs/>
          <w:color w:val="auto"/>
          <w:sz w:val="21"/>
          <w:szCs w:val="21"/>
          <w:highlight w:val="none"/>
        </w:rPr>
        <w:t>（8）未实质性响应招标文件要求或者投标文件有招标方不能接受的附加条件的；</w:t>
      </w:r>
    </w:p>
    <w:p>
      <w:pPr>
        <w:pStyle w:val="20"/>
        <w:snapToGrid w:val="0"/>
        <w:spacing w:line="360" w:lineRule="exact"/>
        <w:ind w:firstLine="411" w:firstLineChars="196"/>
        <w:rPr>
          <w:rFonts w:ascii="宋体" w:hAnsi="宋体" w:eastAsia="宋体"/>
          <w:bCs/>
          <w:color w:val="auto"/>
          <w:sz w:val="21"/>
          <w:szCs w:val="21"/>
          <w:highlight w:val="none"/>
        </w:rPr>
      </w:pPr>
      <w:r>
        <w:rPr>
          <w:rFonts w:hint="eastAsia" w:ascii="宋体" w:hAnsi="宋体" w:eastAsia="宋体"/>
          <w:bCs/>
          <w:color w:val="auto"/>
          <w:sz w:val="21"/>
          <w:szCs w:val="21"/>
          <w:highlight w:val="none"/>
        </w:rPr>
        <w:t>（9）</w:t>
      </w:r>
      <w:r>
        <w:rPr>
          <w:rFonts w:ascii="宋体" w:hAnsi="宋体" w:eastAsia="宋体"/>
          <w:color w:val="auto"/>
          <w:spacing w:val="-4"/>
          <w:sz w:val="21"/>
          <w:szCs w:val="21"/>
          <w:highlight w:val="none"/>
        </w:rPr>
        <w:t>未按照招标文件的规定提交投标保证金的</w:t>
      </w:r>
      <w:r>
        <w:rPr>
          <w:rFonts w:hint="eastAsia" w:ascii="宋体" w:hAnsi="宋体" w:eastAsia="宋体"/>
          <w:bCs/>
          <w:color w:val="auto"/>
          <w:sz w:val="21"/>
          <w:szCs w:val="21"/>
          <w:highlight w:val="none"/>
        </w:rPr>
        <w:t>（说明：评标时，评标委员会将以本公司财务室编制的《采购文件购买名单及保证金收缴情况表》作为评审依据）。</w:t>
      </w:r>
    </w:p>
    <w:p>
      <w:pPr>
        <w:pStyle w:val="20"/>
        <w:snapToGrid w:val="0"/>
        <w:spacing w:line="360" w:lineRule="exact"/>
        <w:ind w:firstLine="411" w:firstLineChars="196"/>
        <w:rPr>
          <w:rFonts w:ascii="宋体" w:hAnsi="宋体" w:eastAsia="宋体"/>
          <w:bCs/>
          <w:color w:val="auto"/>
          <w:sz w:val="21"/>
          <w:szCs w:val="21"/>
          <w:highlight w:val="none"/>
        </w:rPr>
      </w:pPr>
      <w:r>
        <w:rPr>
          <w:rFonts w:hint="eastAsia" w:ascii="宋体" w:hAnsi="宋体" w:eastAsia="宋体"/>
          <w:bCs/>
          <w:color w:val="auto"/>
          <w:sz w:val="21"/>
          <w:szCs w:val="21"/>
          <w:highlight w:val="none"/>
        </w:rPr>
        <w:t>2.在技术评审时，如发现下列情形之一的，投标文件将被视为无效：</w:t>
      </w:r>
    </w:p>
    <w:p>
      <w:pPr>
        <w:pStyle w:val="20"/>
        <w:snapToGrid w:val="0"/>
        <w:spacing w:line="440" w:lineRule="exact"/>
        <w:ind w:firstLine="411" w:firstLineChars="196"/>
        <w:rPr>
          <w:rFonts w:ascii="宋体" w:hAnsi="宋体" w:eastAsia="宋体"/>
          <w:bCs/>
          <w:color w:val="auto"/>
          <w:sz w:val="21"/>
          <w:szCs w:val="21"/>
          <w:highlight w:val="none"/>
        </w:rPr>
      </w:pPr>
      <w:r>
        <w:rPr>
          <w:rFonts w:hint="eastAsia" w:ascii="宋体" w:hAnsi="宋体" w:eastAsia="宋体"/>
          <w:bCs/>
          <w:color w:val="auto"/>
          <w:sz w:val="21"/>
          <w:szCs w:val="21"/>
          <w:highlight w:val="none"/>
        </w:rPr>
        <w:t>（1）未提供或未如实提供投标货物的技术参数，或者投标文件标明的响应或偏离与事实不符或虚假投标的；</w:t>
      </w:r>
    </w:p>
    <w:p>
      <w:pPr>
        <w:pStyle w:val="20"/>
        <w:snapToGrid w:val="0"/>
        <w:spacing w:line="440" w:lineRule="exact"/>
        <w:ind w:firstLine="411" w:firstLineChars="196"/>
        <w:rPr>
          <w:rFonts w:ascii="宋体" w:hAnsi="宋体" w:eastAsia="宋体"/>
          <w:bCs/>
          <w:color w:val="auto"/>
          <w:sz w:val="21"/>
          <w:szCs w:val="21"/>
          <w:highlight w:val="none"/>
        </w:rPr>
      </w:pPr>
      <w:r>
        <w:rPr>
          <w:rFonts w:hint="eastAsia" w:ascii="宋体" w:hAnsi="宋体" w:eastAsia="宋体"/>
          <w:bCs/>
          <w:color w:val="auto"/>
          <w:sz w:val="21"/>
          <w:szCs w:val="21"/>
          <w:highlight w:val="none"/>
        </w:rPr>
        <w:t>（2）招标项目采购需求中标记▲的技术、性能指标和要求发生负偏离达</w:t>
      </w:r>
      <w:r>
        <w:rPr>
          <w:rFonts w:hint="eastAsia" w:ascii="宋体" w:hAnsi="宋体" w:eastAsia="宋体"/>
          <w:bCs/>
          <w:color w:val="auto"/>
          <w:sz w:val="21"/>
          <w:szCs w:val="21"/>
          <w:highlight w:val="none"/>
          <w:u w:val="single"/>
        </w:rPr>
        <w:t xml:space="preserve"> 1 </w:t>
      </w:r>
      <w:r>
        <w:rPr>
          <w:rFonts w:hint="eastAsia" w:ascii="宋体" w:hAnsi="宋体" w:eastAsia="宋体"/>
          <w:bCs/>
          <w:color w:val="auto"/>
          <w:sz w:val="21"/>
          <w:szCs w:val="21"/>
          <w:highlight w:val="none"/>
        </w:rPr>
        <w:t>项（含）以上的；</w:t>
      </w:r>
    </w:p>
    <w:p>
      <w:pPr>
        <w:pStyle w:val="20"/>
        <w:snapToGrid w:val="0"/>
        <w:spacing w:line="440" w:lineRule="exact"/>
        <w:ind w:firstLine="411" w:firstLineChars="196"/>
        <w:rPr>
          <w:rFonts w:ascii="宋体" w:hAnsi="宋体" w:eastAsia="宋体"/>
          <w:bCs/>
          <w:color w:val="auto"/>
          <w:sz w:val="21"/>
          <w:szCs w:val="21"/>
          <w:highlight w:val="none"/>
        </w:rPr>
      </w:pPr>
      <w:r>
        <w:rPr>
          <w:rFonts w:hint="eastAsia" w:ascii="宋体" w:hAnsi="宋体" w:eastAsia="宋体"/>
          <w:bCs/>
          <w:color w:val="auto"/>
          <w:sz w:val="21"/>
          <w:szCs w:val="21"/>
          <w:highlight w:val="none"/>
        </w:rPr>
        <w:t>（3）投标技术方案不明确，存在一个或一个以上备选（替换）投标方案的；</w:t>
      </w:r>
    </w:p>
    <w:p>
      <w:pPr>
        <w:pStyle w:val="20"/>
        <w:snapToGrid w:val="0"/>
        <w:spacing w:line="440" w:lineRule="exact"/>
        <w:ind w:firstLine="411" w:firstLineChars="196"/>
        <w:rPr>
          <w:rFonts w:ascii="宋体" w:hAnsi="宋体" w:eastAsia="宋体"/>
          <w:bCs/>
          <w:color w:val="auto"/>
          <w:sz w:val="21"/>
          <w:szCs w:val="21"/>
          <w:highlight w:val="none"/>
        </w:rPr>
      </w:pPr>
      <w:r>
        <w:rPr>
          <w:rFonts w:hint="eastAsia" w:ascii="宋体" w:hAnsi="宋体" w:eastAsia="宋体"/>
          <w:bCs/>
          <w:color w:val="auto"/>
          <w:sz w:val="21"/>
          <w:szCs w:val="21"/>
          <w:highlight w:val="none"/>
        </w:rPr>
        <w:t>（4）与其他参加本次投标供应商的投标文件（技术文件）的文字表述内容差错相同二处以上的。</w:t>
      </w:r>
    </w:p>
    <w:p>
      <w:pPr>
        <w:pStyle w:val="20"/>
        <w:snapToGrid w:val="0"/>
        <w:spacing w:line="360" w:lineRule="exact"/>
        <w:ind w:firstLine="411" w:firstLineChars="196"/>
        <w:rPr>
          <w:rFonts w:ascii="宋体" w:hAnsi="宋体" w:eastAsia="宋体"/>
          <w:bCs/>
          <w:color w:val="auto"/>
          <w:sz w:val="21"/>
          <w:szCs w:val="21"/>
          <w:highlight w:val="none"/>
        </w:rPr>
      </w:pPr>
      <w:r>
        <w:rPr>
          <w:rFonts w:hint="eastAsia" w:ascii="宋体" w:hAnsi="宋体" w:eastAsia="宋体"/>
          <w:bCs/>
          <w:color w:val="auto"/>
          <w:sz w:val="21"/>
          <w:szCs w:val="21"/>
          <w:highlight w:val="none"/>
        </w:rPr>
        <w:t>3.在报价评审时，如发现下列情形之一的，投标文件将被视为无效：</w:t>
      </w:r>
    </w:p>
    <w:p>
      <w:pPr>
        <w:pStyle w:val="20"/>
        <w:snapToGrid w:val="0"/>
        <w:spacing w:line="360" w:lineRule="exact"/>
        <w:ind w:firstLine="411" w:firstLineChars="196"/>
        <w:rPr>
          <w:rFonts w:ascii="宋体" w:hAnsi="宋体" w:eastAsia="宋体"/>
          <w:bCs/>
          <w:color w:val="auto"/>
          <w:sz w:val="21"/>
          <w:szCs w:val="21"/>
          <w:highlight w:val="none"/>
        </w:rPr>
      </w:pPr>
      <w:r>
        <w:rPr>
          <w:rFonts w:hint="eastAsia" w:ascii="宋体" w:hAnsi="宋体" w:eastAsia="宋体"/>
          <w:bCs/>
          <w:color w:val="auto"/>
          <w:sz w:val="21"/>
          <w:szCs w:val="21"/>
          <w:highlight w:val="none"/>
        </w:rPr>
        <w:t>（1）未采用人民币报价或者未按照招标文件标明的币种报价的；</w:t>
      </w:r>
    </w:p>
    <w:p>
      <w:pPr>
        <w:pStyle w:val="20"/>
        <w:snapToGrid w:val="0"/>
        <w:spacing w:line="360" w:lineRule="exact"/>
        <w:ind w:firstLine="411" w:firstLineChars="196"/>
        <w:rPr>
          <w:rFonts w:ascii="宋体" w:hAnsi="宋体" w:eastAsia="宋体"/>
          <w:bCs/>
          <w:color w:val="auto"/>
          <w:sz w:val="21"/>
          <w:szCs w:val="21"/>
          <w:highlight w:val="none"/>
        </w:rPr>
      </w:pPr>
      <w:r>
        <w:rPr>
          <w:rFonts w:hint="eastAsia" w:ascii="宋体" w:hAnsi="宋体" w:eastAsia="宋体"/>
          <w:bCs/>
          <w:color w:val="auto"/>
          <w:sz w:val="21"/>
          <w:szCs w:val="21"/>
          <w:highlight w:val="none"/>
        </w:rPr>
        <w:t>（2）报价超出最高限价，或者超出采购预算金额，采购人不能支付的；</w:t>
      </w:r>
    </w:p>
    <w:p>
      <w:pPr>
        <w:pStyle w:val="20"/>
        <w:snapToGrid w:val="0"/>
        <w:spacing w:line="360" w:lineRule="exact"/>
        <w:ind w:firstLine="411" w:firstLineChars="196"/>
        <w:rPr>
          <w:rFonts w:ascii="宋体" w:hAnsi="宋体" w:eastAsia="宋体"/>
          <w:bCs/>
          <w:color w:val="auto"/>
          <w:sz w:val="21"/>
          <w:szCs w:val="21"/>
          <w:highlight w:val="none"/>
        </w:rPr>
      </w:pPr>
      <w:r>
        <w:rPr>
          <w:rFonts w:hint="eastAsia" w:ascii="宋体" w:hAnsi="宋体" w:eastAsia="宋体"/>
          <w:bCs/>
          <w:color w:val="auto"/>
          <w:sz w:val="21"/>
          <w:szCs w:val="21"/>
          <w:highlight w:val="none"/>
        </w:rPr>
        <w:t>（3）投标报价具有选择性，或者开标价格与投标文件承诺的优惠（折扣）价格不一致的。</w:t>
      </w:r>
    </w:p>
    <w:p>
      <w:pPr>
        <w:pStyle w:val="20"/>
        <w:snapToGrid w:val="0"/>
        <w:spacing w:line="360" w:lineRule="exact"/>
        <w:ind w:firstLine="395" w:firstLineChars="196"/>
        <w:rPr>
          <w:rFonts w:ascii="宋体" w:hAnsi="宋体" w:eastAsia="宋体"/>
          <w:bCs/>
          <w:color w:val="auto"/>
          <w:sz w:val="21"/>
          <w:szCs w:val="21"/>
          <w:highlight w:val="none"/>
        </w:rPr>
      </w:pPr>
      <w:r>
        <w:rPr>
          <w:rFonts w:hint="eastAsia" w:ascii="宋体" w:hAnsi="宋体" w:eastAsia="宋体"/>
          <w:color w:val="auto"/>
          <w:spacing w:val="-4"/>
          <w:sz w:val="21"/>
          <w:szCs w:val="21"/>
          <w:highlight w:val="none"/>
        </w:rPr>
        <w:t>（4）评标委员会认为投标人的报价明显低于其他通过符合性审查投标人的报价，有可能影响产品质量或者不能诚信履约，投标人不能证明其报价合理性的。</w:t>
      </w:r>
    </w:p>
    <w:p>
      <w:pPr>
        <w:pStyle w:val="20"/>
        <w:snapToGrid w:val="0"/>
        <w:spacing w:line="360" w:lineRule="exact"/>
        <w:ind w:firstLine="411" w:firstLineChars="196"/>
        <w:rPr>
          <w:rFonts w:ascii="宋体" w:hAnsi="宋体" w:eastAsia="宋体"/>
          <w:bCs/>
          <w:color w:val="auto"/>
          <w:sz w:val="21"/>
          <w:szCs w:val="21"/>
          <w:highlight w:val="none"/>
        </w:rPr>
      </w:pPr>
      <w:r>
        <w:rPr>
          <w:rFonts w:hint="eastAsia" w:ascii="宋体" w:hAnsi="宋体" w:eastAsia="宋体"/>
          <w:bCs/>
          <w:color w:val="auto"/>
          <w:sz w:val="21"/>
          <w:szCs w:val="21"/>
          <w:highlight w:val="none"/>
        </w:rPr>
        <w:t>4.有下列情形之一的视为投标人相互串通投标，投标文件将被视为无效:</w:t>
      </w:r>
    </w:p>
    <w:p>
      <w:pPr>
        <w:pStyle w:val="20"/>
        <w:snapToGrid w:val="0"/>
        <w:spacing w:line="360" w:lineRule="exact"/>
        <w:ind w:firstLine="411" w:firstLineChars="196"/>
        <w:rPr>
          <w:rFonts w:ascii="宋体" w:hAnsi="宋体" w:eastAsia="宋体"/>
          <w:bCs/>
          <w:color w:val="auto"/>
          <w:sz w:val="21"/>
          <w:szCs w:val="21"/>
          <w:highlight w:val="none"/>
        </w:rPr>
      </w:pPr>
      <w:r>
        <w:rPr>
          <w:rFonts w:hint="eastAsia" w:ascii="宋体" w:hAnsi="宋体" w:eastAsia="宋体"/>
          <w:bCs/>
          <w:color w:val="auto"/>
          <w:sz w:val="21"/>
          <w:szCs w:val="21"/>
          <w:highlight w:val="none"/>
        </w:rPr>
        <w:t>（1）不同投标人的投标文件由同一单位或者个人编制；或不同投标人报名的IP地址一致的；</w:t>
      </w:r>
    </w:p>
    <w:p>
      <w:pPr>
        <w:pStyle w:val="20"/>
        <w:snapToGrid w:val="0"/>
        <w:spacing w:line="360" w:lineRule="exact"/>
        <w:ind w:firstLine="411" w:firstLineChars="196"/>
        <w:rPr>
          <w:rFonts w:ascii="宋体" w:hAnsi="宋体" w:eastAsia="宋体"/>
          <w:bCs/>
          <w:color w:val="auto"/>
          <w:sz w:val="21"/>
          <w:szCs w:val="21"/>
          <w:highlight w:val="none"/>
        </w:rPr>
      </w:pPr>
      <w:r>
        <w:rPr>
          <w:rFonts w:hint="eastAsia" w:ascii="宋体" w:hAnsi="宋体" w:eastAsia="宋体"/>
          <w:bCs/>
          <w:color w:val="auto"/>
          <w:sz w:val="21"/>
          <w:szCs w:val="21"/>
          <w:highlight w:val="none"/>
        </w:rPr>
        <w:t>（2）不同投标人委托同一单位或者个人办理投标事宜；</w:t>
      </w:r>
    </w:p>
    <w:p>
      <w:pPr>
        <w:pStyle w:val="20"/>
        <w:snapToGrid w:val="0"/>
        <w:spacing w:line="360" w:lineRule="exact"/>
        <w:ind w:firstLine="411" w:firstLineChars="196"/>
        <w:rPr>
          <w:rFonts w:ascii="宋体" w:hAnsi="宋体" w:eastAsia="宋体"/>
          <w:bCs/>
          <w:color w:val="auto"/>
          <w:sz w:val="21"/>
          <w:szCs w:val="21"/>
          <w:highlight w:val="none"/>
        </w:rPr>
      </w:pPr>
      <w:r>
        <w:rPr>
          <w:rFonts w:hint="eastAsia" w:ascii="宋体" w:hAnsi="宋体" w:eastAsia="宋体"/>
          <w:bCs/>
          <w:color w:val="auto"/>
          <w:sz w:val="21"/>
          <w:szCs w:val="21"/>
          <w:highlight w:val="none"/>
        </w:rPr>
        <w:t>（3）</w:t>
      </w:r>
      <w:r>
        <w:rPr>
          <w:rFonts w:hint="eastAsia" w:ascii="宋体" w:hAnsi="宋体" w:eastAsia="宋体"/>
          <w:color w:val="auto"/>
          <w:spacing w:val="-4"/>
          <w:sz w:val="21"/>
          <w:szCs w:val="21"/>
          <w:highlight w:val="none"/>
        </w:rPr>
        <w:t>不同投标人的投标文件载明的项目管理成员或者联系人员为同一人</w:t>
      </w:r>
      <w:r>
        <w:rPr>
          <w:rFonts w:hint="eastAsia" w:ascii="宋体" w:hAnsi="宋体" w:eastAsia="宋体"/>
          <w:bCs/>
          <w:color w:val="auto"/>
          <w:sz w:val="21"/>
          <w:szCs w:val="21"/>
          <w:highlight w:val="none"/>
        </w:rPr>
        <w:t>；</w:t>
      </w:r>
    </w:p>
    <w:p>
      <w:pPr>
        <w:pStyle w:val="20"/>
        <w:snapToGrid w:val="0"/>
        <w:spacing w:line="360" w:lineRule="exact"/>
        <w:ind w:firstLine="411" w:firstLineChars="196"/>
        <w:rPr>
          <w:rFonts w:ascii="宋体" w:hAnsi="宋体" w:eastAsia="宋体"/>
          <w:bCs/>
          <w:color w:val="auto"/>
          <w:sz w:val="21"/>
          <w:szCs w:val="21"/>
          <w:highlight w:val="none"/>
        </w:rPr>
      </w:pPr>
      <w:r>
        <w:rPr>
          <w:rFonts w:hint="eastAsia" w:ascii="宋体" w:hAnsi="宋体" w:eastAsia="宋体"/>
          <w:bCs/>
          <w:color w:val="auto"/>
          <w:sz w:val="21"/>
          <w:szCs w:val="21"/>
          <w:highlight w:val="none"/>
        </w:rPr>
        <w:t>（4）不同投标人的投标文件异常一致或投标报价呈规律性差异；</w:t>
      </w:r>
    </w:p>
    <w:p>
      <w:pPr>
        <w:pStyle w:val="20"/>
        <w:snapToGrid w:val="0"/>
        <w:spacing w:line="360" w:lineRule="exact"/>
        <w:ind w:firstLine="411" w:firstLineChars="196"/>
        <w:rPr>
          <w:rFonts w:ascii="宋体" w:hAnsi="宋体" w:eastAsia="宋体"/>
          <w:bCs/>
          <w:color w:val="auto"/>
          <w:sz w:val="21"/>
          <w:szCs w:val="21"/>
          <w:highlight w:val="none"/>
        </w:rPr>
      </w:pPr>
      <w:r>
        <w:rPr>
          <w:rFonts w:hint="eastAsia" w:ascii="宋体" w:hAnsi="宋体" w:eastAsia="宋体"/>
          <w:bCs/>
          <w:color w:val="auto"/>
          <w:sz w:val="21"/>
          <w:szCs w:val="21"/>
          <w:highlight w:val="none"/>
        </w:rPr>
        <w:t>（5）不同投标人的投标文件相互混装；</w:t>
      </w:r>
    </w:p>
    <w:p>
      <w:pPr>
        <w:pStyle w:val="20"/>
        <w:snapToGrid w:val="0"/>
        <w:spacing w:line="360" w:lineRule="exact"/>
        <w:ind w:firstLine="411" w:firstLineChars="196"/>
        <w:rPr>
          <w:rFonts w:ascii="宋体" w:hAnsi="宋体" w:eastAsia="宋体"/>
          <w:bCs/>
          <w:color w:val="auto"/>
          <w:sz w:val="21"/>
          <w:szCs w:val="21"/>
          <w:highlight w:val="none"/>
        </w:rPr>
      </w:pPr>
      <w:r>
        <w:rPr>
          <w:rFonts w:hint="eastAsia" w:ascii="宋体" w:hAnsi="宋体" w:eastAsia="宋体"/>
          <w:bCs/>
          <w:color w:val="auto"/>
          <w:sz w:val="21"/>
          <w:szCs w:val="21"/>
          <w:highlight w:val="none"/>
        </w:rPr>
        <w:t>（6）不同投标人的投标保证金从同一个单位或者个人账户转出。</w:t>
      </w:r>
    </w:p>
    <w:p>
      <w:pPr>
        <w:pStyle w:val="20"/>
        <w:snapToGrid w:val="0"/>
        <w:spacing w:line="360" w:lineRule="exact"/>
        <w:ind w:firstLine="411" w:firstLineChars="196"/>
        <w:rPr>
          <w:rFonts w:ascii="宋体" w:hAnsi="宋体" w:eastAsia="宋体"/>
          <w:bCs/>
          <w:color w:val="auto"/>
          <w:sz w:val="21"/>
          <w:szCs w:val="21"/>
          <w:highlight w:val="none"/>
        </w:rPr>
      </w:pPr>
      <w:r>
        <w:rPr>
          <w:rFonts w:hint="eastAsia" w:ascii="宋体" w:hAnsi="宋体" w:eastAsia="宋体"/>
          <w:bCs/>
          <w:color w:val="auto"/>
          <w:sz w:val="21"/>
          <w:szCs w:val="21"/>
          <w:highlight w:val="none"/>
        </w:rPr>
        <w:t>5.有下列情形之一的视为关联供应商参加同一合同项下政府采购活动，投标文件将被视为无效:</w:t>
      </w:r>
    </w:p>
    <w:p>
      <w:pPr>
        <w:pStyle w:val="20"/>
        <w:snapToGrid w:val="0"/>
        <w:spacing w:line="360" w:lineRule="exact"/>
        <w:ind w:firstLine="411" w:firstLineChars="196"/>
        <w:rPr>
          <w:rFonts w:ascii="宋体" w:hAnsi="宋体" w:eastAsia="宋体"/>
          <w:bCs/>
          <w:color w:val="auto"/>
          <w:sz w:val="21"/>
          <w:szCs w:val="21"/>
          <w:highlight w:val="none"/>
        </w:rPr>
      </w:pPr>
      <w:r>
        <w:rPr>
          <w:rFonts w:hint="eastAsia" w:ascii="宋体" w:hAnsi="宋体" w:eastAsia="宋体"/>
          <w:bCs/>
          <w:color w:val="auto"/>
          <w:sz w:val="21"/>
          <w:szCs w:val="21"/>
          <w:highlight w:val="none"/>
        </w:rPr>
        <w:t>（1）单位负责人为同一人或者存在直接控股、管理关系的不同供应商，参加同一合同项下的政府采购活动；</w:t>
      </w:r>
    </w:p>
    <w:p>
      <w:pPr>
        <w:pStyle w:val="20"/>
        <w:snapToGrid w:val="0"/>
        <w:spacing w:line="360" w:lineRule="exact"/>
        <w:ind w:firstLine="411" w:firstLineChars="196"/>
        <w:rPr>
          <w:rFonts w:ascii="宋体" w:hAnsi="宋体" w:eastAsia="宋体"/>
          <w:bCs/>
          <w:color w:val="auto"/>
          <w:sz w:val="21"/>
          <w:szCs w:val="21"/>
          <w:highlight w:val="none"/>
        </w:rPr>
      </w:pPr>
      <w:r>
        <w:rPr>
          <w:rFonts w:hint="eastAsia" w:ascii="宋体" w:hAnsi="宋体" w:eastAsia="宋体"/>
          <w:bCs/>
          <w:color w:val="auto"/>
          <w:sz w:val="21"/>
          <w:szCs w:val="21"/>
          <w:highlight w:val="none"/>
        </w:rPr>
        <w:t>（2）生产厂商授权给供应商后又参加同一合同项下的政府采购活动；生产厂商对同一品牌同一型号的货物委托多个代理商参加投标。</w:t>
      </w:r>
    </w:p>
    <w:p>
      <w:pPr>
        <w:pStyle w:val="20"/>
        <w:snapToGrid w:val="0"/>
        <w:spacing w:line="360" w:lineRule="exact"/>
        <w:ind w:firstLine="411" w:firstLineChars="196"/>
        <w:rPr>
          <w:rFonts w:ascii="宋体" w:hAnsi="宋体" w:eastAsia="宋体"/>
          <w:bCs/>
          <w:color w:val="auto"/>
          <w:sz w:val="21"/>
          <w:szCs w:val="21"/>
          <w:highlight w:val="none"/>
        </w:rPr>
      </w:pPr>
      <w:r>
        <w:rPr>
          <w:rFonts w:hint="eastAsia" w:ascii="宋体" w:hAnsi="宋体" w:eastAsia="宋体"/>
          <w:bCs/>
          <w:color w:val="auto"/>
          <w:sz w:val="21"/>
          <w:szCs w:val="21"/>
          <w:highlight w:val="none"/>
        </w:rPr>
        <w:t>6.被拒绝的投标文件为无效。</w:t>
      </w:r>
    </w:p>
    <w:p>
      <w:pPr>
        <w:pStyle w:val="20"/>
        <w:snapToGrid w:val="0"/>
        <w:spacing w:line="360" w:lineRule="exact"/>
        <w:ind w:firstLine="413" w:firstLineChars="196"/>
        <w:outlineLvl w:val="0"/>
        <w:rPr>
          <w:rFonts w:ascii="宋体" w:hAnsi="宋体" w:eastAsia="宋体"/>
          <w:b/>
          <w:snapToGrid w:val="0"/>
          <w:color w:val="auto"/>
          <w:sz w:val="21"/>
          <w:szCs w:val="21"/>
          <w:highlight w:val="none"/>
        </w:rPr>
      </w:pPr>
      <w:bookmarkStart w:id="38" w:name="_Toc254970544"/>
      <w:bookmarkStart w:id="39" w:name="_Toc254970685"/>
      <w:r>
        <w:rPr>
          <w:rFonts w:hint="eastAsia" w:ascii="宋体" w:hAnsi="宋体" w:eastAsia="宋体"/>
          <w:b/>
          <w:color w:val="auto"/>
          <w:sz w:val="21"/>
          <w:szCs w:val="21"/>
          <w:highlight w:val="none"/>
        </w:rPr>
        <w:t>四、开标</w:t>
      </w:r>
      <w:bookmarkEnd w:id="38"/>
      <w:bookmarkEnd w:id="39"/>
    </w:p>
    <w:p>
      <w:pPr>
        <w:pStyle w:val="26"/>
        <w:snapToGrid w:val="0"/>
        <w:spacing w:line="360" w:lineRule="exact"/>
        <w:ind w:firstLine="413" w:firstLineChars="196"/>
        <w:outlineLvl w:val="0"/>
        <w:rPr>
          <w:rFonts w:hAnsi="宋体"/>
          <w:b/>
          <w:color w:val="auto"/>
          <w:highlight w:val="none"/>
        </w:rPr>
      </w:pPr>
      <w:r>
        <w:rPr>
          <w:rFonts w:hint="eastAsia" w:hAnsi="宋体"/>
          <w:b/>
          <w:color w:val="auto"/>
          <w:highlight w:val="none"/>
        </w:rPr>
        <w:t>（一）开标准备</w:t>
      </w:r>
    </w:p>
    <w:p>
      <w:pPr>
        <w:pStyle w:val="26"/>
        <w:snapToGrid w:val="0"/>
        <w:spacing w:line="360" w:lineRule="exact"/>
        <w:ind w:firstLine="420" w:firstLineChars="200"/>
        <w:rPr>
          <w:rFonts w:hAnsi="宋体"/>
          <w:bCs/>
          <w:color w:val="auto"/>
          <w:highlight w:val="none"/>
        </w:rPr>
      </w:pPr>
      <w:r>
        <w:rPr>
          <w:rFonts w:hint="eastAsia" w:hAnsi="宋体"/>
          <w:bCs/>
          <w:color w:val="auto"/>
          <w:highlight w:val="none"/>
        </w:rPr>
        <w:t>本公司将在规定的时间和地点进行开标，投标人的法定代表人或其授权代表应参加开标会并签到。投标人的法定代表人或其授权代表未按时签到的，视同放弃开标监督权利、认可开标结果。</w:t>
      </w:r>
    </w:p>
    <w:p>
      <w:pPr>
        <w:pStyle w:val="26"/>
        <w:snapToGrid w:val="0"/>
        <w:spacing w:line="360" w:lineRule="exact"/>
        <w:ind w:firstLine="413" w:firstLineChars="196"/>
        <w:outlineLvl w:val="0"/>
        <w:rPr>
          <w:rFonts w:hAnsi="宋体"/>
          <w:b/>
          <w:color w:val="auto"/>
          <w:highlight w:val="none"/>
        </w:rPr>
      </w:pPr>
      <w:r>
        <w:rPr>
          <w:rFonts w:hint="eastAsia" w:hAnsi="宋体"/>
          <w:b/>
          <w:color w:val="auto"/>
          <w:highlight w:val="none"/>
        </w:rPr>
        <w:t>（二） 开标程序：</w:t>
      </w:r>
    </w:p>
    <w:p>
      <w:pPr>
        <w:pStyle w:val="26"/>
        <w:snapToGrid w:val="0"/>
        <w:spacing w:line="360" w:lineRule="exact"/>
        <w:ind w:firstLine="420" w:firstLineChars="200"/>
        <w:rPr>
          <w:rFonts w:hAnsi="宋体"/>
          <w:color w:val="auto"/>
          <w:highlight w:val="none"/>
        </w:rPr>
      </w:pPr>
      <w:r>
        <w:rPr>
          <w:rFonts w:hint="eastAsia" w:hAnsi="宋体"/>
          <w:color w:val="auto"/>
          <w:highlight w:val="none"/>
        </w:rPr>
        <w:t>1.开标会由本公司主持，主持人宣布开标会议开始；</w:t>
      </w:r>
    </w:p>
    <w:p>
      <w:pPr>
        <w:pStyle w:val="26"/>
        <w:snapToGrid w:val="0"/>
        <w:spacing w:line="360" w:lineRule="exact"/>
        <w:ind w:firstLine="420" w:firstLineChars="200"/>
        <w:rPr>
          <w:rFonts w:hAnsi="宋体"/>
          <w:color w:val="auto"/>
          <w:highlight w:val="none"/>
        </w:rPr>
      </w:pPr>
      <w:r>
        <w:rPr>
          <w:rFonts w:hint="eastAsia" w:hAnsi="宋体"/>
          <w:color w:val="auto"/>
          <w:highlight w:val="none"/>
        </w:rPr>
        <w:t xml:space="preserve">2.主持人介绍参加开标会的人员名单； </w:t>
      </w:r>
    </w:p>
    <w:p>
      <w:pPr>
        <w:pStyle w:val="26"/>
        <w:snapToGrid w:val="0"/>
        <w:spacing w:line="360" w:lineRule="exact"/>
        <w:ind w:firstLine="420" w:firstLineChars="200"/>
        <w:rPr>
          <w:rFonts w:hAnsi="宋体"/>
          <w:color w:val="auto"/>
          <w:highlight w:val="none"/>
        </w:rPr>
      </w:pPr>
      <w:r>
        <w:rPr>
          <w:rFonts w:hint="eastAsia" w:hAnsi="宋体"/>
          <w:color w:val="auto"/>
          <w:highlight w:val="none"/>
        </w:rPr>
        <w:t>3.主持人宣布评标期间的有关事项；告知应当回避的情形，提请有关人员回避。</w:t>
      </w:r>
    </w:p>
    <w:p>
      <w:pPr>
        <w:pStyle w:val="26"/>
        <w:snapToGrid w:val="0"/>
        <w:spacing w:line="360" w:lineRule="exact"/>
        <w:ind w:firstLine="420" w:firstLineChars="200"/>
        <w:rPr>
          <w:rFonts w:hAnsi="宋体"/>
          <w:color w:val="auto"/>
          <w:highlight w:val="none"/>
        </w:rPr>
      </w:pPr>
      <w:r>
        <w:rPr>
          <w:rFonts w:hint="eastAsia" w:hAnsi="宋体"/>
          <w:color w:val="auto"/>
          <w:highlight w:val="none"/>
        </w:rPr>
        <w:t>4.投标人或其当场推荐的代表，或者采购人或采购代理机构委托的公证机构检查投标文件密封的完整性并签字确认；</w:t>
      </w:r>
    </w:p>
    <w:p>
      <w:pPr>
        <w:pStyle w:val="26"/>
        <w:snapToGrid w:val="0"/>
        <w:spacing w:line="360" w:lineRule="exact"/>
        <w:ind w:firstLine="420" w:firstLineChars="200"/>
        <w:rPr>
          <w:rFonts w:hAnsi="宋体"/>
          <w:color w:val="auto"/>
          <w:highlight w:val="none"/>
        </w:rPr>
      </w:pPr>
      <w:r>
        <w:rPr>
          <w:rFonts w:hint="eastAsia" w:hAnsi="宋体"/>
          <w:color w:val="auto"/>
          <w:highlight w:val="none"/>
        </w:rPr>
        <w:t>5.唱标：本公司工作人员只唱开标一览表；</w:t>
      </w:r>
    </w:p>
    <w:p>
      <w:pPr>
        <w:pStyle w:val="26"/>
        <w:snapToGrid w:val="0"/>
        <w:spacing w:line="360" w:lineRule="exact"/>
        <w:ind w:firstLine="420" w:firstLineChars="200"/>
        <w:rPr>
          <w:rFonts w:hAnsi="宋体"/>
          <w:color w:val="auto"/>
          <w:highlight w:val="none"/>
        </w:rPr>
      </w:pPr>
      <w:r>
        <w:rPr>
          <w:rFonts w:hint="eastAsia" w:hAnsi="宋体"/>
          <w:color w:val="auto"/>
          <w:highlight w:val="none"/>
        </w:rPr>
        <w:t>6.本公司做开标记录,投标人代表对开标记录进行当场校核及勘误，并签字确认；同时由记录人、监督人当场签字确认。投标人代表未到场签字确认或者拒绝签字确认的，不影响评标过程。</w:t>
      </w:r>
    </w:p>
    <w:p>
      <w:pPr>
        <w:pStyle w:val="26"/>
        <w:spacing w:line="420" w:lineRule="exact"/>
        <w:ind w:firstLine="420"/>
        <w:rPr>
          <w:rFonts w:hAnsi="宋体"/>
          <w:color w:val="auto"/>
          <w:highlight w:val="none"/>
        </w:rPr>
      </w:pPr>
      <w:r>
        <w:rPr>
          <w:rFonts w:hint="eastAsia" w:hAnsi="宋体"/>
          <w:color w:val="auto"/>
          <w:highlight w:val="none"/>
        </w:rPr>
        <w:t>注：①当整个招标项目的投标人不足3家的不开标，本公司将按政府采购管理的有关规定处理。</w:t>
      </w:r>
    </w:p>
    <w:p>
      <w:pPr>
        <w:pStyle w:val="26"/>
        <w:snapToGrid w:val="0"/>
        <w:spacing w:line="360" w:lineRule="exact"/>
        <w:ind w:firstLine="840" w:firstLineChars="400"/>
        <w:rPr>
          <w:rFonts w:hAnsi="宋体"/>
          <w:color w:val="auto"/>
          <w:highlight w:val="none"/>
        </w:rPr>
      </w:pPr>
      <w:r>
        <w:rPr>
          <w:rFonts w:hint="eastAsia" w:hAnsi="宋体"/>
          <w:color w:val="auto"/>
          <w:highlight w:val="none"/>
        </w:rPr>
        <w:t>②开标后,某分标投标人不足3家的，本公司将按政府采购管理的有关规定处理。</w:t>
      </w:r>
    </w:p>
    <w:p>
      <w:pPr>
        <w:pStyle w:val="26"/>
        <w:snapToGrid w:val="0"/>
        <w:spacing w:line="360" w:lineRule="exact"/>
        <w:ind w:left="689" w:leftChars="228" w:hanging="210" w:hangingChars="100"/>
        <w:rPr>
          <w:rFonts w:hAnsi="宋体"/>
          <w:color w:val="auto"/>
          <w:highlight w:val="none"/>
        </w:rPr>
      </w:pPr>
      <w:r>
        <w:rPr>
          <w:rFonts w:hint="eastAsia" w:hAnsi="宋体"/>
          <w:color w:val="auto"/>
          <w:highlight w:val="none"/>
        </w:rPr>
        <w:t>7.开标会议结束。</w:t>
      </w:r>
    </w:p>
    <w:p>
      <w:pPr>
        <w:pStyle w:val="26"/>
        <w:snapToGrid w:val="0"/>
        <w:spacing w:line="360" w:lineRule="exact"/>
        <w:ind w:left="772" w:leftChars="267" w:hanging="211" w:hangingChars="100"/>
        <w:outlineLvl w:val="1"/>
        <w:rPr>
          <w:rFonts w:hAnsi="宋体"/>
          <w:b/>
          <w:color w:val="auto"/>
          <w:highlight w:val="none"/>
        </w:rPr>
      </w:pPr>
      <w:bookmarkStart w:id="40" w:name="_Toc254970686"/>
      <w:bookmarkStart w:id="41" w:name="_Toc254970545"/>
      <w:r>
        <w:rPr>
          <w:rFonts w:hint="eastAsia" w:hAnsi="宋体"/>
          <w:b/>
          <w:color w:val="auto"/>
          <w:highlight w:val="none"/>
        </w:rPr>
        <w:t>五、</w:t>
      </w:r>
      <w:r>
        <w:rPr>
          <w:rFonts w:hint="eastAsia" w:hAnsi="宋体"/>
          <w:b/>
          <w:bCs/>
          <w:color w:val="auto"/>
          <w:highlight w:val="none"/>
        </w:rPr>
        <w:t>资格审查</w:t>
      </w:r>
    </w:p>
    <w:p>
      <w:pPr>
        <w:pStyle w:val="26"/>
        <w:snapToGrid w:val="0"/>
        <w:spacing w:line="360" w:lineRule="exact"/>
        <w:ind w:left="771" w:leftChars="267" w:hanging="210" w:hangingChars="100"/>
        <w:outlineLvl w:val="1"/>
        <w:rPr>
          <w:rFonts w:hAnsi="宋体"/>
          <w:b/>
          <w:color w:val="auto"/>
          <w:highlight w:val="none"/>
        </w:rPr>
      </w:pPr>
      <w:r>
        <w:rPr>
          <w:rFonts w:hint="eastAsia"/>
          <w:color w:val="auto"/>
          <w:highlight w:val="none"/>
        </w:rPr>
        <w:t>采购人</w:t>
      </w:r>
      <w:r>
        <w:rPr>
          <w:rFonts w:hint="eastAsia"/>
          <w:color w:val="auto"/>
          <w:spacing w:val="-4"/>
          <w:highlight w:val="none"/>
        </w:rPr>
        <w:t>或本公司工作人员</w:t>
      </w:r>
      <w:r>
        <w:rPr>
          <w:rFonts w:hint="eastAsia"/>
          <w:color w:val="auto"/>
          <w:highlight w:val="none"/>
        </w:rPr>
        <w:t>依法对投标人的资格进行审查。合格投标人不足3家的，不得评标。</w:t>
      </w:r>
    </w:p>
    <w:p>
      <w:pPr>
        <w:pStyle w:val="26"/>
        <w:snapToGrid w:val="0"/>
        <w:spacing w:line="360" w:lineRule="exact"/>
        <w:ind w:left="772" w:leftChars="267" w:hanging="211" w:hangingChars="100"/>
        <w:outlineLvl w:val="1"/>
        <w:rPr>
          <w:rFonts w:hAnsi="宋体"/>
          <w:b/>
          <w:color w:val="auto"/>
          <w:highlight w:val="none"/>
        </w:rPr>
      </w:pPr>
      <w:r>
        <w:rPr>
          <w:rFonts w:hint="eastAsia" w:hAnsi="宋体"/>
          <w:b/>
          <w:color w:val="auto"/>
          <w:highlight w:val="none"/>
        </w:rPr>
        <w:t>六、评标</w:t>
      </w:r>
      <w:bookmarkEnd w:id="40"/>
      <w:bookmarkEnd w:id="41"/>
    </w:p>
    <w:p>
      <w:pPr>
        <w:pStyle w:val="26"/>
        <w:snapToGrid w:val="0"/>
        <w:spacing w:line="360" w:lineRule="exact"/>
        <w:ind w:left="690" w:leftChars="228" w:hanging="211" w:hangingChars="100"/>
        <w:rPr>
          <w:rFonts w:hAnsi="宋体"/>
          <w:b/>
          <w:color w:val="auto"/>
          <w:highlight w:val="none"/>
        </w:rPr>
      </w:pPr>
      <w:r>
        <w:rPr>
          <w:rFonts w:hint="eastAsia" w:hAnsi="宋体"/>
          <w:b/>
          <w:color w:val="auto"/>
          <w:highlight w:val="none"/>
        </w:rPr>
        <w:t>（一）组建评标委员会</w:t>
      </w:r>
    </w:p>
    <w:p>
      <w:pPr>
        <w:pStyle w:val="26"/>
        <w:snapToGrid w:val="0"/>
        <w:spacing w:line="360" w:lineRule="exact"/>
        <w:ind w:firstLine="420" w:firstLineChars="200"/>
        <w:rPr>
          <w:rFonts w:hAnsi="宋体"/>
          <w:color w:val="auto"/>
          <w:highlight w:val="none"/>
        </w:rPr>
      </w:pPr>
      <w:r>
        <w:rPr>
          <w:rFonts w:hint="eastAsia" w:hAnsi="宋体"/>
          <w:bCs/>
          <w:color w:val="auto"/>
          <w:highlight w:val="none"/>
        </w:rPr>
        <w:t>本招标采购项目的</w:t>
      </w:r>
      <w:r>
        <w:rPr>
          <w:color w:val="auto"/>
          <w:spacing w:val="-4"/>
          <w:highlight w:val="none"/>
        </w:rPr>
        <w:t>评标委员会由采购人代表和评审专家组成，成员人数应当为5人以上单数，其中评审专家不得少于成员总数的三分之二。</w:t>
      </w:r>
    </w:p>
    <w:p>
      <w:pPr>
        <w:pStyle w:val="26"/>
        <w:snapToGrid w:val="0"/>
        <w:spacing w:line="360" w:lineRule="exact"/>
        <w:ind w:left="690" w:leftChars="228" w:hanging="211" w:hangingChars="100"/>
        <w:rPr>
          <w:rFonts w:hAnsi="宋体"/>
          <w:b/>
          <w:color w:val="auto"/>
          <w:highlight w:val="none"/>
        </w:rPr>
      </w:pPr>
      <w:r>
        <w:rPr>
          <w:rFonts w:hint="eastAsia" w:hAnsi="宋体"/>
          <w:b/>
          <w:color w:val="auto"/>
          <w:highlight w:val="none"/>
        </w:rPr>
        <w:t>（二）评标的方式</w:t>
      </w:r>
    </w:p>
    <w:p>
      <w:pPr>
        <w:pStyle w:val="26"/>
        <w:snapToGrid w:val="0"/>
        <w:spacing w:line="360" w:lineRule="exact"/>
        <w:ind w:left="690" w:leftChars="228" w:hanging="211" w:hangingChars="100"/>
        <w:rPr>
          <w:rFonts w:hAnsi="宋体"/>
          <w:b/>
          <w:color w:val="auto"/>
          <w:highlight w:val="none"/>
        </w:rPr>
      </w:pPr>
      <w:r>
        <w:rPr>
          <w:rFonts w:hint="eastAsia" w:hAnsi="宋体"/>
          <w:b/>
          <w:color w:val="auto"/>
          <w:highlight w:val="none"/>
        </w:rPr>
        <w:t>本项目采用不公开方式评标，评标的依据为招标文件和投标文件。</w:t>
      </w:r>
    </w:p>
    <w:p>
      <w:pPr>
        <w:pStyle w:val="26"/>
        <w:snapToGrid w:val="0"/>
        <w:spacing w:line="360" w:lineRule="exact"/>
        <w:ind w:left="690" w:leftChars="228" w:hanging="211" w:hangingChars="100"/>
        <w:rPr>
          <w:rFonts w:hAnsi="宋体"/>
          <w:b/>
          <w:color w:val="auto"/>
          <w:highlight w:val="none"/>
        </w:rPr>
      </w:pPr>
      <w:r>
        <w:rPr>
          <w:rFonts w:hint="eastAsia" w:hAnsi="宋体"/>
          <w:b/>
          <w:color w:val="auto"/>
          <w:highlight w:val="none"/>
        </w:rPr>
        <w:t>（三）</w:t>
      </w:r>
      <w:r>
        <w:rPr>
          <w:rFonts w:hint="eastAsia" w:hAnsi="宋体"/>
          <w:b/>
          <w:bCs/>
          <w:color w:val="auto"/>
          <w:highlight w:val="none"/>
        </w:rPr>
        <w:t>评标程序</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color w:val="auto"/>
          <w:szCs w:val="21"/>
          <w:highlight w:val="none"/>
        </w:rPr>
        <w:t>评标委员会审查、评价投标文件是否符合招标文件的商务、技术等实质性要求。</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color w:val="auto"/>
          <w:szCs w:val="21"/>
          <w:highlight w:val="none"/>
        </w:rPr>
        <w:t>评标委员会对投标文件进行比较和评价,如有疑问,将要求投标人对投标文件有关事项作出澄清或者说明。投标人向评标委员会澄清或者说明有关问题,并最终以书面形式进行答复。</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投标人代表未到场或者拒绝澄清或者澄清的内容改变了投标文件的实质性内容的，评标委员会有权视该投标文件无效。</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（3）各投标人的技术得分为所有评委的有效评分的算术平均数，由指定专人进行计算复核。</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（4）本公司工作人员协助评标委员会根据本项目的评分标准计算各投标人的商务报价得分。</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（5）</w:t>
      </w:r>
      <w:r>
        <w:rPr>
          <w:rFonts w:hint="eastAsia" w:ascii="宋体"/>
          <w:color w:val="auto"/>
          <w:szCs w:val="21"/>
          <w:highlight w:val="none"/>
        </w:rPr>
        <w:t>评标委员会完成评标后,评委对各部分得分汇总,计算出本项目最终得分、评标价等。</w:t>
      </w:r>
      <w:r>
        <w:rPr>
          <w:rFonts w:hint="eastAsia" w:ascii="宋体" w:hAnsi="宋体"/>
          <w:color w:val="auto"/>
          <w:szCs w:val="21"/>
          <w:highlight w:val="none"/>
        </w:rPr>
        <w:t>评标委员会按推荐原则推荐中标候选人同时起草评标报告。</w:t>
      </w:r>
    </w:p>
    <w:p>
      <w:pPr>
        <w:snapToGrid w:val="0"/>
        <w:spacing w:line="360" w:lineRule="exact"/>
        <w:ind w:firstLine="420" w:firstLineChars="200"/>
        <w:outlineLvl w:val="0"/>
        <w:rPr>
          <w:rFonts w:ascii="宋体" w:hAnsi="宋体"/>
          <w:b/>
          <w:color w:val="auto"/>
          <w:szCs w:val="21"/>
          <w:highlight w:val="none"/>
        </w:rPr>
      </w:pPr>
      <w:r>
        <w:rPr>
          <w:rFonts w:hint="eastAsia" w:ascii="宋体" w:hAnsi="宋体"/>
          <w:color w:val="auto"/>
          <w:szCs w:val="21"/>
          <w:highlight w:val="none"/>
        </w:rPr>
        <w:t>（四）</w:t>
      </w:r>
      <w:r>
        <w:rPr>
          <w:rFonts w:hint="eastAsia" w:ascii="宋体" w:hAnsi="宋体"/>
          <w:b/>
          <w:color w:val="auto"/>
          <w:szCs w:val="21"/>
          <w:highlight w:val="none"/>
        </w:rPr>
        <w:t>澄清问题的形式</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26"/>
        <w:snapToGrid w:val="0"/>
        <w:spacing w:line="360" w:lineRule="exact"/>
        <w:ind w:left="689" w:leftChars="228" w:hanging="210" w:hangingChars="100"/>
        <w:outlineLvl w:val="0"/>
        <w:rPr>
          <w:rFonts w:hAnsi="宋体"/>
          <w:b/>
          <w:color w:val="auto"/>
          <w:highlight w:val="none"/>
        </w:rPr>
      </w:pPr>
      <w:r>
        <w:rPr>
          <w:rFonts w:hint="eastAsia" w:hAnsi="宋体"/>
          <w:color w:val="auto"/>
          <w:highlight w:val="none"/>
        </w:rPr>
        <w:t>（五）</w:t>
      </w:r>
      <w:r>
        <w:rPr>
          <w:rFonts w:hint="eastAsia" w:hAnsi="宋体"/>
          <w:b/>
          <w:color w:val="auto"/>
          <w:highlight w:val="none"/>
        </w:rPr>
        <w:t>错误修正</w:t>
      </w:r>
    </w:p>
    <w:p>
      <w:pPr>
        <w:pStyle w:val="26"/>
        <w:snapToGrid w:val="0"/>
        <w:spacing w:line="360" w:lineRule="exact"/>
        <w:ind w:left="689" w:leftChars="228" w:hanging="210" w:hangingChars="100"/>
        <w:rPr>
          <w:rFonts w:hAnsi="宋体"/>
          <w:color w:val="auto"/>
          <w:highlight w:val="none"/>
        </w:rPr>
      </w:pPr>
      <w:r>
        <w:rPr>
          <w:rFonts w:hint="eastAsia" w:hAnsi="宋体"/>
          <w:color w:val="auto"/>
          <w:highlight w:val="none"/>
        </w:rPr>
        <w:t>投标文件如果出现计算或表达上的错误，修正错误的原则如下：</w:t>
      </w:r>
    </w:p>
    <w:p>
      <w:pPr>
        <w:pStyle w:val="26"/>
        <w:snapToGrid w:val="0"/>
        <w:spacing w:line="360" w:lineRule="exact"/>
        <w:ind w:firstLine="420" w:firstLineChars="200"/>
        <w:rPr>
          <w:color w:val="auto"/>
          <w:highlight w:val="none"/>
        </w:rPr>
      </w:pPr>
      <w:r>
        <w:rPr>
          <w:rFonts w:hint="eastAsia"/>
          <w:color w:val="auto"/>
          <w:highlight w:val="none"/>
        </w:rPr>
        <w:t>1.投标文件中开标一览表（报价表）内容与投标文件中相应内容不一致的，以开标一览表（报价表）为准；</w:t>
      </w:r>
    </w:p>
    <w:p>
      <w:pPr>
        <w:pStyle w:val="26"/>
        <w:snapToGrid w:val="0"/>
        <w:spacing w:line="360" w:lineRule="exact"/>
        <w:ind w:firstLine="420" w:firstLineChars="200"/>
        <w:rPr>
          <w:color w:val="auto"/>
          <w:highlight w:val="none"/>
        </w:rPr>
      </w:pPr>
      <w:r>
        <w:rPr>
          <w:rFonts w:hint="eastAsia"/>
          <w:color w:val="auto"/>
          <w:highlight w:val="none"/>
        </w:rPr>
        <w:t>2.大写金额和小写金额不一致的，以大写金额为准；</w:t>
      </w:r>
    </w:p>
    <w:p>
      <w:pPr>
        <w:pStyle w:val="26"/>
        <w:snapToGrid w:val="0"/>
        <w:spacing w:line="360" w:lineRule="exact"/>
        <w:ind w:firstLine="420" w:firstLineChars="200"/>
        <w:rPr>
          <w:color w:val="auto"/>
          <w:highlight w:val="none"/>
        </w:rPr>
      </w:pPr>
      <w:r>
        <w:rPr>
          <w:rFonts w:hint="eastAsia"/>
          <w:color w:val="auto"/>
          <w:highlight w:val="none"/>
        </w:rPr>
        <w:t>3.单价金额小数点或者百分比有明显错位的，以开标一览表的总价为准，并修改单价；</w:t>
      </w:r>
    </w:p>
    <w:p>
      <w:pPr>
        <w:pStyle w:val="26"/>
        <w:snapToGrid w:val="0"/>
        <w:spacing w:line="360" w:lineRule="exact"/>
        <w:ind w:firstLine="420" w:firstLineChars="200"/>
        <w:rPr>
          <w:color w:val="auto"/>
          <w:highlight w:val="none"/>
        </w:rPr>
      </w:pPr>
      <w:r>
        <w:rPr>
          <w:rFonts w:hint="eastAsia"/>
          <w:color w:val="auto"/>
          <w:highlight w:val="none"/>
        </w:rPr>
        <w:t>4.总价金额与按单价汇总金额不一致的，以单价金额计算结果为准。</w:t>
      </w:r>
    </w:p>
    <w:p>
      <w:pPr>
        <w:pStyle w:val="26"/>
        <w:snapToGrid w:val="0"/>
        <w:spacing w:line="360" w:lineRule="exact"/>
        <w:ind w:firstLine="420" w:firstLineChars="200"/>
        <w:rPr>
          <w:color w:val="auto"/>
          <w:highlight w:val="none"/>
        </w:rPr>
      </w:pPr>
      <w:r>
        <w:rPr>
          <w:rFonts w:hint="eastAsia"/>
          <w:color w:val="auto"/>
          <w:highlight w:val="none"/>
        </w:rPr>
        <w:t>5.对不同文字文本投标文件的解释发生异议的，以中文文本为准。</w:t>
      </w:r>
    </w:p>
    <w:p>
      <w:pPr>
        <w:pStyle w:val="26"/>
        <w:snapToGrid w:val="0"/>
        <w:spacing w:line="360" w:lineRule="exact"/>
        <w:ind w:firstLine="420" w:firstLineChars="200"/>
        <w:rPr>
          <w:rFonts w:hAnsi="宋体"/>
          <w:color w:val="auto"/>
          <w:highlight w:val="none"/>
        </w:rPr>
      </w:pPr>
      <w:r>
        <w:rPr>
          <w:rFonts w:hint="eastAsia"/>
          <w:color w:val="auto"/>
          <w:highlight w:val="none"/>
        </w:rPr>
        <w:t>同时出现两种以上不一致的，按照前款规定的顺序修正。</w:t>
      </w:r>
    </w:p>
    <w:p>
      <w:pPr>
        <w:pStyle w:val="26"/>
        <w:snapToGrid w:val="0"/>
        <w:spacing w:line="360" w:lineRule="exact"/>
        <w:ind w:firstLine="422" w:firstLineChars="200"/>
        <w:rPr>
          <w:rFonts w:hAnsi="宋体"/>
          <w:b/>
          <w:bCs/>
          <w:color w:val="auto"/>
          <w:highlight w:val="none"/>
        </w:rPr>
      </w:pPr>
      <w:r>
        <w:rPr>
          <w:rFonts w:hint="eastAsia" w:hAnsi="宋体"/>
          <w:b/>
          <w:bCs/>
          <w:color w:val="auto"/>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26"/>
        <w:tabs>
          <w:tab w:val="left" w:pos="630"/>
        </w:tabs>
        <w:snapToGrid w:val="0"/>
        <w:spacing w:line="360" w:lineRule="exact"/>
        <w:ind w:firstLine="413" w:firstLineChars="196"/>
        <w:outlineLvl w:val="0"/>
        <w:rPr>
          <w:rFonts w:hAnsi="宋体"/>
          <w:b/>
          <w:color w:val="auto"/>
          <w:highlight w:val="none"/>
        </w:rPr>
      </w:pPr>
      <w:r>
        <w:rPr>
          <w:rFonts w:hint="eastAsia" w:hAnsi="宋体"/>
          <w:b/>
          <w:color w:val="auto"/>
          <w:highlight w:val="none"/>
        </w:rPr>
        <w:t>（六）评标原则和评标办法</w:t>
      </w:r>
    </w:p>
    <w:p>
      <w:pPr>
        <w:pStyle w:val="26"/>
        <w:snapToGrid w:val="0"/>
        <w:spacing w:line="440" w:lineRule="exact"/>
        <w:ind w:firstLine="420" w:firstLineChars="200"/>
        <w:rPr>
          <w:rFonts w:hAnsi="宋体"/>
          <w:color w:val="auto"/>
          <w:highlight w:val="none"/>
        </w:rPr>
      </w:pPr>
      <w:r>
        <w:rPr>
          <w:rFonts w:hint="eastAsia" w:hAnsi="宋体"/>
          <w:color w:val="auto"/>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6"/>
        <w:snapToGrid w:val="0"/>
        <w:spacing w:line="440" w:lineRule="exact"/>
        <w:ind w:firstLine="420" w:firstLineChars="200"/>
        <w:rPr>
          <w:rFonts w:hAnsi="宋体"/>
          <w:color w:val="auto"/>
          <w:highlight w:val="none"/>
        </w:rPr>
      </w:pPr>
      <w:r>
        <w:rPr>
          <w:rFonts w:hint="eastAsia" w:hAnsi="宋体"/>
          <w:color w:val="auto"/>
          <w:highlight w:val="none"/>
        </w:rPr>
        <w:t>2.评标办法。本项目评标办法是</w:t>
      </w:r>
      <w:r>
        <w:rPr>
          <w:rFonts w:hint="eastAsia" w:hAnsi="宋体"/>
          <w:b/>
          <w:color w:val="auto"/>
          <w:highlight w:val="none"/>
          <w:u w:val="single"/>
        </w:rPr>
        <w:t>综合评分法</w:t>
      </w:r>
      <w:r>
        <w:rPr>
          <w:rFonts w:hint="eastAsia" w:hAnsi="宋体"/>
          <w:color w:val="auto"/>
          <w:highlight w:val="none"/>
        </w:rPr>
        <w:t>，具体评标内容及评分标准等详见第四章：评标方法及评定标准。</w:t>
      </w:r>
    </w:p>
    <w:p>
      <w:pPr>
        <w:pStyle w:val="26"/>
        <w:snapToGrid w:val="0"/>
        <w:spacing w:line="440" w:lineRule="exact"/>
        <w:ind w:firstLine="413" w:firstLineChars="196"/>
        <w:outlineLvl w:val="0"/>
        <w:rPr>
          <w:rFonts w:hAnsi="宋体"/>
          <w:b/>
          <w:color w:val="auto"/>
          <w:highlight w:val="none"/>
        </w:rPr>
      </w:pPr>
      <w:r>
        <w:rPr>
          <w:rFonts w:hint="eastAsia" w:hAnsi="宋体"/>
          <w:b/>
          <w:color w:val="auto"/>
          <w:highlight w:val="none"/>
        </w:rPr>
        <w:t>（七）评标过程的监控</w:t>
      </w:r>
    </w:p>
    <w:p>
      <w:pPr>
        <w:pStyle w:val="26"/>
        <w:snapToGrid w:val="0"/>
        <w:spacing w:line="440" w:lineRule="exact"/>
        <w:ind w:firstLine="420" w:firstLineChars="200"/>
        <w:rPr>
          <w:rFonts w:hAnsi="宋体"/>
          <w:color w:val="auto"/>
          <w:highlight w:val="none"/>
        </w:rPr>
      </w:pPr>
      <w:r>
        <w:rPr>
          <w:rFonts w:hint="eastAsia" w:hAnsi="宋体"/>
          <w:color w:val="auto"/>
          <w:highlight w:val="none"/>
        </w:rPr>
        <w:t>本项目评标过程实行全程录音、录像监控，投标人在评标过程中所进行的试图影响评标结果的不公正活动，可能导致其投标被拒绝。</w:t>
      </w:r>
    </w:p>
    <w:p>
      <w:pPr>
        <w:pStyle w:val="26"/>
        <w:snapToGrid w:val="0"/>
        <w:spacing w:line="440" w:lineRule="exact"/>
        <w:ind w:firstLine="413" w:firstLineChars="196"/>
        <w:outlineLvl w:val="1"/>
        <w:rPr>
          <w:rFonts w:hAnsi="宋体"/>
          <w:b/>
          <w:color w:val="auto"/>
          <w:highlight w:val="none"/>
        </w:rPr>
      </w:pPr>
      <w:bookmarkStart w:id="42" w:name="_Toc254970546"/>
      <w:bookmarkStart w:id="43" w:name="_Toc254970687"/>
      <w:r>
        <w:rPr>
          <w:rFonts w:hint="eastAsia" w:hAnsi="宋体"/>
          <w:b/>
          <w:color w:val="auto"/>
          <w:highlight w:val="none"/>
        </w:rPr>
        <w:t>七、评标结果</w:t>
      </w:r>
      <w:bookmarkEnd w:id="42"/>
      <w:bookmarkEnd w:id="43"/>
    </w:p>
    <w:p>
      <w:pPr>
        <w:pStyle w:val="26"/>
        <w:spacing w:line="440" w:lineRule="exact"/>
        <w:ind w:firstLine="420"/>
        <w:rPr>
          <w:rFonts w:hAnsi="宋体"/>
          <w:color w:val="auto"/>
          <w:highlight w:val="none"/>
        </w:rPr>
      </w:pPr>
      <w:r>
        <w:rPr>
          <w:rFonts w:hint="eastAsia" w:hAnsi="宋体"/>
          <w:b/>
          <w:bCs/>
          <w:color w:val="auto"/>
          <w:highlight w:val="none"/>
        </w:rPr>
        <w:t>（一）</w:t>
      </w:r>
      <w:r>
        <w:rPr>
          <w:rFonts w:hint="eastAsia" w:hAnsi="宋体"/>
          <w:color w:val="auto"/>
          <w:highlight w:val="none"/>
        </w:rPr>
        <w:t>本公司将在评标结束后2个工作日内将评标报告送采购人，采购人在5个工作日内按照评标报告中推荐的中标候选供应商顺序确定中标供应商。采购人也可以事先授权评标委员会直接确定中标供应商。</w:t>
      </w:r>
    </w:p>
    <w:p>
      <w:pPr>
        <w:pStyle w:val="26"/>
        <w:spacing w:line="440" w:lineRule="exact"/>
        <w:ind w:firstLine="420"/>
        <w:rPr>
          <w:rFonts w:hAnsi="宋体"/>
          <w:color w:val="auto"/>
          <w:highlight w:val="none"/>
        </w:rPr>
      </w:pPr>
      <w:r>
        <w:rPr>
          <w:rFonts w:hint="eastAsia" w:hAnsi="宋体"/>
          <w:color w:val="auto"/>
          <w:highlight w:val="none"/>
        </w:rPr>
        <w:t>（二）中标供应商确定后，本公司在中国政府采购网、广西政府采购网、广西壮族自治区公共资源交易中心网发布中标公告。</w:t>
      </w:r>
    </w:p>
    <w:p>
      <w:pPr>
        <w:pStyle w:val="26"/>
        <w:spacing w:line="440" w:lineRule="exact"/>
        <w:ind w:firstLine="420"/>
        <w:rPr>
          <w:rFonts w:hAnsi="宋体"/>
          <w:color w:val="auto"/>
          <w:highlight w:val="none"/>
        </w:rPr>
      </w:pPr>
      <w:r>
        <w:rPr>
          <w:rFonts w:hint="eastAsia" w:hAnsi="宋体"/>
          <w:color w:val="auto"/>
          <w:highlight w:val="none"/>
        </w:rPr>
        <w:t>（三）</w:t>
      </w:r>
      <w:r>
        <w:rPr>
          <w:rFonts w:hint="eastAsia"/>
          <w:color w:val="auto"/>
          <w:highlight w:val="none"/>
        </w:rPr>
        <w:t>在发布中标公告的同时，本公司向中标供应商发出中标通知书。</w:t>
      </w:r>
    </w:p>
    <w:p>
      <w:pPr>
        <w:pStyle w:val="26"/>
        <w:spacing w:line="440" w:lineRule="exact"/>
        <w:ind w:firstLine="420" w:firstLineChars="200"/>
        <w:rPr>
          <w:rFonts w:hAnsi="宋体"/>
          <w:bCs/>
          <w:color w:val="auto"/>
          <w:highlight w:val="none"/>
        </w:rPr>
      </w:pPr>
      <w:r>
        <w:rPr>
          <w:rFonts w:hint="eastAsia" w:hAnsi="宋体"/>
          <w:color w:val="auto"/>
          <w:highlight w:val="none"/>
        </w:rPr>
        <w:t>（四）</w:t>
      </w:r>
      <w:r>
        <w:rPr>
          <w:rFonts w:hint="eastAsia" w:hAnsi="宋体"/>
          <w:bCs/>
          <w:color w:val="auto"/>
          <w:highlight w:val="none"/>
        </w:rPr>
        <w:t>投标人认为招标文件、招标过程和中标结果使自己的权益受到损害的，可以在知道或者应知其权益受到损害之日起七个工作日内，以书面形式向本公司提出质疑，并及时索要书面回执。</w:t>
      </w:r>
    </w:p>
    <w:p>
      <w:pPr>
        <w:pStyle w:val="26"/>
        <w:spacing w:line="440" w:lineRule="exact"/>
        <w:ind w:firstLine="420"/>
        <w:rPr>
          <w:rFonts w:hAnsi="宋体"/>
          <w:color w:val="auto"/>
          <w:highlight w:val="none"/>
        </w:rPr>
      </w:pPr>
      <w:r>
        <w:rPr>
          <w:rFonts w:hint="eastAsia" w:hAnsi="宋体"/>
          <w:color w:val="auto"/>
          <w:highlight w:val="none"/>
        </w:rPr>
        <w:t>（五）</w:t>
      </w:r>
      <w:r>
        <w:rPr>
          <w:rFonts w:hint="eastAsia" w:hAnsi="宋体"/>
          <w:bCs/>
          <w:color w:val="auto"/>
          <w:highlight w:val="none"/>
        </w:rPr>
        <w:t>本公司应当按照有关规定就采购人委托授权范围内的事项在收到投标人的书面质疑后七个工作日内做出答复，但答复的内容不得涉及商业秘密。</w:t>
      </w:r>
    </w:p>
    <w:p>
      <w:pPr>
        <w:pStyle w:val="26"/>
        <w:snapToGrid w:val="0"/>
        <w:spacing w:line="440" w:lineRule="exact"/>
        <w:ind w:firstLine="413" w:firstLineChars="196"/>
        <w:outlineLvl w:val="1"/>
        <w:rPr>
          <w:rFonts w:hAnsi="宋体"/>
          <w:b/>
          <w:color w:val="auto"/>
          <w:highlight w:val="none"/>
        </w:rPr>
      </w:pPr>
      <w:r>
        <w:rPr>
          <w:rFonts w:hint="eastAsia" w:hAnsi="宋体"/>
          <w:b/>
          <w:color w:val="auto"/>
          <w:highlight w:val="none"/>
        </w:rPr>
        <w:t>八、签订合同</w:t>
      </w:r>
    </w:p>
    <w:p>
      <w:pPr>
        <w:pStyle w:val="26"/>
        <w:snapToGrid w:val="0"/>
        <w:spacing w:line="300" w:lineRule="exact"/>
        <w:ind w:firstLine="413" w:firstLineChars="196"/>
        <w:outlineLvl w:val="1"/>
        <w:rPr>
          <w:rFonts w:hAnsi="宋体"/>
          <w:b/>
          <w:color w:val="auto"/>
          <w:highlight w:val="none"/>
        </w:rPr>
      </w:pPr>
      <w:r>
        <w:rPr>
          <w:rFonts w:hint="eastAsia" w:hAnsi="宋体"/>
          <w:b/>
          <w:color w:val="auto"/>
          <w:highlight w:val="none"/>
        </w:rPr>
        <w:t>（一）合同授予标准</w:t>
      </w:r>
    </w:p>
    <w:p>
      <w:pPr>
        <w:pStyle w:val="26"/>
        <w:spacing w:line="300" w:lineRule="exact"/>
        <w:ind w:firstLine="420"/>
        <w:rPr>
          <w:rFonts w:hAnsi="宋体"/>
          <w:color w:val="auto"/>
          <w:highlight w:val="none"/>
        </w:rPr>
      </w:pPr>
      <w:r>
        <w:rPr>
          <w:rFonts w:hint="eastAsia" w:hAnsi="宋体"/>
          <w:b/>
          <w:color w:val="auto"/>
          <w:highlight w:val="none"/>
        </w:rPr>
        <w:t>合同将授予被确定实质上响应招标文件要求，具备履行合同能力，综合评分排名第一、二名的投标人</w:t>
      </w:r>
      <w:r>
        <w:rPr>
          <w:rFonts w:hint="eastAsia" w:hAnsi="宋体"/>
          <w:color w:val="auto"/>
          <w:highlight w:val="none"/>
        </w:rPr>
        <w:t>。</w:t>
      </w:r>
    </w:p>
    <w:p>
      <w:pPr>
        <w:pStyle w:val="26"/>
        <w:snapToGrid w:val="0"/>
        <w:spacing w:line="300" w:lineRule="exact"/>
        <w:ind w:firstLine="413" w:firstLineChars="196"/>
        <w:outlineLvl w:val="1"/>
        <w:rPr>
          <w:rFonts w:hAnsi="宋体" w:cs="Arial"/>
          <w:b/>
          <w:color w:val="auto"/>
          <w:highlight w:val="none"/>
          <w:shd w:val="clear" w:color="auto" w:fill="FFFFFF"/>
        </w:rPr>
      </w:pPr>
      <w:r>
        <w:rPr>
          <w:rFonts w:hint="eastAsia" w:hAnsi="宋体"/>
          <w:b/>
          <w:color w:val="auto"/>
          <w:highlight w:val="none"/>
        </w:rPr>
        <w:t>（二）</w:t>
      </w:r>
      <w:r>
        <w:rPr>
          <w:rFonts w:hint="eastAsia" w:hAnsi="宋体" w:cs="Arial"/>
          <w:b/>
          <w:color w:val="auto"/>
          <w:highlight w:val="none"/>
          <w:shd w:val="clear" w:color="auto" w:fill="FFFFFF"/>
        </w:rPr>
        <w:t>履约保证金</w:t>
      </w:r>
    </w:p>
    <w:p>
      <w:pPr>
        <w:pStyle w:val="26"/>
        <w:snapToGrid w:val="0"/>
        <w:spacing w:line="300" w:lineRule="exact"/>
        <w:ind w:firstLine="517" w:firstLineChars="245"/>
        <w:outlineLvl w:val="1"/>
        <w:rPr>
          <w:rFonts w:hAnsi="宋体"/>
          <w:b/>
          <w:color w:val="auto"/>
          <w:highlight w:val="none"/>
        </w:rPr>
      </w:pPr>
      <w:r>
        <w:rPr>
          <w:rFonts w:hint="eastAsia" w:hAnsi="宋体"/>
          <w:b/>
          <w:color w:val="auto"/>
          <w:highlight w:val="none"/>
        </w:rPr>
        <w:t>中标人须于签订合同前，按本须知前附表规定的金额直接缴入广西国栋招标有限公司账户。否则，不予签订合同。</w:t>
      </w:r>
    </w:p>
    <w:p>
      <w:pPr>
        <w:pStyle w:val="26"/>
        <w:snapToGrid w:val="0"/>
        <w:spacing w:line="300" w:lineRule="exact"/>
        <w:ind w:firstLine="413" w:firstLineChars="196"/>
        <w:outlineLvl w:val="1"/>
        <w:rPr>
          <w:rFonts w:hAnsi="宋体"/>
          <w:color w:val="auto"/>
          <w:highlight w:val="none"/>
        </w:rPr>
      </w:pPr>
      <w:r>
        <w:rPr>
          <w:rFonts w:hint="eastAsia" w:hAnsi="宋体"/>
          <w:b/>
          <w:color w:val="auto"/>
          <w:highlight w:val="none"/>
        </w:rPr>
        <w:t>（三）签订合同</w:t>
      </w:r>
    </w:p>
    <w:p>
      <w:pPr>
        <w:pStyle w:val="26"/>
        <w:spacing w:line="300" w:lineRule="exact"/>
        <w:ind w:firstLine="420"/>
        <w:rPr>
          <w:rFonts w:hAnsi="宋体"/>
          <w:color w:val="auto"/>
          <w:highlight w:val="none"/>
        </w:rPr>
      </w:pPr>
      <w:r>
        <w:rPr>
          <w:rFonts w:hint="eastAsia" w:hAnsi="宋体"/>
          <w:color w:val="auto"/>
          <w:highlight w:val="none"/>
        </w:rPr>
        <w:t>（1）</w:t>
      </w:r>
      <w:r>
        <w:rPr>
          <w:rFonts w:hint="eastAsia"/>
          <w:color w:val="auto"/>
          <w:highlight w:val="none"/>
        </w:rPr>
        <w:t>投标人接到中标通知书后，应按中标通知书规定的时间、地点与采购人签订合同。中标人无正当理由不得放弃中标。</w:t>
      </w:r>
    </w:p>
    <w:p>
      <w:pPr>
        <w:pStyle w:val="26"/>
        <w:spacing w:line="300" w:lineRule="exact"/>
        <w:ind w:firstLine="420"/>
        <w:rPr>
          <w:rFonts w:hAnsi="宋体"/>
          <w:color w:val="auto"/>
          <w:highlight w:val="none"/>
        </w:rPr>
      </w:pPr>
      <w:r>
        <w:rPr>
          <w:rFonts w:hint="eastAsia" w:hAnsi="宋体"/>
          <w:color w:val="auto"/>
          <w:highlight w:val="none"/>
        </w:rPr>
        <w:t>（2）如中标供应商不按中标通知书的规定签订合同，则按中标供应商违约处理，本公司将没收中标供应商投标的全部投标保证金。</w:t>
      </w:r>
    </w:p>
    <w:p>
      <w:pPr>
        <w:pStyle w:val="26"/>
        <w:spacing w:line="300" w:lineRule="exact"/>
        <w:ind w:firstLine="420" w:firstLineChars="200"/>
        <w:rPr>
          <w:rFonts w:hAnsi="宋体"/>
          <w:b/>
          <w:color w:val="auto"/>
          <w:highlight w:val="none"/>
        </w:rPr>
      </w:pPr>
      <w:r>
        <w:rPr>
          <w:rFonts w:hint="eastAsia" w:hAnsi="宋体"/>
          <w:color w:val="auto"/>
          <w:highlight w:val="none"/>
        </w:rPr>
        <w:t>（3）中标供应商</w:t>
      </w:r>
      <w:r>
        <w:rPr>
          <w:rFonts w:hint="eastAsia" w:hAnsi="宋体"/>
          <w:b/>
          <w:color w:val="auto"/>
          <w:highlight w:val="none"/>
        </w:rPr>
        <w:t>拒绝与采购人签订合同或</w:t>
      </w:r>
      <w:r>
        <w:rPr>
          <w:rFonts w:hint="eastAsia" w:hAnsi="宋体"/>
          <w:color w:val="auto"/>
          <w:highlight w:val="none"/>
        </w:rPr>
        <w:t>因不可抗力或者自身原因不能履行采购合同的，采购人可以与中标供应商之后排名第一的中标候选供应商签订采购合同，以此类推,也可以重新招标。中标供应商放弃中标项目，拒绝与采购人签订合同的，其投标保证金将不予退还，并上缴国库，给采购人造成损失的，还应当赔偿损失，并作为不良行为记录在案。</w:t>
      </w:r>
    </w:p>
    <w:bookmarkEnd w:id="6"/>
    <w:bookmarkEnd w:id="7"/>
    <w:p>
      <w:pPr>
        <w:pStyle w:val="26"/>
        <w:spacing w:line="300" w:lineRule="exact"/>
        <w:rPr>
          <w:rFonts w:hAnsi="宋体"/>
          <w:b/>
          <w:color w:val="auto"/>
          <w:highlight w:val="none"/>
        </w:rPr>
      </w:pPr>
      <w:bookmarkStart w:id="44" w:name="_Toc254970690"/>
      <w:bookmarkStart w:id="45" w:name="_Toc254970549"/>
      <w:r>
        <w:rPr>
          <w:rFonts w:hint="eastAsia" w:hAnsi="宋体"/>
          <w:b/>
          <w:color w:val="auto"/>
          <w:highlight w:val="none"/>
        </w:rPr>
        <w:t>九、其他事项</w:t>
      </w:r>
    </w:p>
    <w:p>
      <w:pPr>
        <w:pStyle w:val="26"/>
        <w:snapToGrid w:val="0"/>
        <w:spacing w:line="300" w:lineRule="exact"/>
        <w:ind w:firstLine="422" w:firstLineChars="200"/>
        <w:rPr>
          <w:rFonts w:hAnsi="宋体"/>
          <w:b/>
          <w:color w:val="auto"/>
          <w:highlight w:val="none"/>
          <w:shd w:val="clear" w:color="auto" w:fill="FFFFFF"/>
        </w:rPr>
      </w:pPr>
      <w:r>
        <w:rPr>
          <w:rFonts w:hint="eastAsia" w:hAnsi="宋体"/>
          <w:b/>
          <w:color w:val="auto"/>
          <w:highlight w:val="none"/>
          <w:shd w:val="clear" w:color="auto" w:fill="FFFFFF"/>
        </w:rPr>
        <w:t>1.代理服务费</w:t>
      </w:r>
    </w:p>
    <w:p>
      <w:pPr>
        <w:pStyle w:val="26"/>
        <w:snapToGrid w:val="0"/>
        <w:spacing w:line="300" w:lineRule="exact"/>
        <w:ind w:firstLine="420" w:firstLineChars="200"/>
        <w:rPr>
          <w:rFonts w:hAnsi="宋体"/>
          <w:color w:val="auto"/>
          <w:highlight w:val="none"/>
          <w:shd w:val="clear" w:color="auto" w:fill="FFFFFF"/>
        </w:rPr>
      </w:pPr>
      <w:r>
        <w:rPr>
          <w:rFonts w:hint="eastAsia" w:hAnsi="宋体"/>
          <w:color w:val="auto"/>
          <w:highlight w:val="none"/>
          <w:shd w:val="clear" w:color="auto" w:fill="FFFFFF"/>
        </w:rPr>
        <w:t>1.1本项目的代理服务费根据以下“代理服务收费标准”中规定的（服务类招标）标准，以本项目一年预算（900万）为基数，采用差额定率累进方式计算，再乘积3年除以2进行收取，由中标人支付在领取中标通知书前，向采购代理机构一次付清代理服务费。</w:t>
      </w:r>
    </w:p>
    <w:p>
      <w:pPr>
        <w:pStyle w:val="26"/>
        <w:snapToGrid w:val="0"/>
        <w:spacing w:line="300" w:lineRule="exact"/>
        <w:ind w:firstLine="420" w:firstLineChars="200"/>
        <w:rPr>
          <w:rFonts w:hAnsi="宋体"/>
          <w:color w:val="auto"/>
          <w:highlight w:val="none"/>
          <w:shd w:val="clear" w:color="auto" w:fill="FFFFFF"/>
        </w:rPr>
      </w:pPr>
      <w:r>
        <w:rPr>
          <w:rFonts w:hint="eastAsia" w:hAnsi="宋体"/>
          <w:color w:val="auto"/>
          <w:highlight w:val="none"/>
          <w:shd w:val="clear" w:color="auto" w:fill="FFFFFF"/>
        </w:rPr>
        <w:t>1.2代理服务收费标准：</w:t>
      </w:r>
    </w:p>
    <w:tbl>
      <w:tblPr>
        <w:tblStyle w:val="49"/>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5"/>
        <w:gridCol w:w="1664"/>
        <w:gridCol w:w="1664"/>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5" w:type="dxa"/>
            <w:tcBorders>
              <w:top w:val="single" w:color="auto" w:sz="4" w:space="0"/>
              <w:left w:val="single" w:color="auto" w:sz="4" w:space="0"/>
              <w:bottom w:val="single" w:color="auto" w:sz="4" w:space="0"/>
              <w:right w:val="single" w:color="auto" w:sz="4" w:space="0"/>
              <w:tl2br w:val="single" w:color="auto" w:sz="4" w:space="0"/>
            </w:tcBorders>
          </w:tcPr>
          <w:p>
            <w:pPr>
              <w:spacing w:line="300" w:lineRule="exact"/>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 xml:space="preserve">               费率</w:t>
            </w:r>
          </w:p>
          <w:p>
            <w:pPr>
              <w:spacing w:line="300" w:lineRule="exact"/>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中标金额</w:t>
            </w:r>
          </w:p>
        </w:tc>
        <w:tc>
          <w:tcPr>
            <w:tcW w:w="166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05" w:firstLineChars="50"/>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货物招标</w:t>
            </w:r>
          </w:p>
        </w:tc>
        <w:tc>
          <w:tcPr>
            <w:tcW w:w="16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服务招标</w:t>
            </w:r>
          </w:p>
        </w:tc>
        <w:tc>
          <w:tcPr>
            <w:tcW w:w="16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5"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100万元以下</w:t>
            </w:r>
          </w:p>
        </w:tc>
        <w:tc>
          <w:tcPr>
            <w:tcW w:w="166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olor w:val="auto"/>
                <w:szCs w:val="21"/>
                <w:highlight w:val="none"/>
                <w:shd w:val="clear" w:color="auto" w:fill="FFFFFF"/>
              </w:rPr>
            </w:pPr>
            <w:r>
              <w:rPr>
                <w:rFonts w:hint="eastAsia" w:ascii="宋体" w:hAnsi="宋体" w:cs="宋体"/>
                <w:color w:val="auto"/>
                <w:kern w:val="0"/>
                <w:szCs w:val="21"/>
                <w:highlight w:val="none"/>
                <w:shd w:val="clear" w:color="auto" w:fill="FFFFFF"/>
              </w:rPr>
              <w:t xml:space="preserve">  1.5%                </w:t>
            </w:r>
          </w:p>
        </w:tc>
        <w:tc>
          <w:tcPr>
            <w:tcW w:w="1664" w:type="dxa"/>
            <w:tcBorders>
              <w:top w:val="single" w:color="auto" w:sz="4" w:space="0"/>
              <w:left w:val="single" w:color="auto" w:sz="4" w:space="0"/>
              <w:bottom w:val="single" w:color="auto" w:sz="4" w:space="0"/>
              <w:right w:val="single" w:color="auto" w:sz="4" w:space="0"/>
            </w:tcBorders>
          </w:tcPr>
          <w:p>
            <w:pPr>
              <w:spacing w:line="300" w:lineRule="exact"/>
              <w:ind w:firstLine="210" w:firstLineChars="100"/>
              <w:rPr>
                <w:rFonts w:ascii="宋体" w:hAnsi="宋体"/>
                <w:color w:val="auto"/>
                <w:szCs w:val="21"/>
                <w:highlight w:val="none"/>
                <w:shd w:val="clear" w:color="auto" w:fill="FFFFFF"/>
              </w:rPr>
            </w:pPr>
            <w:r>
              <w:rPr>
                <w:rFonts w:hint="eastAsia" w:ascii="宋体" w:hAnsi="宋体" w:cs="宋体"/>
                <w:color w:val="auto"/>
                <w:kern w:val="0"/>
                <w:szCs w:val="21"/>
                <w:highlight w:val="none"/>
                <w:shd w:val="clear" w:color="auto" w:fill="FFFFFF"/>
              </w:rPr>
              <w:t>1.5%</w:t>
            </w:r>
          </w:p>
        </w:tc>
        <w:tc>
          <w:tcPr>
            <w:tcW w:w="1664" w:type="dxa"/>
            <w:tcBorders>
              <w:top w:val="single" w:color="auto" w:sz="4" w:space="0"/>
              <w:left w:val="single" w:color="auto" w:sz="4" w:space="0"/>
              <w:bottom w:val="single" w:color="auto" w:sz="4" w:space="0"/>
              <w:right w:val="single" w:color="auto" w:sz="4" w:space="0"/>
            </w:tcBorders>
          </w:tcPr>
          <w:p>
            <w:pPr>
              <w:spacing w:line="300" w:lineRule="exact"/>
              <w:ind w:firstLine="210" w:firstLineChars="100"/>
              <w:rPr>
                <w:rFonts w:ascii="宋体" w:hAnsi="宋体"/>
                <w:color w:val="auto"/>
                <w:szCs w:val="21"/>
                <w:highlight w:val="none"/>
                <w:shd w:val="clear" w:color="auto" w:fill="FFFFFF"/>
              </w:rPr>
            </w:pPr>
            <w:r>
              <w:rPr>
                <w:rFonts w:hint="eastAsia" w:ascii="宋体" w:hAnsi="宋体" w:cs="宋体"/>
                <w:color w:val="auto"/>
                <w:kern w:val="0"/>
                <w:szCs w:val="21"/>
                <w:highlight w:val="none"/>
                <w:shd w:val="clear" w:color="auto" w:fill="FFFFFF"/>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5"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100～500万元</w:t>
            </w:r>
          </w:p>
        </w:tc>
        <w:tc>
          <w:tcPr>
            <w:tcW w:w="1664" w:type="dxa"/>
            <w:tcBorders>
              <w:top w:val="single" w:color="auto" w:sz="4" w:space="0"/>
              <w:left w:val="single" w:color="auto" w:sz="4" w:space="0"/>
              <w:bottom w:val="single" w:color="auto" w:sz="4" w:space="0"/>
              <w:right w:val="single" w:color="auto" w:sz="4" w:space="0"/>
            </w:tcBorders>
          </w:tcPr>
          <w:p>
            <w:pPr>
              <w:spacing w:line="300" w:lineRule="exact"/>
              <w:ind w:firstLine="210" w:firstLineChars="100"/>
              <w:rPr>
                <w:rFonts w:ascii="宋体" w:hAnsi="宋体"/>
                <w:color w:val="auto"/>
                <w:szCs w:val="21"/>
                <w:highlight w:val="none"/>
                <w:shd w:val="clear" w:color="auto" w:fill="FFFFFF"/>
              </w:rPr>
            </w:pPr>
            <w:r>
              <w:rPr>
                <w:rFonts w:hint="eastAsia" w:ascii="宋体" w:hAnsi="宋体" w:cs="宋体"/>
                <w:color w:val="auto"/>
                <w:kern w:val="0"/>
                <w:szCs w:val="21"/>
                <w:highlight w:val="none"/>
                <w:shd w:val="clear" w:color="auto" w:fill="FFFFFF"/>
              </w:rPr>
              <w:t xml:space="preserve">1.1%                 </w:t>
            </w:r>
          </w:p>
        </w:tc>
        <w:tc>
          <w:tcPr>
            <w:tcW w:w="1664" w:type="dxa"/>
            <w:tcBorders>
              <w:top w:val="single" w:color="auto" w:sz="4" w:space="0"/>
              <w:left w:val="single" w:color="auto" w:sz="4" w:space="0"/>
              <w:bottom w:val="single" w:color="auto" w:sz="4" w:space="0"/>
              <w:right w:val="single" w:color="auto" w:sz="4" w:space="0"/>
            </w:tcBorders>
          </w:tcPr>
          <w:p>
            <w:pPr>
              <w:spacing w:line="300" w:lineRule="exact"/>
              <w:ind w:firstLine="210" w:firstLineChars="100"/>
              <w:rPr>
                <w:rFonts w:ascii="宋体" w:hAnsi="宋体"/>
                <w:color w:val="auto"/>
                <w:szCs w:val="21"/>
                <w:highlight w:val="none"/>
                <w:shd w:val="clear" w:color="auto" w:fill="FFFFFF"/>
              </w:rPr>
            </w:pPr>
            <w:r>
              <w:rPr>
                <w:rFonts w:hint="eastAsia" w:ascii="宋体" w:hAnsi="宋体" w:cs="宋体"/>
                <w:color w:val="auto"/>
                <w:kern w:val="0"/>
                <w:szCs w:val="21"/>
                <w:highlight w:val="none"/>
                <w:shd w:val="clear" w:color="auto" w:fill="FFFFFF"/>
              </w:rPr>
              <w:t>0.8%</w:t>
            </w:r>
          </w:p>
        </w:tc>
        <w:tc>
          <w:tcPr>
            <w:tcW w:w="1664" w:type="dxa"/>
            <w:tcBorders>
              <w:top w:val="single" w:color="auto" w:sz="4" w:space="0"/>
              <w:left w:val="single" w:color="auto" w:sz="4" w:space="0"/>
              <w:bottom w:val="single" w:color="auto" w:sz="4" w:space="0"/>
              <w:right w:val="single" w:color="auto" w:sz="4" w:space="0"/>
            </w:tcBorders>
          </w:tcPr>
          <w:p>
            <w:pPr>
              <w:spacing w:line="300" w:lineRule="exact"/>
              <w:ind w:firstLine="210" w:firstLineChars="100"/>
              <w:rPr>
                <w:rFonts w:ascii="宋体" w:hAnsi="宋体"/>
                <w:color w:val="auto"/>
                <w:szCs w:val="21"/>
                <w:highlight w:val="none"/>
                <w:shd w:val="clear" w:color="auto" w:fill="FFFFFF"/>
              </w:rPr>
            </w:pPr>
            <w:r>
              <w:rPr>
                <w:rFonts w:hint="eastAsia" w:ascii="宋体" w:hAnsi="宋体" w:cs="宋体"/>
                <w:color w:val="auto"/>
                <w:kern w:val="0"/>
                <w:szCs w:val="21"/>
                <w:highlight w:val="none"/>
                <w:shd w:val="clear" w:color="auto" w:fill="FFFFFF"/>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5"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500～1000万元</w:t>
            </w:r>
          </w:p>
        </w:tc>
        <w:tc>
          <w:tcPr>
            <w:tcW w:w="166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olor w:val="auto"/>
                <w:szCs w:val="21"/>
                <w:highlight w:val="none"/>
                <w:shd w:val="clear" w:color="auto" w:fill="FFFFFF"/>
              </w:rPr>
            </w:pPr>
            <w:r>
              <w:rPr>
                <w:rFonts w:hint="eastAsia" w:ascii="宋体" w:hAnsi="宋体" w:cs="宋体"/>
                <w:color w:val="auto"/>
                <w:kern w:val="0"/>
                <w:szCs w:val="21"/>
                <w:highlight w:val="none"/>
                <w:shd w:val="clear" w:color="auto" w:fill="FFFFFF"/>
              </w:rPr>
              <w:t xml:space="preserve">  0.8%                </w:t>
            </w:r>
          </w:p>
        </w:tc>
        <w:tc>
          <w:tcPr>
            <w:tcW w:w="1664" w:type="dxa"/>
            <w:tcBorders>
              <w:top w:val="single" w:color="auto" w:sz="4" w:space="0"/>
              <w:left w:val="single" w:color="auto" w:sz="4" w:space="0"/>
              <w:bottom w:val="single" w:color="auto" w:sz="4" w:space="0"/>
              <w:right w:val="single" w:color="auto" w:sz="4" w:space="0"/>
            </w:tcBorders>
          </w:tcPr>
          <w:p>
            <w:pPr>
              <w:spacing w:line="300" w:lineRule="exact"/>
              <w:ind w:firstLine="210" w:firstLineChars="100"/>
              <w:rPr>
                <w:rFonts w:ascii="宋体" w:hAnsi="宋体"/>
                <w:color w:val="auto"/>
                <w:szCs w:val="21"/>
                <w:highlight w:val="none"/>
                <w:shd w:val="clear" w:color="auto" w:fill="FFFFFF"/>
              </w:rPr>
            </w:pPr>
            <w:r>
              <w:rPr>
                <w:rFonts w:hint="eastAsia" w:ascii="宋体" w:hAnsi="宋体" w:cs="宋体"/>
                <w:color w:val="auto"/>
                <w:kern w:val="0"/>
                <w:szCs w:val="21"/>
                <w:highlight w:val="none"/>
                <w:shd w:val="clear" w:color="auto" w:fill="FFFFFF"/>
              </w:rPr>
              <w:t>0.45%</w:t>
            </w:r>
          </w:p>
        </w:tc>
        <w:tc>
          <w:tcPr>
            <w:tcW w:w="1664" w:type="dxa"/>
            <w:tcBorders>
              <w:top w:val="single" w:color="auto" w:sz="4" w:space="0"/>
              <w:left w:val="single" w:color="auto" w:sz="4" w:space="0"/>
              <w:bottom w:val="single" w:color="auto" w:sz="4" w:space="0"/>
              <w:right w:val="single" w:color="auto" w:sz="4" w:space="0"/>
            </w:tcBorders>
          </w:tcPr>
          <w:p>
            <w:pPr>
              <w:spacing w:line="300" w:lineRule="exact"/>
              <w:ind w:firstLine="210" w:firstLineChars="100"/>
              <w:rPr>
                <w:rFonts w:ascii="宋体" w:hAnsi="宋体"/>
                <w:color w:val="auto"/>
                <w:szCs w:val="21"/>
                <w:highlight w:val="none"/>
                <w:shd w:val="clear" w:color="auto" w:fill="FFFFFF"/>
              </w:rPr>
            </w:pPr>
            <w:r>
              <w:rPr>
                <w:rFonts w:hint="eastAsia" w:ascii="宋体" w:hAnsi="宋体" w:cs="宋体"/>
                <w:color w:val="auto"/>
                <w:kern w:val="0"/>
                <w:szCs w:val="21"/>
                <w:highlight w:val="none"/>
                <w:shd w:val="clear" w:color="auto" w:fill="FFFFFF"/>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5"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1000～5000万元</w:t>
            </w:r>
          </w:p>
        </w:tc>
        <w:tc>
          <w:tcPr>
            <w:tcW w:w="1664" w:type="dxa"/>
            <w:tcBorders>
              <w:top w:val="single" w:color="auto" w:sz="4" w:space="0"/>
              <w:left w:val="single" w:color="auto" w:sz="4" w:space="0"/>
              <w:bottom w:val="single" w:color="auto" w:sz="4" w:space="0"/>
              <w:right w:val="single" w:color="auto" w:sz="4" w:space="0"/>
            </w:tcBorders>
          </w:tcPr>
          <w:p>
            <w:pPr>
              <w:spacing w:line="300" w:lineRule="exact"/>
              <w:ind w:firstLine="210" w:firstLineChars="100"/>
              <w:rPr>
                <w:rFonts w:ascii="宋体" w:hAnsi="宋体"/>
                <w:color w:val="auto"/>
                <w:szCs w:val="21"/>
                <w:highlight w:val="none"/>
                <w:shd w:val="clear" w:color="auto" w:fill="FFFFFF"/>
              </w:rPr>
            </w:pPr>
            <w:r>
              <w:rPr>
                <w:rFonts w:hint="eastAsia" w:ascii="宋体" w:hAnsi="宋体" w:cs="宋体"/>
                <w:color w:val="auto"/>
                <w:kern w:val="0"/>
                <w:szCs w:val="21"/>
                <w:highlight w:val="none"/>
                <w:shd w:val="clear" w:color="auto" w:fill="FFFFFF"/>
              </w:rPr>
              <w:t xml:space="preserve">0.5%                </w:t>
            </w:r>
          </w:p>
        </w:tc>
        <w:tc>
          <w:tcPr>
            <w:tcW w:w="1664" w:type="dxa"/>
            <w:tcBorders>
              <w:top w:val="single" w:color="auto" w:sz="4" w:space="0"/>
              <w:left w:val="single" w:color="auto" w:sz="4" w:space="0"/>
              <w:bottom w:val="single" w:color="auto" w:sz="4" w:space="0"/>
              <w:right w:val="single" w:color="auto" w:sz="4" w:space="0"/>
            </w:tcBorders>
          </w:tcPr>
          <w:p>
            <w:pPr>
              <w:spacing w:line="300" w:lineRule="exact"/>
              <w:ind w:firstLine="210" w:firstLineChars="100"/>
              <w:rPr>
                <w:rFonts w:ascii="宋体" w:hAnsi="宋体"/>
                <w:color w:val="auto"/>
                <w:szCs w:val="21"/>
                <w:highlight w:val="none"/>
                <w:shd w:val="clear" w:color="auto" w:fill="FFFFFF"/>
              </w:rPr>
            </w:pPr>
            <w:r>
              <w:rPr>
                <w:rFonts w:hint="eastAsia" w:ascii="宋体" w:hAnsi="宋体" w:cs="宋体"/>
                <w:color w:val="auto"/>
                <w:kern w:val="0"/>
                <w:szCs w:val="21"/>
                <w:highlight w:val="none"/>
                <w:shd w:val="clear" w:color="auto" w:fill="FFFFFF"/>
              </w:rPr>
              <w:t>0.25%</w:t>
            </w:r>
          </w:p>
        </w:tc>
        <w:tc>
          <w:tcPr>
            <w:tcW w:w="1664" w:type="dxa"/>
            <w:tcBorders>
              <w:top w:val="single" w:color="auto" w:sz="4" w:space="0"/>
              <w:left w:val="single" w:color="auto" w:sz="4" w:space="0"/>
              <w:bottom w:val="single" w:color="auto" w:sz="4" w:space="0"/>
              <w:right w:val="single" w:color="auto" w:sz="4" w:space="0"/>
            </w:tcBorders>
          </w:tcPr>
          <w:p>
            <w:pPr>
              <w:spacing w:line="300" w:lineRule="exact"/>
              <w:ind w:firstLine="210" w:firstLineChars="100"/>
              <w:rPr>
                <w:rFonts w:ascii="宋体" w:hAnsi="宋体"/>
                <w:color w:val="auto"/>
                <w:szCs w:val="21"/>
                <w:highlight w:val="none"/>
                <w:shd w:val="clear" w:color="auto" w:fill="FFFFFF"/>
              </w:rPr>
            </w:pPr>
            <w:r>
              <w:rPr>
                <w:rFonts w:hint="eastAsia" w:ascii="宋体" w:hAnsi="宋体" w:cs="宋体"/>
                <w:color w:val="auto"/>
                <w:kern w:val="0"/>
                <w:szCs w:val="21"/>
                <w:highlight w:val="none"/>
                <w:shd w:val="clear" w:color="auto" w:fill="FFFFFF"/>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5"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5000万元～1亿元</w:t>
            </w:r>
          </w:p>
        </w:tc>
        <w:tc>
          <w:tcPr>
            <w:tcW w:w="1664" w:type="dxa"/>
            <w:tcBorders>
              <w:top w:val="single" w:color="auto" w:sz="4" w:space="0"/>
              <w:left w:val="single" w:color="auto" w:sz="4" w:space="0"/>
              <w:bottom w:val="single" w:color="auto" w:sz="4" w:space="0"/>
              <w:right w:val="single" w:color="auto" w:sz="4" w:space="0"/>
            </w:tcBorders>
          </w:tcPr>
          <w:p>
            <w:pPr>
              <w:spacing w:line="300" w:lineRule="exact"/>
              <w:ind w:firstLine="210" w:firstLineChars="100"/>
              <w:rPr>
                <w:rFonts w:ascii="宋体" w:hAnsi="宋体"/>
                <w:color w:val="auto"/>
                <w:szCs w:val="21"/>
                <w:highlight w:val="none"/>
                <w:shd w:val="clear" w:color="auto" w:fill="FFFFFF"/>
              </w:rPr>
            </w:pPr>
            <w:r>
              <w:rPr>
                <w:rFonts w:hint="eastAsia" w:ascii="宋体" w:hAnsi="宋体" w:cs="宋体"/>
                <w:color w:val="auto"/>
                <w:kern w:val="0"/>
                <w:szCs w:val="21"/>
                <w:highlight w:val="none"/>
                <w:shd w:val="clear" w:color="auto" w:fill="FFFFFF"/>
              </w:rPr>
              <w:t xml:space="preserve">0.25%                 </w:t>
            </w:r>
          </w:p>
        </w:tc>
        <w:tc>
          <w:tcPr>
            <w:tcW w:w="1664" w:type="dxa"/>
            <w:tcBorders>
              <w:top w:val="single" w:color="auto" w:sz="4" w:space="0"/>
              <w:left w:val="single" w:color="auto" w:sz="4" w:space="0"/>
              <w:bottom w:val="single" w:color="auto" w:sz="4" w:space="0"/>
              <w:right w:val="single" w:color="auto" w:sz="4" w:space="0"/>
            </w:tcBorders>
          </w:tcPr>
          <w:p>
            <w:pPr>
              <w:spacing w:line="300" w:lineRule="exact"/>
              <w:ind w:firstLine="210" w:firstLineChars="100"/>
              <w:rPr>
                <w:rFonts w:ascii="宋体" w:hAnsi="宋体"/>
                <w:color w:val="auto"/>
                <w:szCs w:val="21"/>
                <w:highlight w:val="none"/>
                <w:shd w:val="clear" w:color="auto" w:fill="FFFFFF"/>
              </w:rPr>
            </w:pPr>
            <w:r>
              <w:rPr>
                <w:rFonts w:hint="eastAsia" w:ascii="宋体" w:hAnsi="宋体" w:cs="宋体"/>
                <w:color w:val="auto"/>
                <w:kern w:val="0"/>
                <w:szCs w:val="21"/>
                <w:highlight w:val="none"/>
                <w:shd w:val="clear" w:color="auto" w:fill="FFFFFF"/>
              </w:rPr>
              <w:t>0.1%</w:t>
            </w:r>
          </w:p>
        </w:tc>
        <w:tc>
          <w:tcPr>
            <w:tcW w:w="1664" w:type="dxa"/>
            <w:tcBorders>
              <w:top w:val="single" w:color="auto" w:sz="4" w:space="0"/>
              <w:left w:val="single" w:color="auto" w:sz="4" w:space="0"/>
              <w:bottom w:val="single" w:color="auto" w:sz="4" w:space="0"/>
              <w:right w:val="single" w:color="auto" w:sz="4" w:space="0"/>
            </w:tcBorders>
          </w:tcPr>
          <w:p>
            <w:pPr>
              <w:spacing w:line="300" w:lineRule="exact"/>
              <w:ind w:firstLine="210" w:firstLineChars="100"/>
              <w:rPr>
                <w:rFonts w:ascii="宋体" w:hAnsi="宋体"/>
                <w:color w:val="auto"/>
                <w:szCs w:val="21"/>
                <w:highlight w:val="none"/>
                <w:shd w:val="clear" w:color="auto" w:fill="FFFFFF"/>
              </w:rPr>
            </w:pPr>
            <w:r>
              <w:rPr>
                <w:rFonts w:hint="eastAsia" w:ascii="宋体" w:hAnsi="宋体" w:cs="宋体"/>
                <w:color w:val="auto"/>
                <w:kern w:val="0"/>
                <w:szCs w:val="21"/>
                <w:highlight w:val="none"/>
                <w:shd w:val="clear" w:color="auto" w:fill="FFFFFF"/>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5"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1～5亿元</w:t>
            </w:r>
          </w:p>
        </w:tc>
        <w:tc>
          <w:tcPr>
            <w:tcW w:w="1664" w:type="dxa"/>
            <w:tcBorders>
              <w:top w:val="single" w:color="auto" w:sz="4" w:space="0"/>
              <w:left w:val="single" w:color="auto" w:sz="4" w:space="0"/>
              <w:bottom w:val="single" w:color="auto" w:sz="4" w:space="0"/>
              <w:right w:val="single" w:color="auto" w:sz="4" w:space="0"/>
            </w:tcBorders>
          </w:tcPr>
          <w:p>
            <w:pPr>
              <w:spacing w:line="300" w:lineRule="exact"/>
              <w:ind w:firstLine="210" w:firstLineChars="100"/>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0.05%</w:t>
            </w:r>
          </w:p>
        </w:tc>
        <w:tc>
          <w:tcPr>
            <w:tcW w:w="166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 xml:space="preserve">  0.05%</w:t>
            </w:r>
          </w:p>
        </w:tc>
        <w:tc>
          <w:tcPr>
            <w:tcW w:w="166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5"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5～10亿元</w:t>
            </w:r>
          </w:p>
        </w:tc>
        <w:tc>
          <w:tcPr>
            <w:tcW w:w="1664" w:type="dxa"/>
            <w:tcBorders>
              <w:top w:val="single" w:color="auto" w:sz="4" w:space="0"/>
              <w:left w:val="single" w:color="auto" w:sz="4" w:space="0"/>
              <w:bottom w:val="single" w:color="auto" w:sz="4" w:space="0"/>
              <w:right w:val="single" w:color="auto" w:sz="4" w:space="0"/>
            </w:tcBorders>
          </w:tcPr>
          <w:p>
            <w:pPr>
              <w:spacing w:line="300" w:lineRule="exact"/>
              <w:ind w:firstLine="105" w:firstLineChars="50"/>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0.035%</w:t>
            </w:r>
          </w:p>
        </w:tc>
        <w:tc>
          <w:tcPr>
            <w:tcW w:w="166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 xml:space="preserve">  0.035%</w:t>
            </w:r>
          </w:p>
        </w:tc>
        <w:tc>
          <w:tcPr>
            <w:tcW w:w="1664" w:type="dxa"/>
            <w:tcBorders>
              <w:top w:val="single" w:color="auto" w:sz="4" w:space="0"/>
              <w:left w:val="single" w:color="auto" w:sz="4" w:space="0"/>
              <w:bottom w:val="single" w:color="auto" w:sz="4" w:space="0"/>
              <w:right w:val="single" w:color="auto" w:sz="4" w:space="0"/>
            </w:tcBorders>
          </w:tcPr>
          <w:p>
            <w:pPr>
              <w:spacing w:line="300" w:lineRule="exact"/>
              <w:ind w:firstLine="105" w:firstLineChars="50"/>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5"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10～50亿元</w:t>
            </w:r>
          </w:p>
        </w:tc>
        <w:tc>
          <w:tcPr>
            <w:tcW w:w="1664" w:type="dxa"/>
            <w:tcBorders>
              <w:top w:val="single" w:color="auto" w:sz="4" w:space="0"/>
              <w:left w:val="single" w:color="auto" w:sz="4" w:space="0"/>
              <w:bottom w:val="single" w:color="auto" w:sz="4" w:space="0"/>
              <w:right w:val="single" w:color="auto" w:sz="4" w:space="0"/>
            </w:tcBorders>
          </w:tcPr>
          <w:p>
            <w:pPr>
              <w:spacing w:line="300" w:lineRule="exact"/>
              <w:ind w:firstLine="105" w:firstLineChars="50"/>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0.008%</w:t>
            </w:r>
          </w:p>
        </w:tc>
        <w:tc>
          <w:tcPr>
            <w:tcW w:w="1664" w:type="dxa"/>
            <w:tcBorders>
              <w:top w:val="single" w:color="auto" w:sz="4" w:space="0"/>
              <w:left w:val="single" w:color="auto" w:sz="4" w:space="0"/>
              <w:bottom w:val="single" w:color="auto" w:sz="4" w:space="0"/>
              <w:right w:val="single" w:color="auto" w:sz="4" w:space="0"/>
            </w:tcBorders>
          </w:tcPr>
          <w:p>
            <w:pPr>
              <w:spacing w:line="300" w:lineRule="exact"/>
              <w:ind w:firstLine="210" w:firstLineChars="100"/>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0.008%</w:t>
            </w:r>
          </w:p>
        </w:tc>
        <w:tc>
          <w:tcPr>
            <w:tcW w:w="1664" w:type="dxa"/>
            <w:tcBorders>
              <w:top w:val="single" w:color="auto" w:sz="4" w:space="0"/>
              <w:left w:val="single" w:color="auto" w:sz="4" w:space="0"/>
              <w:bottom w:val="single" w:color="auto" w:sz="4" w:space="0"/>
              <w:right w:val="single" w:color="auto" w:sz="4" w:space="0"/>
            </w:tcBorders>
          </w:tcPr>
          <w:p>
            <w:pPr>
              <w:spacing w:line="300" w:lineRule="exact"/>
              <w:ind w:firstLine="105" w:firstLineChars="50"/>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5"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50～100亿元</w:t>
            </w:r>
          </w:p>
        </w:tc>
        <w:tc>
          <w:tcPr>
            <w:tcW w:w="166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 xml:space="preserve"> 0.006%</w:t>
            </w:r>
          </w:p>
        </w:tc>
        <w:tc>
          <w:tcPr>
            <w:tcW w:w="1664" w:type="dxa"/>
            <w:tcBorders>
              <w:top w:val="single" w:color="auto" w:sz="4" w:space="0"/>
              <w:left w:val="single" w:color="auto" w:sz="4" w:space="0"/>
              <w:bottom w:val="single" w:color="auto" w:sz="4" w:space="0"/>
              <w:right w:val="single" w:color="auto" w:sz="4" w:space="0"/>
            </w:tcBorders>
          </w:tcPr>
          <w:p>
            <w:pPr>
              <w:spacing w:line="300" w:lineRule="exact"/>
              <w:ind w:firstLine="210" w:firstLineChars="100"/>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0.006%</w:t>
            </w:r>
          </w:p>
        </w:tc>
        <w:tc>
          <w:tcPr>
            <w:tcW w:w="1664" w:type="dxa"/>
            <w:tcBorders>
              <w:top w:val="single" w:color="auto" w:sz="4" w:space="0"/>
              <w:left w:val="single" w:color="auto" w:sz="4" w:space="0"/>
              <w:bottom w:val="single" w:color="auto" w:sz="4" w:space="0"/>
              <w:right w:val="single" w:color="auto" w:sz="4" w:space="0"/>
            </w:tcBorders>
          </w:tcPr>
          <w:p>
            <w:pPr>
              <w:spacing w:line="300" w:lineRule="exact"/>
              <w:ind w:firstLine="105" w:firstLineChars="50"/>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5"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100亿以上</w:t>
            </w:r>
          </w:p>
        </w:tc>
        <w:tc>
          <w:tcPr>
            <w:tcW w:w="166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 xml:space="preserve"> 0.004%</w:t>
            </w:r>
          </w:p>
        </w:tc>
        <w:tc>
          <w:tcPr>
            <w:tcW w:w="1664" w:type="dxa"/>
            <w:tcBorders>
              <w:top w:val="single" w:color="auto" w:sz="4" w:space="0"/>
              <w:left w:val="single" w:color="auto" w:sz="4" w:space="0"/>
              <w:bottom w:val="single" w:color="auto" w:sz="4" w:space="0"/>
              <w:right w:val="single" w:color="auto" w:sz="4" w:space="0"/>
            </w:tcBorders>
          </w:tcPr>
          <w:p>
            <w:pPr>
              <w:spacing w:line="300" w:lineRule="exact"/>
              <w:ind w:firstLine="210" w:firstLineChars="100"/>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0.004%</w:t>
            </w:r>
          </w:p>
        </w:tc>
        <w:tc>
          <w:tcPr>
            <w:tcW w:w="1664" w:type="dxa"/>
            <w:tcBorders>
              <w:top w:val="single" w:color="auto" w:sz="4" w:space="0"/>
              <w:left w:val="single" w:color="auto" w:sz="4" w:space="0"/>
              <w:bottom w:val="single" w:color="auto" w:sz="4" w:space="0"/>
              <w:right w:val="single" w:color="auto" w:sz="4" w:space="0"/>
            </w:tcBorders>
          </w:tcPr>
          <w:p>
            <w:pPr>
              <w:spacing w:line="300" w:lineRule="exact"/>
              <w:ind w:firstLine="105" w:firstLineChars="50"/>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0.004%</w:t>
            </w:r>
          </w:p>
        </w:tc>
      </w:tr>
    </w:tbl>
    <w:p>
      <w:pPr>
        <w:pStyle w:val="26"/>
        <w:snapToGrid w:val="0"/>
        <w:spacing w:before="120" w:after="120" w:line="300" w:lineRule="exact"/>
        <w:ind w:firstLine="420" w:firstLineChars="200"/>
        <w:rPr>
          <w:rFonts w:hAnsi="宋体"/>
          <w:color w:val="auto"/>
          <w:highlight w:val="none"/>
          <w:shd w:val="clear" w:color="auto" w:fill="FFFFFF"/>
        </w:rPr>
      </w:pPr>
      <w:r>
        <w:rPr>
          <w:rFonts w:hint="eastAsia" w:hAnsi="宋体"/>
          <w:color w:val="auto"/>
          <w:highlight w:val="none"/>
          <w:shd w:val="clear" w:color="auto" w:fill="FFFFFF"/>
        </w:rPr>
        <w:t>注:招标代理服务收费按差额定率累进法计算。</w:t>
      </w:r>
    </w:p>
    <w:p>
      <w:pPr>
        <w:pStyle w:val="26"/>
        <w:snapToGrid w:val="0"/>
        <w:spacing w:line="300" w:lineRule="exact"/>
        <w:ind w:firstLine="420" w:firstLineChars="200"/>
        <w:rPr>
          <w:rFonts w:hAnsi="宋体"/>
          <w:color w:val="auto"/>
          <w:highlight w:val="none"/>
          <w:shd w:val="clear" w:color="auto" w:fill="FFFFFF"/>
        </w:rPr>
      </w:pPr>
      <w:r>
        <w:rPr>
          <w:rFonts w:hint="eastAsia" w:hAnsi="宋体"/>
          <w:color w:val="auto"/>
          <w:highlight w:val="none"/>
          <w:shd w:val="clear" w:color="auto" w:fill="FFFFFF"/>
        </w:rPr>
        <w:t>1.3采购代理机构的银行账户：</w:t>
      </w:r>
    </w:p>
    <w:p>
      <w:pPr>
        <w:pStyle w:val="26"/>
        <w:snapToGrid w:val="0"/>
        <w:spacing w:line="300" w:lineRule="exact"/>
        <w:ind w:firstLine="420" w:firstLineChars="200"/>
        <w:rPr>
          <w:rFonts w:hAnsi="宋体"/>
          <w:color w:val="auto"/>
          <w:highlight w:val="none"/>
          <w:shd w:val="clear" w:color="auto" w:fill="FFFFFF"/>
        </w:rPr>
      </w:pPr>
      <w:r>
        <w:rPr>
          <w:rFonts w:hint="eastAsia" w:hAnsi="宋体"/>
          <w:color w:val="auto"/>
          <w:highlight w:val="none"/>
          <w:shd w:val="clear" w:color="auto" w:fill="FFFFFF"/>
        </w:rPr>
        <w:t>账户名称：广西国栋招标有限公司</w:t>
      </w:r>
    </w:p>
    <w:p>
      <w:pPr>
        <w:pStyle w:val="26"/>
        <w:snapToGrid w:val="0"/>
        <w:spacing w:line="300" w:lineRule="exact"/>
        <w:ind w:firstLine="420" w:firstLineChars="200"/>
        <w:rPr>
          <w:rFonts w:hAnsi="宋体"/>
          <w:color w:val="auto"/>
          <w:highlight w:val="none"/>
          <w:shd w:val="clear" w:color="auto" w:fill="FFFFFF"/>
        </w:rPr>
      </w:pPr>
      <w:r>
        <w:rPr>
          <w:rFonts w:hint="eastAsia" w:hAnsi="宋体"/>
          <w:color w:val="auto"/>
          <w:highlight w:val="none"/>
          <w:shd w:val="clear" w:color="auto" w:fill="FFFFFF"/>
        </w:rPr>
        <w:t>开户银行：建行南宁新华支行</w:t>
      </w:r>
    </w:p>
    <w:p>
      <w:pPr>
        <w:pStyle w:val="26"/>
        <w:snapToGrid w:val="0"/>
        <w:spacing w:line="300" w:lineRule="exact"/>
        <w:ind w:firstLine="420" w:firstLineChars="200"/>
        <w:rPr>
          <w:rFonts w:hAnsi="宋体"/>
          <w:color w:val="auto"/>
          <w:highlight w:val="none"/>
          <w:shd w:val="clear" w:color="auto" w:fill="FFFFFF"/>
        </w:rPr>
      </w:pPr>
      <w:r>
        <w:rPr>
          <w:rFonts w:hint="eastAsia" w:hAnsi="宋体"/>
          <w:color w:val="auto"/>
          <w:highlight w:val="none"/>
          <w:shd w:val="clear" w:color="auto" w:fill="FFFFFF"/>
        </w:rPr>
        <w:t>银行账号：</w:t>
      </w:r>
      <w:r>
        <w:rPr>
          <w:rFonts w:hint="eastAsia" w:hAnsi="宋体" w:cs="Arial"/>
          <w:color w:val="auto"/>
          <w:highlight w:val="none"/>
          <w:shd w:val="clear" w:color="auto" w:fill="FFFFFF"/>
        </w:rPr>
        <w:t>45001604655050503263</w:t>
      </w:r>
    </w:p>
    <w:p>
      <w:pPr>
        <w:pStyle w:val="26"/>
        <w:snapToGrid w:val="0"/>
        <w:spacing w:line="300" w:lineRule="exact"/>
        <w:ind w:firstLine="420" w:firstLineChars="200"/>
        <w:rPr>
          <w:rFonts w:hAnsi="宋体"/>
          <w:color w:val="auto"/>
          <w:highlight w:val="none"/>
          <w:shd w:val="clear" w:color="auto" w:fill="FFFFFF"/>
        </w:rPr>
      </w:pPr>
      <w:r>
        <w:rPr>
          <w:rFonts w:hint="eastAsia" w:hAnsi="宋体"/>
          <w:color w:val="auto"/>
          <w:highlight w:val="none"/>
          <w:shd w:val="clear" w:color="auto" w:fill="FFFFFF"/>
        </w:rPr>
        <w:t>开户行行号：105611046412</w:t>
      </w:r>
    </w:p>
    <w:p>
      <w:pPr>
        <w:pStyle w:val="26"/>
        <w:spacing w:line="300" w:lineRule="exact"/>
        <w:ind w:firstLine="417" w:firstLineChars="198"/>
        <w:rPr>
          <w:rFonts w:hAnsi="宋体"/>
          <w:b/>
          <w:color w:val="auto"/>
          <w:highlight w:val="none"/>
        </w:rPr>
      </w:pPr>
      <w:r>
        <w:rPr>
          <w:rFonts w:hint="eastAsia" w:hAnsi="宋体"/>
          <w:b/>
          <w:color w:val="auto"/>
          <w:highlight w:val="none"/>
        </w:rPr>
        <w:t>2．解释权：</w:t>
      </w:r>
      <w:r>
        <w:rPr>
          <w:rFonts w:hint="eastAsia" w:hAnsi="宋体"/>
          <w:color w:val="auto"/>
          <w:spacing w:val="-4"/>
          <w:highlight w:val="none"/>
        </w:rPr>
        <w:t>本招标文件解释权属本代理机构。</w:t>
      </w:r>
    </w:p>
    <w:p>
      <w:pPr>
        <w:pStyle w:val="26"/>
        <w:spacing w:line="300" w:lineRule="exact"/>
        <w:ind w:firstLine="417" w:firstLineChars="198"/>
        <w:rPr>
          <w:rFonts w:hAnsi="宋体"/>
          <w:color w:val="auto"/>
          <w:highlight w:val="none"/>
        </w:rPr>
      </w:pPr>
      <w:r>
        <w:rPr>
          <w:rFonts w:hint="eastAsia" w:hAnsi="宋体"/>
          <w:b/>
          <w:color w:val="auto"/>
          <w:highlight w:val="none"/>
        </w:rPr>
        <w:t>3．有关事宜</w:t>
      </w:r>
    </w:p>
    <w:p>
      <w:pPr>
        <w:pStyle w:val="26"/>
        <w:spacing w:line="300" w:lineRule="exact"/>
        <w:ind w:firstLine="420" w:firstLineChars="200"/>
        <w:rPr>
          <w:color w:val="auto"/>
          <w:highlight w:val="none"/>
        </w:rPr>
      </w:pPr>
      <w:r>
        <w:rPr>
          <w:rFonts w:hint="eastAsia" w:hAnsi="宋体"/>
          <w:color w:val="auto"/>
          <w:highlight w:val="none"/>
        </w:rPr>
        <w:t>所有与本招标文件有关的函件请按下列通讯地址联系：</w:t>
      </w:r>
    </w:p>
    <w:p>
      <w:pPr>
        <w:pStyle w:val="26"/>
        <w:spacing w:line="300" w:lineRule="exact"/>
        <w:ind w:firstLine="420" w:firstLineChars="200"/>
        <w:rPr>
          <w:rFonts w:hAnsi="宋体"/>
          <w:color w:val="auto"/>
          <w:highlight w:val="none"/>
        </w:rPr>
      </w:pPr>
      <w:r>
        <w:rPr>
          <w:rFonts w:hint="eastAsia" w:hAnsi="宋体"/>
          <w:color w:val="auto"/>
          <w:highlight w:val="none"/>
        </w:rPr>
        <w:t xml:space="preserve">采购代理机构：广西国栋招标有限公司 </w:t>
      </w:r>
    </w:p>
    <w:p>
      <w:pPr>
        <w:pStyle w:val="26"/>
        <w:spacing w:line="300" w:lineRule="exact"/>
        <w:ind w:firstLine="420" w:firstLineChars="200"/>
        <w:rPr>
          <w:rFonts w:hAnsi="宋体"/>
          <w:color w:val="auto"/>
          <w:highlight w:val="none"/>
        </w:rPr>
      </w:pPr>
      <w:r>
        <w:rPr>
          <w:rFonts w:hint="eastAsia" w:hAnsi="宋体"/>
          <w:color w:val="auto"/>
          <w:highlight w:val="none"/>
        </w:rPr>
        <w:t xml:space="preserve">地址：南宁市青秀区双拥路40-1号东方明珠花园1栋1单元9层 </w:t>
      </w:r>
    </w:p>
    <w:p>
      <w:pPr>
        <w:pStyle w:val="26"/>
        <w:spacing w:line="300" w:lineRule="exact"/>
        <w:ind w:firstLine="420" w:firstLineChars="200"/>
        <w:rPr>
          <w:rFonts w:hAnsi="宋体"/>
          <w:color w:val="auto"/>
          <w:highlight w:val="none"/>
        </w:rPr>
      </w:pPr>
      <w:r>
        <w:rPr>
          <w:rFonts w:hint="eastAsia" w:hAnsi="宋体"/>
          <w:color w:val="auto"/>
          <w:highlight w:val="none"/>
        </w:rPr>
        <w:t>项目联系人：陈 工  联系电话：0771-5894688</w:t>
      </w:r>
      <w:r>
        <w:rPr>
          <w:rFonts w:hint="eastAsia" w:hAnsi="宋体" w:cs="Arial"/>
          <w:color w:val="auto"/>
          <w:highlight w:val="none"/>
        </w:rPr>
        <w:t xml:space="preserve">    传真： 0771-5712550  </w:t>
      </w:r>
    </w:p>
    <w:p>
      <w:pPr>
        <w:pStyle w:val="26"/>
        <w:snapToGrid w:val="0"/>
        <w:spacing w:before="120" w:after="120"/>
        <w:jc w:val="center"/>
        <w:outlineLvl w:val="0"/>
        <w:rPr>
          <w:rFonts w:hAnsi="宋体"/>
          <w:b/>
          <w:color w:val="auto"/>
          <w:sz w:val="44"/>
          <w:szCs w:val="44"/>
          <w:highlight w:val="none"/>
        </w:rPr>
      </w:pPr>
    </w:p>
    <w:p>
      <w:pPr>
        <w:pStyle w:val="26"/>
        <w:snapToGrid w:val="0"/>
        <w:spacing w:before="120" w:after="120"/>
        <w:jc w:val="center"/>
        <w:outlineLvl w:val="0"/>
        <w:rPr>
          <w:rFonts w:hAnsi="宋体"/>
          <w:b/>
          <w:color w:val="auto"/>
          <w:sz w:val="44"/>
          <w:szCs w:val="44"/>
          <w:highlight w:val="none"/>
        </w:rPr>
      </w:pPr>
    </w:p>
    <w:p>
      <w:pPr>
        <w:pStyle w:val="26"/>
        <w:snapToGrid w:val="0"/>
        <w:spacing w:before="120" w:after="120"/>
        <w:jc w:val="center"/>
        <w:outlineLvl w:val="0"/>
        <w:rPr>
          <w:rFonts w:hAnsi="宋体"/>
          <w:b/>
          <w:color w:val="auto"/>
          <w:sz w:val="44"/>
          <w:szCs w:val="44"/>
          <w:highlight w:val="none"/>
        </w:rPr>
      </w:pPr>
    </w:p>
    <w:p>
      <w:pPr>
        <w:pStyle w:val="26"/>
        <w:snapToGrid w:val="0"/>
        <w:spacing w:before="120" w:after="120"/>
        <w:jc w:val="center"/>
        <w:outlineLvl w:val="0"/>
        <w:rPr>
          <w:rFonts w:hAnsi="宋体"/>
          <w:b/>
          <w:color w:val="auto"/>
          <w:sz w:val="44"/>
          <w:szCs w:val="44"/>
          <w:highlight w:val="none"/>
        </w:rPr>
      </w:pPr>
    </w:p>
    <w:p>
      <w:pPr>
        <w:pStyle w:val="26"/>
        <w:snapToGrid w:val="0"/>
        <w:spacing w:before="120" w:after="120"/>
        <w:jc w:val="center"/>
        <w:outlineLvl w:val="0"/>
        <w:rPr>
          <w:rFonts w:hAnsi="宋体"/>
          <w:b/>
          <w:color w:val="auto"/>
          <w:sz w:val="44"/>
          <w:szCs w:val="44"/>
          <w:highlight w:val="none"/>
        </w:rPr>
      </w:pPr>
    </w:p>
    <w:p>
      <w:pPr>
        <w:pStyle w:val="26"/>
        <w:snapToGrid w:val="0"/>
        <w:spacing w:before="120" w:after="120"/>
        <w:jc w:val="center"/>
        <w:outlineLvl w:val="0"/>
        <w:rPr>
          <w:rFonts w:hAnsi="宋体"/>
          <w:b/>
          <w:color w:val="auto"/>
          <w:sz w:val="44"/>
          <w:szCs w:val="44"/>
          <w:highlight w:val="none"/>
        </w:rPr>
      </w:pPr>
    </w:p>
    <w:p>
      <w:pPr>
        <w:pStyle w:val="26"/>
        <w:snapToGrid w:val="0"/>
        <w:spacing w:before="120" w:after="120"/>
        <w:jc w:val="center"/>
        <w:outlineLvl w:val="0"/>
        <w:rPr>
          <w:rFonts w:hAnsi="宋体"/>
          <w:b/>
          <w:color w:val="auto"/>
          <w:sz w:val="44"/>
          <w:szCs w:val="44"/>
          <w:highlight w:val="none"/>
        </w:rPr>
      </w:pPr>
    </w:p>
    <w:p>
      <w:pPr>
        <w:pStyle w:val="26"/>
        <w:snapToGrid w:val="0"/>
        <w:spacing w:before="120" w:after="120"/>
        <w:jc w:val="center"/>
        <w:outlineLvl w:val="0"/>
        <w:rPr>
          <w:rFonts w:hAnsi="宋体"/>
          <w:b/>
          <w:color w:val="auto"/>
          <w:sz w:val="44"/>
          <w:szCs w:val="44"/>
          <w:highlight w:val="none"/>
        </w:rPr>
      </w:pPr>
    </w:p>
    <w:p>
      <w:pPr>
        <w:pStyle w:val="26"/>
        <w:snapToGrid w:val="0"/>
        <w:spacing w:before="120" w:after="120"/>
        <w:jc w:val="center"/>
        <w:outlineLvl w:val="0"/>
        <w:rPr>
          <w:rFonts w:hAnsi="宋体"/>
          <w:b/>
          <w:color w:val="auto"/>
          <w:sz w:val="44"/>
          <w:szCs w:val="44"/>
          <w:highlight w:val="none"/>
        </w:rPr>
      </w:pPr>
    </w:p>
    <w:p>
      <w:pPr>
        <w:pStyle w:val="26"/>
        <w:snapToGrid w:val="0"/>
        <w:spacing w:before="120" w:after="120"/>
        <w:jc w:val="center"/>
        <w:outlineLvl w:val="0"/>
        <w:rPr>
          <w:rFonts w:hAnsi="宋体"/>
          <w:b/>
          <w:color w:val="auto"/>
          <w:sz w:val="44"/>
          <w:szCs w:val="44"/>
          <w:highlight w:val="none"/>
        </w:rPr>
      </w:pPr>
    </w:p>
    <w:p>
      <w:pPr>
        <w:pStyle w:val="26"/>
        <w:snapToGrid w:val="0"/>
        <w:spacing w:before="120" w:after="120"/>
        <w:jc w:val="center"/>
        <w:outlineLvl w:val="0"/>
        <w:rPr>
          <w:rFonts w:hAnsi="宋体"/>
          <w:b/>
          <w:color w:val="auto"/>
          <w:sz w:val="44"/>
          <w:szCs w:val="44"/>
          <w:highlight w:val="none"/>
        </w:rPr>
      </w:pPr>
    </w:p>
    <w:bookmarkEnd w:id="44"/>
    <w:bookmarkEnd w:id="45"/>
    <w:p>
      <w:pPr>
        <w:pStyle w:val="26"/>
        <w:snapToGrid w:val="0"/>
        <w:spacing w:before="120" w:after="120"/>
        <w:jc w:val="center"/>
        <w:outlineLvl w:val="0"/>
        <w:rPr>
          <w:rFonts w:ascii="黑体" w:hAnsi="宋体" w:eastAsia="黑体"/>
          <w:b/>
          <w:color w:val="auto"/>
          <w:sz w:val="44"/>
          <w:szCs w:val="44"/>
          <w:highlight w:val="none"/>
        </w:rPr>
      </w:pPr>
      <w:r>
        <w:rPr>
          <w:rFonts w:hint="eastAsia" w:ascii="仿宋_GB2312" w:hAnsi="宋体" w:eastAsia="仿宋_GB2312"/>
          <w:b/>
          <w:color w:val="auto"/>
          <w:sz w:val="44"/>
          <w:szCs w:val="44"/>
          <w:highlight w:val="none"/>
        </w:rPr>
        <w:t>第四章  评标方法及评定标准</w:t>
      </w:r>
    </w:p>
    <w:p>
      <w:pPr>
        <w:pStyle w:val="215"/>
        <w:adjustRightInd w:val="0"/>
        <w:snapToGrid w:val="0"/>
        <w:spacing w:line="400" w:lineRule="exact"/>
        <w:ind w:firstLine="42"/>
        <w:rPr>
          <w:b/>
          <w:bCs/>
          <w:color w:val="auto"/>
          <w:highlight w:val="none"/>
        </w:rPr>
      </w:pPr>
    </w:p>
    <w:p>
      <w:pPr>
        <w:pStyle w:val="215"/>
        <w:adjustRightInd w:val="0"/>
        <w:snapToGrid w:val="0"/>
        <w:spacing w:line="400" w:lineRule="exact"/>
        <w:ind w:firstLine="42"/>
        <w:rPr>
          <w:b/>
          <w:bCs/>
          <w:color w:val="auto"/>
          <w:highlight w:val="none"/>
        </w:rPr>
      </w:pPr>
    </w:p>
    <w:p>
      <w:pPr>
        <w:pStyle w:val="215"/>
        <w:adjustRightInd w:val="0"/>
        <w:snapToGrid w:val="0"/>
        <w:spacing w:line="400" w:lineRule="exact"/>
        <w:ind w:firstLine="42"/>
        <w:rPr>
          <w:b/>
          <w:bCs/>
          <w:color w:val="auto"/>
          <w:highlight w:val="none"/>
        </w:rPr>
      </w:pPr>
    </w:p>
    <w:p>
      <w:pPr>
        <w:pStyle w:val="215"/>
        <w:adjustRightInd w:val="0"/>
        <w:snapToGrid w:val="0"/>
        <w:spacing w:line="400" w:lineRule="exact"/>
        <w:ind w:firstLine="42"/>
        <w:rPr>
          <w:b/>
          <w:bCs/>
          <w:color w:val="auto"/>
          <w:highlight w:val="none"/>
        </w:rPr>
      </w:pPr>
    </w:p>
    <w:p>
      <w:pPr>
        <w:pStyle w:val="215"/>
        <w:adjustRightInd w:val="0"/>
        <w:snapToGrid w:val="0"/>
        <w:spacing w:line="400" w:lineRule="exact"/>
        <w:ind w:firstLine="42"/>
        <w:rPr>
          <w:b/>
          <w:bCs/>
          <w:color w:val="auto"/>
          <w:highlight w:val="none"/>
        </w:rPr>
      </w:pPr>
    </w:p>
    <w:p>
      <w:pPr>
        <w:pStyle w:val="215"/>
        <w:adjustRightInd w:val="0"/>
        <w:snapToGrid w:val="0"/>
        <w:spacing w:line="400" w:lineRule="exact"/>
        <w:ind w:firstLine="42"/>
        <w:rPr>
          <w:b/>
          <w:bCs/>
          <w:color w:val="auto"/>
          <w:highlight w:val="none"/>
        </w:rPr>
      </w:pPr>
    </w:p>
    <w:p>
      <w:pPr>
        <w:pStyle w:val="215"/>
        <w:adjustRightInd w:val="0"/>
        <w:snapToGrid w:val="0"/>
        <w:spacing w:line="400" w:lineRule="exact"/>
        <w:ind w:firstLine="42"/>
        <w:rPr>
          <w:b/>
          <w:bCs/>
          <w:color w:val="auto"/>
          <w:highlight w:val="none"/>
        </w:rPr>
      </w:pPr>
    </w:p>
    <w:p>
      <w:pPr>
        <w:pStyle w:val="215"/>
        <w:adjustRightInd w:val="0"/>
        <w:snapToGrid w:val="0"/>
        <w:spacing w:line="400" w:lineRule="exact"/>
        <w:ind w:firstLine="42"/>
        <w:rPr>
          <w:b/>
          <w:bCs/>
          <w:color w:val="auto"/>
          <w:highlight w:val="none"/>
        </w:rPr>
      </w:pPr>
    </w:p>
    <w:p>
      <w:pPr>
        <w:pStyle w:val="215"/>
        <w:adjustRightInd w:val="0"/>
        <w:snapToGrid w:val="0"/>
        <w:spacing w:line="400" w:lineRule="exact"/>
        <w:ind w:firstLine="42"/>
        <w:rPr>
          <w:b/>
          <w:bCs/>
          <w:color w:val="auto"/>
          <w:highlight w:val="none"/>
        </w:rPr>
      </w:pPr>
    </w:p>
    <w:p>
      <w:pPr>
        <w:pStyle w:val="215"/>
        <w:adjustRightInd w:val="0"/>
        <w:snapToGrid w:val="0"/>
        <w:spacing w:line="400" w:lineRule="exact"/>
        <w:ind w:firstLine="42"/>
        <w:rPr>
          <w:b/>
          <w:bCs/>
          <w:color w:val="auto"/>
          <w:highlight w:val="none"/>
        </w:rPr>
      </w:pPr>
    </w:p>
    <w:p>
      <w:pPr>
        <w:pStyle w:val="215"/>
        <w:adjustRightInd w:val="0"/>
        <w:snapToGrid w:val="0"/>
        <w:spacing w:line="400" w:lineRule="exact"/>
        <w:ind w:firstLine="42"/>
        <w:rPr>
          <w:b/>
          <w:bCs/>
          <w:color w:val="auto"/>
          <w:highlight w:val="none"/>
        </w:rPr>
      </w:pPr>
    </w:p>
    <w:p>
      <w:pPr>
        <w:pStyle w:val="215"/>
        <w:adjustRightInd w:val="0"/>
        <w:snapToGrid w:val="0"/>
        <w:spacing w:line="400" w:lineRule="exact"/>
        <w:ind w:firstLine="42"/>
        <w:rPr>
          <w:b/>
          <w:bCs/>
          <w:color w:val="auto"/>
          <w:highlight w:val="none"/>
        </w:rPr>
      </w:pPr>
    </w:p>
    <w:p>
      <w:pPr>
        <w:pStyle w:val="215"/>
        <w:adjustRightInd w:val="0"/>
        <w:snapToGrid w:val="0"/>
        <w:spacing w:line="400" w:lineRule="exact"/>
        <w:ind w:firstLine="42"/>
        <w:rPr>
          <w:b/>
          <w:bCs/>
          <w:color w:val="auto"/>
          <w:highlight w:val="none"/>
        </w:rPr>
      </w:pPr>
    </w:p>
    <w:p>
      <w:pPr>
        <w:pStyle w:val="26"/>
        <w:spacing w:line="360" w:lineRule="exact"/>
        <w:ind w:firstLine="3678" w:firstLineChars="1145"/>
        <w:rPr>
          <w:rFonts w:ascii="仿宋_GB2312" w:hAnsi="宋体" w:eastAsia="仿宋_GB2312"/>
          <w:b/>
          <w:color w:val="auto"/>
          <w:sz w:val="32"/>
          <w:szCs w:val="32"/>
          <w:highlight w:val="none"/>
        </w:rPr>
      </w:pPr>
    </w:p>
    <w:p>
      <w:pPr>
        <w:pStyle w:val="26"/>
        <w:spacing w:line="360" w:lineRule="exact"/>
        <w:ind w:firstLine="3678" w:firstLineChars="1145"/>
        <w:rPr>
          <w:rFonts w:ascii="仿宋_GB2312" w:hAnsi="宋体" w:eastAsia="仿宋_GB2312"/>
          <w:b/>
          <w:color w:val="auto"/>
          <w:sz w:val="32"/>
          <w:szCs w:val="32"/>
          <w:highlight w:val="none"/>
        </w:rPr>
      </w:pPr>
    </w:p>
    <w:p>
      <w:pPr>
        <w:pStyle w:val="26"/>
        <w:spacing w:line="360" w:lineRule="exact"/>
        <w:ind w:firstLine="3678" w:firstLineChars="1145"/>
        <w:rPr>
          <w:rFonts w:ascii="仿宋_GB2312" w:hAnsi="宋体" w:eastAsia="仿宋_GB2312"/>
          <w:b/>
          <w:color w:val="auto"/>
          <w:sz w:val="32"/>
          <w:szCs w:val="32"/>
          <w:highlight w:val="none"/>
        </w:rPr>
      </w:pPr>
    </w:p>
    <w:p>
      <w:pPr>
        <w:pStyle w:val="26"/>
        <w:spacing w:line="360" w:lineRule="exact"/>
        <w:ind w:firstLine="3678" w:firstLineChars="1145"/>
        <w:rPr>
          <w:rFonts w:ascii="仿宋_GB2312" w:hAnsi="宋体" w:eastAsia="仿宋_GB2312"/>
          <w:b/>
          <w:color w:val="auto"/>
          <w:sz w:val="32"/>
          <w:szCs w:val="32"/>
          <w:highlight w:val="none"/>
        </w:rPr>
      </w:pPr>
    </w:p>
    <w:p>
      <w:pPr>
        <w:pStyle w:val="180"/>
        <w:widowControl w:val="0"/>
        <w:spacing w:after="156" w:line="276" w:lineRule="auto"/>
        <w:ind w:firstLine="0" w:firstLineChars="0"/>
        <w:jc w:val="left"/>
        <w:rPr>
          <w:rFonts w:ascii="宋体" w:hAnsi="宋体" w:cs="Arial"/>
          <w:color w:val="auto"/>
          <w:sz w:val="21"/>
          <w:szCs w:val="21"/>
          <w:highlight w:val="none"/>
        </w:rPr>
      </w:pPr>
    </w:p>
    <w:p>
      <w:pPr>
        <w:pStyle w:val="26"/>
        <w:spacing w:line="420" w:lineRule="exact"/>
        <w:ind w:firstLine="3396" w:firstLineChars="1057"/>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评标方法及评定标准</w:t>
      </w:r>
    </w:p>
    <w:p>
      <w:pPr>
        <w:pStyle w:val="26"/>
        <w:spacing w:line="420" w:lineRule="exact"/>
        <w:ind w:firstLine="826" w:firstLineChars="257"/>
        <w:jc w:val="center"/>
        <w:rPr>
          <w:rFonts w:ascii="仿宋_GB2312" w:hAnsi="宋体" w:eastAsia="仿宋_GB2312"/>
          <w:b/>
          <w:color w:val="auto"/>
          <w:sz w:val="32"/>
          <w:szCs w:val="32"/>
          <w:highlight w:val="none"/>
        </w:rPr>
      </w:pPr>
    </w:p>
    <w:p>
      <w:pPr>
        <w:pStyle w:val="26"/>
        <w:spacing w:line="360" w:lineRule="exact"/>
        <w:ind w:firstLine="826" w:firstLineChars="257"/>
        <w:jc w:val="center"/>
        <w:rPr>
          <w:rFonts w:ascii="仿宋_GB2312" w:hAnsi="宋体" w:eastAsia="仿宋_GB2312"/>
          <w:b/>
          <w:color w:val="auto"/>
          <w:sz w:val="32"/>
          <w:szCs w:val="32"/>
          <w:highlight w:val="none"/>
        </w:rPr>
      </w:pPr>
    </w:p>
    <w:p>
      <w:pPr>
        <w:pStyle w:val="26"/>
        <w:spacing w:line="360" w:lineRule="exact"/>
        <w:rPr>
          <w:b/>
          <w:bCs/>
          <w:color w:val="auto"/>
          <w:highlight w:val="none"/>
        </w:rPr>
      </w:pPr>
      <w:r>
        <w:rPr>
          <w:rFonts w:hint="eastAsia"/>
          <w:b/>
          <w:bCs/>
          <w:color w:val="auto"/>
          <w:highlight w:val="none"/>
        </w:rPr>
        <w:t>一、评标原则</w:t>
      </w:r>
    </w:p>
    <w:p>
      <w:pPr>
        <w:pStyle w:val="26"/>
        <w:spacing w:line="360" w:lineRule="exact"/>
        <w:ind w:firstLine="539" w:firstLineChars="257"/>
        <w:rPr>
          <w:bCs/>
          <w:color w:val="auto"/>
          <w:highlight w:val="none"/>
        </w:rPr>
      </w:pPr>
      <w:r>
        <w:rPr>
          <w:rFonts w:hint="eastAsia" w:hAnsi="宋体"/>
          <w:bCs/>
          <w:color w:val="auto"/>
          <w:highlight w:val="none"/>
        </w:rPr>
        <w:t>(一)评委构成：本招标采购项目的评标委员会由采购人代表和有关技术、经济等方面的专家组成，成员人数应当为五人以上单数。其中，技术、经济等方面的专家不得少于成员总数的三分之二</w:t>
      </w:r>
      <w:r>
        <w:rPr>
          <w:rFonts w:hint="eastAsia"/>
          <w:bCs/>
          <w:color w:val="auto"/>
          <w:highlight w:val="none"/>
        </w:rPr>
        <w:t>。</w:t>
      </w:r>
    </w:p>
    <w:p>
      <w:pPr>
        <w:pStyle w:val="26"/>
        <w:spacing w:line="360" w:lineRule="exact"/>
        <w:ind w:firstLine="539" w:firstLineChars="257"/>
        <w:rPr>
          <w:color w:val="auto"/>
          <w:highlight w:val="none"/>
        </w:rPr>
      </w:pPr>
      <w:r>
        <w:rPr>
          <w:rFonts w:hint="eastAsia" w:hAnsi="宋体"/>
          <w:bCs/>
          <w:color w:val="auto"/>
          <w:highlight w:val="none"/>
        </w:rPr>
        <w:t>(二)</w:t>
      </w:r>
      <w:r>
        <w:rPr>
          <w:rFonts w:ascii="Times New Roman" w:hAnsi="宋体"/>
          <w:bCs/>
          <w:color w:val="auto"/>
          <w:highlight w:val="none"/>
        </w:rPr>
        <w:t xml:space="preserve"> </w:t>
      </w:r>
      <w:r>
        <w:rPr>
          <w:rFonts w:hint="eastAsia" w:hAnsi="宋体"/>
          <w:bCs/>
          <w:color w:val="auto"/>
          <w:highlight w:val="none"/>
        </w:rPr>
        <w:t>评标依据：评委将以招投标文件为评标依据，</w:t>
      </w:r>
      <w:r>
        <w:rPr>
          <w:rFonts w:hint="eastAsia"/>
          <w:color w:val="auto"/>
          <w:highlight w:val="none"/>
        </w:rPr>
        <w:t>对投标人的</w:t>
      </w:r>
      <w:r>
        <w:rPr>
          <w:rFonts w:hint="eastAsia"/>
          <w:b/>
          <w:color w:val="auto"/>
          <w:highlight w:val="none"/>
        </w:rPr>
        <w:t>报价、</w:t>
      </w:r>
      <w:r>
        <w:rPr>
          <w:rFonts w:hint="eastAsia" w:hAnsi="宋体" w:cs="宋体"/>
          <w:b/>
          <w:color w:val="auto"/>
          <w:kern w:val="0"/>
          <w:highlight w:val="none"/>
        </w:rPr>
        <w:t>技术、商务</w:t>
      </w:r>
      <w:r>
        <w:rPr>
          <w:rFonts w:hint="eastAsia"/>
          <w:color w:val="auto"/>
          <w:highlight w:val="none"/>
        </w:rPr>
        <w:t>方面内容按百分制打分。</w:t>
      </w:r>
    </w:p>
    <w:p>
      <w:pPr>
        <w:pStyle w:val="26"/>
        <w:spacing w:line="360" w:lineRule="exact"/>
        <w:ind w:firstLine="539" w:firstLineChars="257"/>
        <w:rPr>
          <w:rFonts w:hAnsi="宋体"/>
          <w:bCs/>
          <w:color w:val="auto"/>
          <w:highlight w:val="none"/>
        </w:rPr>
      </w:pPr>
      <w:r>
        <w:rPr>
          <w:rFonts w:hint="eastAsia" w:hAnsi="宋体"/>
          <w:bCs/>
          <w:color w:val="auto"/>
          <w:highlight w:val="none"/>
        </w:rPr>
        <w:t>(三)评标方式：以封闭方式进行。</w:t>
      </w:r>
    </w:p>
    <w:p>
      <w:pPr>
        <w:pStyle w:val="26"/>
        <w:spacing w:line="360" w:lineRule="exact"/>
        <w:ind w:firstLine="103" w:firstLineChars="49"/>
        <w:rPr>
          <w:rFonts w:hAnsi="宋体"/>
          <w:b/>
          <w:bCs/>
          <w:color w:val="auto"/>
          <w:highlight w:val="none"/>
        </w:rPr>
      </w:pPr>
      <w:r>
        <w:rPr>
          <w:rFonts w:hint="eastAsia" w:hAnsi="宋体"/>
          <w:b/>
          <w:bCs/>
          <w:color w:val="auto"/>
          <w:highlight w:val="none"/>
        </w:rPr>
        <w:t>二、评标方法</w:t>
      </w:r>
    </w:p>
    <w:p>
      <w:pPr>
        <w:pStyle w:val="26"/>
        <w:spacing w:line="360" w:lineRule="exact"/>
        <w:ind w:firstLine="178" w:firstLineChars="85"/>
        <w:rPr>
          <w:rFonts w:hAnsi="宋体"/>
          <w:bCs/>
          <w:color w:val="auto"/>
          <w:highlight w:val="none"/>
        </w:rPr>
      </w:pPr>
      <w:r>
        <w:rPr>
          <w:rFonts w:hint="eastAsia" w:hAnsi="宋体"/>
          <w:bCs/>
          <w:color w:val="auto"/>
          <w:highlight w:val="none"/>
        </w:rPr>
        <w:t>（一）对进入详评的，采用百分制综合评分法。</w:t>
      </w:r>
    </w:p>
    <w:p>
      <w:pPr>
        <w:pStyle w:val="26"/>
        <w:spacing w:line="360" w:lineRule="exact"/>
        <w:ind w:firstLine="178" w:firstLineChars="85"/>
        <w:rPr>
          <w:rFonts w:hAnsi="宋体"/>
          <w:bCs/>
          <w:color w:val="auto"/>
          <w:highlight w:val="none"/>
        </w:rPr>
      </w:pPr>
      <w:r>
        <w:rPr>
          <w:rFonts w:hint="eastAsia" w:hAnsi="宋体"/>
          <w:bCs/>
          <w:color w:val="auto"/>
          <w:highlight w:val="none"/>
        </w:rPr>
        <w:t>（二）计分办法（按四舍五入取至百分位）：</w:t>
      </w:r>
    </w:p>
    <w:p>
      <w:pPr>
        <w:pStyle w:val="42"/>
        <w:spacing w:line="360" w:lineRule="exact"/>
        <w:ind w:left="0" w:firstLine="413" w:firstLineChars="196"/>
        <w:outlineLvl w:val="0"/>
        <w:rPr>
          <w:rFonts w:ascii="宋体" w:hAnsi="宋体"/>
          <w:b/>
          <w:color w:val="auto"/>
          <w:szCs w:val="21"/>
          <w:highlight w:val="none"/>
        </w:rPr>
      </w:pPr>
      <w:r>
        <w:rPr>
          <w:rFonts w:hint="eastAsia" w:ascii="宋体" w:hAnsi="宋体"/>
          <w:b/>
          <w:color w:val="auto"/>
          <w:szCs w:val="21"/>
          <w:highlight w:val="none"/>
        </w:rPr>
        <w:t>1、价格分……………………………………………………………………10分</w:t>
      </w:r>
    </w:p>
    <w:p>
      <w:pPr>
        <w:pStyle w:val="26"/>
        <w:spacing w:line="360" w:lineRule="exact"/>
        <w:ind w:left="105" w:leftChars="50" w:firstLine="315" w:firstLineChars="150"/>
        <w:rPr>
          <w:rFonts w:ascii="Times New Roman" w:hAnsi="Times New Roman" w:cs="Times New Roman"/>
          <w:color w:val="auto"/>
          <w:szCs w:val="24"/>
          <w:highlight w:val="none"/>
        </w:rPr>
      </w:pPr>
      <w:r>
        <w:rPr>
          <w:rFonts w:hint="eastAsia" w:hAnsi="宋体" w:cs="Times New Roman"/>
          <w:color w:val="auto"/>
          <w:highlight w:val="none"/>
        </w:rPr>
        <w:t>（1）</w:t>
      </w:r>
      <w:r>
        <w:rPr>
          <w:rFonts w:hint="eastAsia" w:hAnsi="宋体"/>
          <w:color w:val="auto"/>
          <w:highlight w:val="none"/>
        </w:rPr>
        <w:t>符合《政府采购促进中小企业发展暂行办法》（财库[2011]181号）规定条件且按该办法中规定的格式提供了《中小企业声明函》的小型和微型企业</w:t>
      </w:r>
      <w:r>
        <w:rPr>
          <w:rFonts w:hint="eastAsia" w:hAnsi="宋体" w:cs="Times New Roman"/>
          <w:color w:val="auto"/>
          <w:highlight w:val="none"/>
        </w:rPr>
        <w:t>，对其投标价给予6%的扣除，扣除后的价格为评标价，即评标价=投标价×（1-6%）</w:t>
      </w:r>
      <w:r>
        <w:rPr>
          <w:rFonts w:hint="eastAsia" w:ascii="Times New Roman" w:hAnsi="Times New Roman" w:cs="Times New Roman"/>
          <w:color w:val="auto"/>
          <w:szCs w:val="24"/>
          <w:highlight w:val="none"/>
        </w:rPr>
        <w:t>。</w:t>
      </w:r>
    </w:p>
    <w:p>
      <w:pPr>
        <w:pStyle w:val="26"/>
        <w:spacing w:line="360" w:lineRule="exact"/>
        <w:ind w:firstLine="420" w:firstLineChars="200"/>
        <w:outlineLvl w:val="0"/>
        <w:rPr>
          <w:color w:val="auto"/>
          <w:highlight w:val="none"/>
        </w:rPr>
      </w:pPr>
      <w:r>
        <w:rPr>
          <w:rFonts w:hint="eastAsia" w:hAnsi="宋体"/>
          <w:color w:val="auto"/>
          <w:highlight w:val="none"/>
        </w:rPr>
        <w:t>投标</w:t>
      </w:r>
      <w:r>
        <w:rPr>
          <w:rFonts w:hint="eastAsia"/>
          <w:b/>
          <w:color w:val="auto"/>
          <w:highlight w:val="none"/>
        </w:rPr>
        <w:t>产品</w:t>
      </w:r>
      <w:r>
        <w:rPr>
          <w:rFonts w:hint="eastAsia"/>
          <w:color w:val="auto"/>
          <w:highlight w:val="none"/>
        </w:rPr>
        <w:t>提供企业按《关于政府采购支持监狱企业发展有关问题的通知》</w:t>
      </w:r>
      <w:r>
        <w:rPr>
          <w:color w:val="auto"/>
          <w:highlight w:val="none"/>
        </w:rPr>
        <w:t>(</w:t>
      </w:r>
      <w:r>
        <w:rPr>
          <w:rFonts w:hint="eastAsia"/>
          <w:color w:val="auto"/>
          <w:highlight w:val="none"/>
        </w:rPr>
        <w:t>财库</w:t>
      </w:r>
      <w:r>
        <w:rPr>
          <w:color w:val="auto"/>
          <w:highlight w:val="none"/>
        </w:rPr>
        <w:t>[2014]68</w:t>
      </w:r>
      <w:r>
        <w:rPr>
          <w:rFonts w:hint="eastAsia"/>
          <w:color w:val="auto"/>
          <w:highlight w:val="none"/>
        </w:rPr>
        <w:t>号</w:t>
      </w:r>
      <w:r>
        <w:rPr>
          <w:color w:val="auto"/>
          <w:highlight w:val="none"/>
        </w:rPr>
        <w:t>)</w:t>
      </w:r>
      <w:r>
        <w:rPr>
          <w:rFonts w:hint="eastAsia"/>
          <w:color w:val="auto"/>
          <w:highlight w:val="none"/>
        </w:rPr>
        <w:t>认定为监狱企业的，在招标活动中，监狱企业视同小型、微型企业。监狱企业参加投标活动时，应当提供由省级以上监狱管理局、戒毒管理局</w:t>
      </w:r>
      <w:r>
        <w:rPr>
          <w:color w:val="auto"/>
          <w:highlight w:val="none"/>
        </w:rPr>
        <w:t>(</w:t>
      </w:r>
      <w:r>
        <w:rPr>
          <w:rFonts w:hint="eastAsia"/>
          <w:color w:val="auto"/>
          <w:highlight w:val="none"/>
        </w:rPr>
        <w:t>含新疆生产建设兵团</w:t>
      </w:r>
      <w:r>
        <w:rPr>
          <w:color w:val="auto"/>
          <w:highlight w:val="none"/>
        </w:rPr>
        <w:t>)</w:t>
      </w:r>
      <w:r>
        <w:rPr>
          <w:rFonts w:hint="eastAsia"/>
          <w:color w:val="auto"/>
          <w:highlight w:val="none"/>
        </w:rPr>
        <w:t>出具的属于监狱企业的证明文件。</w:t>
      </w:r>
    </w:p>
    <w:p>
      <w:pPr>
        <w:pStyle w:val="26"/>
        <w:spacing w:line="360" w:lineRule="exact"/>
        <w:ind w:firstLine="420" w:firstLineChars="200"/>
        <w:outlineLvl w:val="0"/>
        <w:rPr>
          <w:color w:val="auto"/>
          <w:highlight w:val="none"/>
        </w:rPr>
      </w:pPr>
      <w:r>
        <w:rPr>
          <w:rFonts w:hint="eastAsia"/>
          <w:color w:val="auto"/>
          <w:highlight w:val="none"/>
        </w:rPr>
        <w:t>投标</w:t>
      </w:r>
      <w:r>
        <w:rPr>
          <w:rFonts w:hint="eastAsia"/>
          <w:b/>
          <w:color w:val="auto"/>
          <w:highlight w:val="none"/>
        </w:rPr>
        <w:t>产品</w:t>
      </w:r>
      <w:r>
        <w:rPr>
          <w:rFonts w:hint="eastAsia"/>
          <w:color w:val="auto"/>
          <w:highlight w:val="none"/>
        </w:rPr>
        <w:t>提供企业按《</w:t>
      </w:r>
      <w:r>
        <w:rPr>
          <w:color w:val="auto"/>
          <w:highlight w:val="none"/>
        </w:rPr>
        <w:t>关于促进残疾人就业政府采购政策的通知</w:t>
      </w:r>
      <w:r>
        <w:rPr>
          <w:rFonts w:hint="eastAsia"/>
          <w:color w:val="auto"/>
          <w:highlight w:val="none"/>
        </w:rPr>
        <w:t>》</w:t>
      </w:r>
      <w:r>
        <w:rPr>
          <w:color w:val="auto"/>
          <w:highlight w:val="none"/>
        </w:rPr>
        <w:t>(</w:t>
      </w:r>
      <w:bookmarkStart w:id="46" w:name="sendNo"/>
      <w:r>
        <w:rPr>
          <w:rFonts w:hint="eastAsia"/>
          <w:color w:val="auto"/>
          <w:highlight w:val="none"/>
        </w:rPr>
        <w:t>财库〔</w:t>
      </w:r>
      <w:bookmarkEnd w:id="46"/>
      <w:r>
        <w:rPr>
          <w:rFonts w:hint="eastAsia"/>
          <w:color w:val="auto"/>
          <w:highlight w:val="none"/>
        </w:rPr>
        <w:t>2017〕141号</w:t>
      </w:r>
      <w:r>
        <w:rPr>
          <w:color w:val="auto"/>
          <w:highlight w:val="none"/>
        </w:rPr>
        <w:t>)</w:t>
      </w:r>
      <w:r>
        <w:rPr>
          <w:rFonts w:hint="eastAsia"/>
          <w:color w:val="auto"/>
          <w:highlight w:val="none"/>
        </w:rPr>
        <w:t>认定为残疾人福利性单位的，在投标活动中，残疾人福利性单位视同小型、微型企业。残疾人福利性单位参加投标活动时，应当提供该通知规定的《残疾人福利性单位声明函》，并对声明的真实性负责。</w:t>
      </w:r>
    </w:p>
    <w:p>
      <w:pPr>
        <w:pStyle w:val="26"/>
        <w:spacing w:line="360" w:lineRule="exact"/>
        <w:ind w:firstLine="420" w:firstLineChars="200"/>
        <w:outlineLvl w:val="0"/>
        <w:rPr>
          <w:rFonts w:hAnsi="宋体"/>
          <w:color w:val="auto"/>
          <w:highlight w:val="none"/>
        </w:rPr>
      </w:pPr>
      <w:r>
        <w:rPr>
          <w:rFonts w:hint="eastAsia" w:hAnsi="宋体"/>
          <w:color w:val="auto"/>
          <w:highlight w:val="none"/>
        </w:rPr>
        <w:t>（2）以满足招标文件的最低评标价为10分。</w:t>
      </w:r>
    </w:p>
    <w:p>
      <w:pPr>
        <w:pStyle w:val="26"/>
        <w:spacing w:line="360" w:lineRule="exact"/>
        <w:ind w:firstLine="420" w:firstLineChars="200"/>
        <w:outlineLvl w:val="0"/>
        <w:rPr>
          <w:rFonts w:hAnsi="宋体"/>
          <w:color w:val="auto"/>
          <w:highlight w:val="none"/>
        </w:rPr>
      </w:pPr>
      <w:r>
        <w:rPr>
          <w:rFonts w:hint="eastAsia"/>
          <w:bCs/>
          <w:color w:val="auto"/>
          <w:highlight w:val="none"/>
        </w:rPr>
        <w:t xml:space="preserve"> (3) 某投标人价格分 = 投标人最低评标价（金额）/某投标人</w:t>
      </w:r>
      <w:r>
        <w:rPr>
          <w:rFonts w:hint="eastAsia" w:ascii="Times New Roman" w:hAnsi="Times New Roman" w:cs="Times New Roman"/>
          <w:color w:val="auto"/>
          <w:szCs w:val="24"/>
          <w:highlight w:val="none"/>
        </w:rPr>
        <w:t>评标价</w:t>
      </w:r>
      <w:r>
        <w:rPr>
          <w:rFonts w:hint="eastAsia"/>
          <w:bCs/>
          <w:color w:val="auto"/>
          <w:highlight w:val="none"/>
        </w:rPr>
        <w:t>（金额） ×10分</w:t>
      </w:r>
    </w:p>
    <w:p>
      <w:pPr>
        <w:pStyle w:val="26"/>
        <w:spacing w:line="360" w:lineRule="exact"/>
        <w:ind w:firstLine="422" w:firstLineChars="200"/>
        <w:rPr>
          <w:rFonts w:hAnsi="宋体"/>
          <w:b/>
          <w:color w:val="auto"/>
          <w:highlight w:val="none"/>
        </w:rPr>
      </w:pPr>
      <w:r>
        <w:rPr>
          <w:rFonts w:hint="eastAsia" w:hAnsi="宋体"/>
          <w:b/>
          <w:color w:val="auto"/>
          <w:highlight w:val="none"/>
        </w:rPr>
        <w:t>2、商务分……………………………………………………………………40分</w:t>
      </w:r>
      <w:r>
        <w:rPr>
          <w:rFonts w:hAnsi="宋体"/>
          <w:b/>
          <w:color w:val="auto"/>
          <w:highlight w:val="none"/>
        </w:rPr>
        <w:t xml:space="preserve"> </w:t>
      </w:r>
    </w:p>
    <w:p>
      <w:pPr>
        <w:pStyle w:val="26"/>
        <w:spacing w:line="360" w:lineRule="exact"/>
        <w:ind w:firstLine="315" w:firstLineChars="150"/>
        <w:rPr>
          <w:rFonts w:hAnsi="宋体"/>
          <w:color w:val="auto"/>
          <w:highlight w:val="none"/>
        </w:rPr>
      </w:pPr>
      <w:r>
        <w:rPr>
          <w:rFonts w:hint="eastAsia" w:hAnsi="宋体"/>
          <w:color w:val="auto"/>
          <w:highlight w:val="none"/>
        </w:rPr>
        <w:t>（1）业绩分（满分15分）</w:t>
      </w:r>
    </w:p>
    <w:p>
      <w:pPr>
        <w:spacing w:line="360" w:lineRule="exact"/>
        <w:ind w:firstLine="404"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pacing w:val="-4"/>
          <w:highlight w:val="none"/>
        </w:rPr>
        <w:t xml:space="preserve">① </w:t>
      </w:r>
      <w:r>
        <w:rPr>
          <w:rFonts w:hint="eastAsia" w:asciiTheme="minorEastAsia" w:hAnsiTheme="minorEastAsia" w:eastAsiaTheme="minorEastAsia" w:cstheme="minorEastAsia"/>
          <w:color w:val="auto"/>
          <w:highlight w:val="none"/>
        </w:rPr>
        <w:t>投标企业2019年中药配方颗粒销售额（全国），以2019年企业增值税纳税报表为证明文件，销售额30亿以上5分；20-30亿得3分；15-19.99亿得2分，其余不得分</w:t>
      </w:r>
    </w:p>
    <w:p>
      <w:pPr>
        <w:spacing w:line="360" w:lineRule="exact"/>
        <w:ind w:firstLine="404"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pacing w:val="-4"/>
          <w:highlight w:val="none"/>
        </w:rPr>
        <w:t xml:space="preserve">② </w:t>
      </w:r>
      <w:r>
        <w:rPr>
          <w:rFonts w:hint="eastAsia" w:asciiTheme="minorEastAsia" w:hAnsiTheme="minorEastAsia" w:eastAsiaTheme="minorEastAsia" w:cstheme="minorEastAsia"/>
          <w:color w:val="auto"/>
          <w:highlight w:val="none"/>
        </w:rPr>
        <w:t>近三年内获得税务部门对企业纳税信用的A级评价或证书，满足得2分，不满足得0分。</w:t>
      </w:r>
    </w:p>
    <w:p>
      <w:pPr>
        <w:spacing w:line="360" w:lineRule="exact"/>
        <w:ind w:firstLine="404"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pacing w:val="-4"/>
          <w:highlight w:val="none"/>
        </w:rPr>
        <w:t xml:space="preserve">③ </w:t>
      </w:r>
      <w:r>
        <w:rPr>
          <w:rFonts w:hint="eastAsia" w:asciiTheme="minorEastAsia" w:hAnsiTheme="minorEastAsia" w:eastAsiaTheme="minorEastAsia" w:cstheme="minorEastAsia"/>
          <w:color w:val="auto"/>
          <w:highlight w:val="none"/>
        </w:rPr>
        <w:t>按投标人在全国省级医院使用配方颗粒的医院数量（财务销售流向证明），20家以上5分；15-20家3分；10-14家2分；10家以下不得分</w:t>
      </w:r>
    </w:p>
    <w:p>
      <w:pPr>
        <w:spacing w:line="36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④ 投标企业获得中国驰名商标得3分；省级著名商标得1分；没有不得分（获得多项品牌奖不累计计分，以最高品牌奖项计分），提供证书或牌匾。</w:t>
      </w:r>
    </w:p>
    <w:p>
      <w:pPr>
        <w:pStyle w:val="26"/>
        <w:spacing w:line="360" w:lineRule="exact"/>
        <w:ind w:firstLine="210" w:firstLineChars="100"/>
        <w:rPr>
          <w:rFonts w:asciiTheme="minorEastAsia" w:hAnsiTheme="minorEastAsia" w:cstheme="minorEastAsia"/>
          <w:color w:val="auto"/>
          <w:szCs w:val="24"/>
          <w:highlight w:val="none"/>
        </w:rPr>
      </w:pPr>
      <w:r>
        <w:rPr>
          <w:rFonts w:hint="eastAsia" w:asciiTheme="minorEastAsia" w:hAnsiTheme="minorEastAsia" w:cstheme="minorEastAsia"/>
          <w:bCs/>
          <w:color w:val="auto"/>
          <w:szCs w:val="24"/>
          <w:highlight w:val="none"/>
        </w:rPr>
        <w:t>（2）科研实力（满分25分）</w:t>
      </w:r>
    </w:p>
    <w:p>
      <w:pPr>
        <w:pStyle w:val="26"/>
        <w:spacing w:line="360" w:lineRule="exact"/>
        <w:ind w:firstLine="404" w:firstLineChars="200"/>
        <w:rPr>
          <w:rFonts w:asciiTheme="minorEastAsia" w:hAnsiTheme="minorEastAsia" w:cstheme="minorEastAsia"/>
          <w:color w:val="auto"/>
          <w:szCs w:val="24"/>
          <w:highlight w:val="none"/>
        </w:rPr>
      </w:pPr>
      <w:r>
        <w:rPr>
          <w:rFonts w:hint="eastAsia" w:asciiTheme="minorEastAsia" w:hAnsiTheme="minorEastAsia" w:cstheme="minorEastAsia"/>
          <w:bCs/>
          <w:color w:val="auto"/>
          <w:spacing w:val="-4"/>
          <w:szCs w:val="24"/>
          <w:highlight w:val="none"/>
        </w:rPr>
        <w:t xml:space="preserve">① </w:t>
      </w:r>
      <w:r>
        <w:rPr>
          <w:rFonts w:hint="eastAsia" w:asciiTheme="minorEastAsia" w:hAnsiTheme="minorEastAsia" w:cstheme="minorEastAsia"/>
          <w:color w:val="auto"/>
          <w:szCs w:val="24"/>
          <w:highlight w:val="none"/>
        </w:rPr>
        <w:t>有国家级CNAS实验室得3分，无不得分；</w:t>
      </w:r>
    </w:p>
    <w:p>
      <w:pPr>
        <w:pStyle w:val="26"/>
        <w:spacing w:line="360" w:lineRule="exact"/>
        <w:ind w:firstLine="404" w:firstLineChars="200"/>
        <w:rPr>
          <w:rFonts w:asciiTheme="minorEastAsia" w:hAnsiTheme="minorEastAsia" w:cstheme="minorEastAsia"/>
          <w:color w:val="auto"/>
          <w:szCs w:val="24"/>
          <w:highlight w:val="none"/>
        </w:rPr>
      </w:pPr>
      <w:r>
        <w:rPr>
          <w:rFonts w:hint="eastAsia" w:asciiTheme="minorEastAsia" w:hAnsiTheme="minorEastAsia" w:cstheme="minorEastAsia"/>
          <w:bCs/>
          <w:color w:val="auto"/>
          <w:spacing w:val="-4"/>
          <w:szCs w:val="24"/>
          <w:highlight w:val="none"/>
        </w:rPr>
        <w:t xml:space="preserve">② </w:t>
      </w:r>
      <w:r>
        <w:rPr>
          <w:rFonts w:hint="eastAsia" w:asciiTheme="minorEastAsia" w:hAnsiTheme="minorEastAsia" w:cstheme="minorEastAsia"/>
          <w:color w:val="auto"/>
          <w:szCs w:val="24"/>
          <w:highlight w:val="none"/>
        </w:rPr>
        <w:t>中药研究获奖奖项，有国家级科技进步奖得3分；无不得分</w:t>
      </w:r>
    </w:p>
    <w:p>
      <w:pPr>
        <w:spacing w:line="36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③ 企业有院士工作站得3分，无不得分，提供证书或牌匾</w:t>
      </w:r>
    </w:p>
    <w:p>
      <w:pPr>
        <w:spacing w:line="36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④ 中药真伪鉴定达到分子水平，有得3分，无不得分。</w:t>
      </w:r>
    </w:p>
    <w:p>
      <w:pPr>
        <w:spacing w:line="36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⑤ 具有国家级中药材种植基地，有得3分，无不得分</w:t>
      </w:r>
    </w:p>
    <w:p>
      <w:pPr>
        <w:spacing w:line="36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⑥ 投标产品生产企业具有中药配方颗粒国家产业化示范项目证书，提供证明材料得3分。</w:t>
      </w:r>
    </w:p>
    <w:p>
      <w:pPr>
        <w:spacing w:line="36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⑦ 投标产品生产企业具有的临床课题项目，100个以上得4分；99-50个得2分； 50个以下（不含）得1分（提供相关证明材料）。</w:t>
      </w:r>
    </w:p>
    <w:p>
      <w:pPr>
        <w:spacing w:line="360" w:lineRule="exact"/>
        <w:ind w:firstLine="420" w:firstLineChars="200"/>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⑧</w:t>
      </w:r>
      <w:r>
        <w:rPr>
          <w:rFonts w:hint="eastAsia" w:asciiTheme="minorEastAsia" w:hAnsiTheme="minorEastAsia" w:eastAsiaTheme="minorEastAsia" w:cstheme="minorEastAsia"/>
          <w:color w:val="auto"/>
          <w:highlight w:val="none"/>
        </w:rPr>
        <w:t>投标人获得市级以上政府质量奖 3分。</w:t>
      </w:r>
    </w:p>
    <w:p>
      <w:pPr>
        <w:spacing w:line="360" w:lineRule="exact"/>
        <w:ind w:firstLine="527" w:firstLineChars="250"/>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 xml:space="preserve">3、技术分 </w:t>
      </w:r>
      <w:r>
        <w:rPr>
          <w:rFonts w:hint="eastAsia" w:ascii="宋体" w:hAnsi="宋体"/>
          <w:b/>
          <w:color w:val="auto"/>
          <w:szCs w:val="21"/>
          <w:highlight w:val="none"/>
        </w:rPr>
        <w:t>……………………………………………………………………</w:t>
      </w:r>
      <w:r>
        <w:rPr>
          <w:rFonts w:hint="eastAsia" w:asciiTheme="minorEastAsia" w:hAnsiTheme="minorEastAsia" w:eastAsiaTheme="minorEastAsia" w:cstheme="minorEastAsia"/>
          <w:b/>
          <w:color w:val="auto"/>
          <w:highlight w:val="none"/>
        </w:rPr>
        <w:t>50分</w:t>
      </w:r>
    </w:p>
    <w:p>
      <w:pPr>
        <w:spacing w:line="36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（1）产品生产企业拥有所投产品相关专利的数量排名，需提供相关证明材料。25个以上得5分；15-25个得3分；10-14个得2分；其余不得分。</w:t>
      </w:r>
    </w:p>
    <w:p>
      <w:pPr>
        <w:spacing w:line="36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（2）产品生产企业对中药产品的水分、</w:t>
      </w:r>
      <w:r>
        <w:rPr>
          <w:rFonts w:hint="eastAsia" w:ascii="宋体" w:hAnsi="宋体" w:cs="宋体"/>
          <w:color w:val="auto"/>
          <w:highlight w:val="none"/>
        </w:rPr>
        <w:t>二氧化硫、黄曲霉素、农药残留、</w:t>
      </w:r>
      <w:r>
        <w:rPr>
          <w:rFonts w:hint="eastAsia" w:asciiTheme="minorEastAsia" w:hAnsiTheme="minorEastAsia" w:eastAsiaTheme="minorEastAsia" w:cstheme="minorEastAsia"/>
          <w:color w:val="auto"/>
          <w:highlight w:val="none"/>
        </w:rPr>
        <w:t>总灰分、砷、铅、镉、铜进行测定，每项得1分，总分9分。</w:t>
      </w:r>
    </w:p>
    <w:p>
      <w:pPr>
        <w:spacing w:line="36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（3）根据投标人提供的服务承诺（药房设计、调配机及系统安装与维护、对调配人员定期培训并具有中药师资格证、耗材的免费提供），每项得2分，总分8分。 </w:t>
      </w:r>
    </w:p>
    <w:p>
      <w:pPr>
        <w:spacing w:line="36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（4）处方配药安全性高，系统可完整记录调配处方的信息，处方调配可全程追溯。有得3分，没有不得分。</w:t>
      </w:r>
    </w:p>
    <w:p>
      <w:pPr>
        <w:spacing w:line="36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（5）投标企业获得质量体系、环境体系、测量管理体系认证（ISO），每项2分，总分共6分。</w:t>
      </w:r>
    </w:p>
    <w:p>
      <w:pPr>
        <w:spacing w:line="36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（6）承诺一般产品36小时内配送到位，紧急用药2小时配送到位的得3分，不承诺的不得分。</w:t>
      </w:r>
    </w:p>
    <w:p>
      <w:pPr>
        <w:spacing w:line="36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（7）承诺无条件免费退换货的得3分，不承诺的不得分。</w:t>
      </w:r>
    </w:p>
    <w:p>
      <w:pPr>
        <w:spacing w:line="36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 产品包装袋便查信息，每袋产品有二维码或其他码便查信息，有得3分，没有不得分。</w:t>
      </w:r>
    </w:p>
    <w:p>
      <w:pPr>
        <w:spacing w:line="360" w:lineRule="exact"/>
        <w:ind w:firstLine="525" w:firstLineChars="25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w:t>
      </w:r>
      <w:r>
        <w:rPr>
          <w:rFonts w:hint="eastAsia"/>
          <w:color w:val="auto"/>
          <w:highlight w:val="none"/>
        </w:rPr>
        <w:t xml:space="preserve"> </w:t>
      </w:r>
      <w:r>
        <w:rPr>
          <w:rFonts w:hint="eastAsia" w:asciiTheme="minorEastAsia" w:hAnsiTheme="minorEastAsia" w:eastAsiaTheme="minorEastAsia" w:cstheme="minorEastAsia"/>
          <w:color w:val="auto"/>
          <w:highlight w:val="none"/>
        </w:rPr>
        <w:t>项目实施方案分（满分10分）</w:t>
      </w:r>
    </w:p>
    <w:p>
      <w:pPr>
        <w:spacing w:line="360" w:lineRule="exact"/>
        <w:ind w:firstLine="630" w:firstLineChars="3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一档（4分）：项目实施方案基本可行，有简单执行措施及售后服务方案；</w:t>
      </w:r>
    </w:p>
    <w:p>
      <w:pPr>
        <w:spacing w:line="360" w:lineRule="exact"/>
        <w:ind w:firstLine="630" w:firstLineChars="3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二档（6分）：项目实施方案合理可行，有较详细的执行措施及售后服务方案；</w:t>
      </w:r>
    </w:p>
    <w:p>
      <w:pPr>
        <w:spacing w:line="360" w:lineRule="exact"/>
        <w:ind w:firstLine="630" w:firstLineChars="3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三档（10分）：项目实施方案合理可行且具有先进性，执行措施详细且完善，售后服务到位且合理有效。</w:t>
      </w:r>
    </w:p>
    <w:p>
      <w:pPr>
        <w:pStyle w:val="26"/>
        <w:spacing w:line="360" w:lineRule="exact"/>
        <w:ind w:firstLine="780" w:firstLineChars="370"/>
        <w:rPr>
          <w:rFonts w:hAnsi="宋体"/>
          <w:b/>
          <w:bCs/>
          <w:color w:val="auto"/>
          <w:highlight w:val="none"/>
        </w:rPr>
      </w:pPr>
    </w:p>
    <w:p>
      <w:pPr>
        <w:pStyle w:val="26"/>
        <w:spacing w:line="360" w:lineRule="exact"/>
        <w:ind w:firstLine="780" w:firstLineChars="370"/>
        <w:rPr>
          <w:b/>
          <w:bCs/>
          <w:color w:val="auto"/>
          <w:highlight w:val="none"/>
        </w:rPr>
      </w:pPr>
      <w:r>
        <w:rPr>
          <w:rFonts w:hint="eastAsia" w:hAnsi="宋体"/>
          <w:b/>
          <w:bCs/>
          <w:color w:val="auto"/>
          <w:highlight w:val="none"/>
        </w:rPr>
        <w:t>总得分=1+2+3</w:t>
      </w:r>
    </w:p>
    <w:p>
      <w:pPr>
        <w:pStyle w:val="26"/>
        <w:spacing w:line="360" w:lineRule="exact"/>
        <w:ind w:firstLine="358" w:firstLineChars="170"/>
        <w:rPr>
          <w:b/>
          <w:bCs/>
          <w:color w:val="auto"/>
          <w:highlight w:val="none"/>
        </w:rPr>
      </w:pPr>
      <w:r>
        <w:rPr>
          <w:rFonts w:hint="eastAsia"/>
          <w:b/>
          <w:bCs/>
          <w:color w:val="auto"/>
          <w:highlight w:val="none"/>
        </w:rPr>
        <w:t>三、中标候选人推荐及确定中标原则</w:t>
      </w:r>
    </w:p>
    <w:p>
      <w:pPr>
        <w:pStyle w:val="198"/>
        <w:spacing w:line="360" w:lineRule="exact"/>
        <w:ind w:left="-134" w:firstLine="600"/>
        <w:rPr>
          <w:b/>
          <w:bCs/>
          <w:color w:val="auto"/>
          <w:highlight w:val="none"/>
        </w:rPr>
      </w:pPr>
      <w:r>
        <w:rPr>
          <w:rFonts w:hint="eastAsia"/>
          <w:b/>
          <w:bCs/>
          <w:color w:val="auto"/>
          <w:highlight w:val="none"/>
        </w:rPr>
        <w:t>（一）评标委员会根据得分由高到低排列次序（得分相同时，以投标报价由低到高顺序排列；得分相同且投标报价相同的，按技术分高低顺序排列），推荐前三名及以上的中标候选人为中标人</w:t>
      </w:r>
      <w:r>
        <w:rPr>
          <w:rFonts w:hint="eastAsia"/>
          <w:b/>
          <w:color w:val="auto"/>
          <w:highlight w:val="none"/>
        </w:rPr>
        <w:t>。</w:t>
      </w:r>
      <w:r>
        <w:rPr>
          <w:rFonts w:hint="eastAsia"/>
          <w:b/>
          <w:bCs/>
          <w:color w:val="auto"/>
          <w:highlight w:val="none"/>
        </w:rPr>
        <w:t>招标采购单位应当确定评审委员会推荐排名第一、二的中标候选人为中标人。</w:t>
      </w:r>
    </w:p>
    <w:p>
      <w:pPr>
        <w:pStyle w:val="198"/>
        <w:spacing w:line="360" w:lineRule="exact"/>
        <w:ind w:left="-134" w:firstLine="600"/>
        <w:rPr>
          <w:bCs/>
          <w:color w:val="auto"/>
          <w:highlight w:val="none"/>
        </w:rPr>
      </w:pPr>
      <w:r>
        <w:rPr>
          <w:rFonts w:hint="eastAsia"/>
          <w:bCs/>
          <w:color w:val="auto"/>
          <w:highlight w:val="none"/>
        </w:rPr>
        <w:t>（二）评标委员会认为，某投标人的有效投标报价或者某些分项报价明显不合理或者低于成本，有可能影响服务质量和不能诚信履约的，应要求其在规定的期限内提供书面文件予以解释说明，并提交相关证明材料，否则，评标委员会不推荐该投标人为中标候选人。</w:t>
      </w:r>
    </w:p>
    <w:p>
      <w:pPr>
        <w:pStyle w:val="26"/>
        <w:snapToGrid w:val="0"/>
        <w:spacing w:before="120" w:after="120"/>
        <w:jc w:val="center"/>
        <w:outlineLvl w:val="0"/>
        <w:rPr>
          <w:rFonts w:ascii="仿宋_GB2312" w:hAnsi="宋体" w:eastAsia="仿宋_GB2312"/>
          <w:b/>
          <w:color w:val="auto"/>
          <w:sz w:val="44"/>
          <w:szCs w:val="44"/>
          <w:highlight w:val="none"/>
        </w:rPr>
      </w:pPr>
    </w:p>
    <w:p>
      <w:pPr>
        <w:pStyle w:val="26"/>
        <w:snapToGrid w:val="0"/>
        <w:spacing w:before="120" w:after="120"/>
        <w:jc w:val="center"/>
        <w:outlineLvl w:val="0"/>
        <w:rPr>
          <w:rFonts w:ascii="仿宋_GB2312" w:hAnsi="宋体" w:eastAsia="仿宋_GB2312"/>
          <w:b/>
          <w:color w:val="auto"/>
          <w:sz w:val="44"/>
          <w:szCs w:val="44"/>
          <w:highlight w:val="none"/>
        </w:rPr>
      </w:pPr>
    </w:p>
    <w:p>
      <w:pPr>
        <w:pStyle w:val="26"/>
        <w:snapToGrid w:val="0"/>
        <w:spacing w:before="120" w:after="120"/>
        <w:jc w:val="center"/>
        <w:outlineLvl w:val="0"/>
        <w:rPr>
          <w:rFonts w:ascii="仿宋_GB2312" w:hAnsi="宋体" w:eastAsia="仿宋_GB2312"/>
          <w:b/>
          <w:color w:val="auto"/>
          <w:sz w:val="44"/>
          <w:szCs w:val="44"/>
          <w:highlight w:val="none"/>
        </w:rPr>
      </w:pPr>
    </w:p>
    <w:p>
      <w:pPr>
        <w:pStyle w:val="26"/>
        <w:snapToGrid w:val="0"/>
        <w:spacing w:before="120" w:after="120"/>
        <w:jc w:val="center"/>
        <w:outlineLvl w:val="0"/>
        <w:rPr>
          <w:rFonts w:ascii="仿宋_GB2312" w:hAnsi="宋体" w:eastAsia="仿宋_GB2312"/>
          <w:b/>
          <w:color w:val="auto"/>
          <w:sz w:val="44"/>
          <w:szCs w:val="44"/>
          <w:highlight w:val="none"/>
        </w:rPr>
      </w:pPr>
    </w:p>
    <w:p>
      <w:pPr>
        <w:pStyle w:val="26"/>
        <w:snapToGrid w:val="0"/>
        <w:spacing w:before="120" w:after="120"/>
        <w:jc w:val="center"/>
        <w:outlineLvl w:val="0"/>
        <w:rPr>
          <w:rFonts w:ascii="仿宋_GB2312" w:hAnsi="宋体" w:eastAsia="仿宋_GB2312"/>
          <w:b/>
          <w:color w:val="auto"/>
          <w:sz w:val="44"/>
          <w:szCs w:val="44"/>
          <w:highlight w:val="none"/>
        </w:rPr>
      </w:pPr>
    </w:p>
    <w:p>
      <w:pPr>
        <w:pStyle w:val="26"/>
        <w:snapToGrid w:val="0"/>
        <w:spacing w:before="120" w:after="120"/>
        <w:jc w:val="center"/>
        <w:outlineLvl w:val="0"/>
        <w:rPr>
          <w:rFonts w:ascii="仿宋_GB2312" w:hAnsi="宋体" w:eastAsia="仿宋_GB2312"/>
          <w:b/>
          <w:color w:val="auto"/>
          <w:sz w:val="44"/>
          <w:szCs w:val="44"/>
          <w:highlight w:val="none"/>
        </w:rPr>
      </w:pPr>
    </w:p>
    <w:p>
      <w:pPr>
        <w:pStyle w:val="26"/>
        <w:snapToGrid w:val="0"/>
        <w:spacing w:before="120" w:after="120"/>
        <w:jc w:val="center"/>
        <w:outlineLvl w:val="0"/>
        <w:rPr>
          <w:rFonts w:ascii="仿宋_GB2312" w:hAnsi="宋体" w:eastAsia="仿宋_GB2312"/>
          <w:b/>
          <w:color w:val="auto"/>
          <w:sz w:val="44"/>
          <w:szCs w:val="44"/>
          <w:highlight w:val="none"/>
        </w:rPr>
      </w:pPr>
    </w:p>
    <w:p>
      <w:pPr>
        <w:pStyle w:val="26"/>
        <w:snapToGrid w:val="0"/>
        <w:spacing w:before="120" w:after="120"/>
        <w:jc w:val="center"/>
        <w:outlineLvl w:val="0"/>
        <w:rPr>
          <w:rFonts w:ascii="仿宋_GB2312" w:hAnsi="宋体" w:eastAsia="仿宋_GB2312"/>
          <w:b/>
          <w:color w:val="auto"/>
          <w:sz w:val="44"/>
          <w:szCs w:val="44"/>
          <w:highlight w:val="none"/>
        </w:rPr>
      </w:pPr>
    </w:p>
    <w:p>
      <w:pPr>
        <w:pStyle w:val="26"/>
        <w:snapToGrid w:val="0"/>
        <w:spacing w:before="120" w:after="120"/>
        <w:jc w:val="center"/>
        <w:outlineLvl w:val="0"/>
        <w:rPr>
          <w:rFonts w:ascii="仿宋_GB2312" w:hAnsi="宋体" w:eastAsia="仿宋_GB2312"/>
          <w:b/>
          <w:color w:val="auto"/>
          <w:sz w:val="44"/>
          <w:szCs w:val="44"/>
          <w:highlight w:val="none"/>
        </w:rPr>
      </w:pPr>
    </w:p>
    <w:p>
      <w:pPr>
        <w:pStyle w:val="26"/>
        <w:snapToGrid w:val="0"/>
        <w:spacing w:before="120" w:after="120"/>
        <w:jc w:val="center"/>
        <w:outlineLvl w:val="0"/>
        <w:rPr>
          <w:rFonts w:ascii="仿宋_GB2312" w:hAnsi="宋体" w:eastAsia="仿宋_GB2312"/>
          <w:b/>
          <w:color w:val="auto"/>
          <w:sz w:val="44"/>
          <w:szCs w:val="44"/>
          <w:highlight w:val="none"/>
        </w:rPr>
      </w:pPr>
    </w:p>
    <w:p>
      <w:pPr>
        <w:pStyle w:val="26"/>
        <w:snapToGrid w:val="0"/>
        <w:spacing w:before="120" w:after="120"/>
        <w:jc w:val="center"/>
        <w:outlineLvl w:val="0"/>
        <w:rPr>
          <w:rFonts w:ascii="仿宋_GB2312" w:hAnsi="宋体" w:eastAsia="仿宋_GB2312"/>
          <w:b/>
          <w:color w:val="auto"/>
          <w:sz w:val="44"/>
          <w:szCs w:val="44"/>
          <w:highlight w:val="none"/>
        </w:rPr>
      </w:pPr>
    </w:p>
    <w:p>
      <w:pPr>
        <w:pStyle w:val="26"/>
        <w:jc w:val="center"/>
        <w:rPr>
          <w:rFonts w:ascii="黑体" w:hAnsi="宋体" w:eastAsia="黑体"/>
          <w:b/>
          <w:color w:val="auto"/>
          <w:sz w:val="44"/>
          <w:szCs w:val="44"/>
          <w:highlight w:val="none"/>
        </w:rPr>
      </w:pPr>
      <w:r>
        <w:rPr>
          <w:rFonts w:hint="eastAsia" w:ascii="仿宋_GB2312" w:hAnsi="宋体" w:eastAsia="仿宋_GB2312"/>
          <w:b/>
          <w:color w:val="auto"/>
          <w:sz w:val="44"/>
          <w:szCs w:val="44"/>
          <w:highlight w:val="none"/>
        </w:rPr>
        <w:t>第五章    政府采购合同主要条款</w:t>
      </w:r>
    </w:p>
    <w:p>
      <w:pPr>
        <w:pStyle w:val="26"/>
        <w:jc w:val="center"/>
        <w:rPr>
          <w:rFonts w:ascii="黑体" w:hAnsi="宋体" w:eastAsia="黑体"/>
          <w:b/>
          <w:color w:val="auto"/>
          <w:sz w:val="44"/>
          <w:szCs w:val="44"/>
          <w:highlight w:val="none"/>
        </w:rPr>
      </w:pPr>
    </w:p>
    <w:p>
      <w:pPr>
        <w:pStyle w:val="26"/>
        <w:jc w:val="center"/>
        <w:rPr>
          <w:rFonts w:ascii="黑体" w:hAnsi="宋体" w:eastAsia="黑体"/>
          <w:b/>
          <w:color w:val="auto"/>
          <w:sz w:val="44"/>
          <w:szCs w:val="44"/>
          <w:highlight w:val="none"/>
        </w:rPr>
      </w:pPr>
    </w:p>
    <w:p>
      <w:pPr>
        <w:pStyle w:val="26"/>
        <w:jc w:val="center"/>
        <w:rPr>
          <w:rFonts w:ascii="黑体" w:hAnsi="宋体" w:eastAsia="黑体"/>
          <w:b/>
          <w:color w:val="auto"/>
          <w:sz w:val="44"/>
          <w:szCs w:val="44"/>
          <w:highlight w:val="none"/>
        </w:rPr>
      </w:pPr>
    </w:p>
    <w:p>
      <w:pPr>
        <w:pStyle w:val="26"/>
        <w:jc w:val="center"/>
        <w:rPr>
          <w:rFonts w:ascii="黑体" w:hAnsi="宋体" w:eastAsia="黑体"/>
          <w:b/>
          <w:color w:val="auto"/>
          <w:sz w:val="44"/>
          <w:szCs w:val="44"/>
          <w:highlight w:val="none"/>
        </w:rPr>
      </w:pPr>
    </w:p>
    <w:p>
      <w:pPr>
        <w:pStyle w:val="26"/>
        <w:jc w:val="center"/>
        <w:rPr>
          <w:rFonts w:ascii="黑体" w:hAnsi="宋体" w:eastAsia="黑体"/>
          <w:b/>
          <w:color w:val="auto"/>
          <w:sz w:val="44"/>
          <w:szCs w:val="44"/>
          <w:highlight w:val="none"/>
        </w:rPr>
      </w:pPr>
    </w:p>
    <w:p>
      <w:pPr>
        <w:pStyle w:val="26"/>
        <w:jc w:val="center"/>
        <w:rPr>
          <w:rFonts w:ascii="黑体" w:hAnsi="宋体" w:eastAsia="黑体"/>
          <w:b/>
          <w:color w:val="auto"/>
          <w:sz w:val="44"/>
          <w:szCs w:val="44"/>
          <w:highlight w:val="none"/>
        </w:rPr>
      </w:pPr>
    </w:p>
    <w:p>
      <w:pPr>
        <w:pStyle w:val="26"/>
        <w:jc w:val="center"/>
        <w:rPr>
          <w:rFonts w:ascii="黑体" w:hAnsi="宋体" w:eastAsia="黑体"/>
          <w:b/>
          <w:color w:val="auto"/>
          <w:sz w:val="44"/>
          <w:szCs w:val="44"/>
          <w:highlight w:val="none"/>
        </w:rPr>
      </w:pPr>
    </w:p>
    <w:p>
      <w:pPr>
        <w:pStyle w:val="26"/>
        <w:jc w:val="center"/>
        <w:rPr>
          <w:rFonts w:hAnsi="宋体"/>
          <w:b/>
          <w:color w:val="auto"/>
          <w:sz w:val="52"/>
          <w:szCs w:val="52"/>
          <w:highlight w:val="none"/>
        </w:rPr>
      </w:pPr>
    </w:p>
    <w:p>
      <w:pPr>
        <w:pStyle w:val="26"/>
        <w:jc w:val="center"/>
        <w:rPr>
          <w:rFonts w:hAnsi="宋体"/>
          <w:b/>
          <w:color w:val="auto"/>
          <w:sz w:val="52"/>
          <w:szCs w:val="52"/>
          <w:highlight w:val="none"/>
        </w:rPr>
      </w:pPr>
    </w:p>
    <w:p>
      <w:pPr>
        <w:pStyle w:val="26"/>
        <w:jc w:val="center"/>
        <w:rPr>
          <w:rFonts w:hAnsi="宋体"/>
          <w:b/>
          <w:color w:val="auto"/>
          <w:sz w:val="52"/>
          <w:szCs w:val="52"/>
          <w:highlight w:val="none"/>
        </w:rPr>
      </w:pPr>
    </w:p>
    <w:p>
      <w:pPr>
        <w:pStyle w:val="26"/>
        <w:jc w:val="center"/>
        <w:rPr>
          <w:rFonts w:hAnsi="宋体"/>
          <w:b/>
          <w:color w:val="auto"/>
          <w:sz w:val="52"/>
          <w:szCs w:val="52"/>
          <w:highlight w:val="none"/>
        </w:rPr>
      </w:pPr>
    </w:p>
    <w:p>
      <w:pPr>
        <w:pStyle w:val="26"/>
        <w:jc w:val="center"/>
        <w:rPr>
          <w:rFonts w:hAnsi="宋体"/>
          <w:b/>
          <w:color w:val="auto"/>
          <w:sz w:val="52"/>
          <w:szCs w:val="52"/>
          <w:highlight w:val="none"/>
        </w:rPr>
      </w:pPr>
    </w:p>
    <w:p>
      <w:pPr>
        <w:pStyle w:val="26"/>
        <w:jc w:val="center"/>
        <w:rPr>
          <w:rFonts w:hAnsi="宋体"/>
          <w:b/>
          <w:color w:val="auto"/>
          <w:sz w:val="52"/>
          <w:szCs w:val="52"/>
          <w:highlight w:val="none"/>
        </w:rPr>
      </w:pPr>
      <w:r>
        <w:rPr>
          <w:rFonts w:hint="eastAsia" w:hAnsi="宋体"/>
          <w:b/>
          <w:color w:val="auto"/>
          <w:sz w:val="52"/>
          <w:szCs w:val="52"/>
          <w:highlight w:val="none"/>
        </w:rPr>
        <w:t>广西区人民医院中药配方颗粒配送服务</w:t>
      </w:r>
    </w:p>
    <w:p>
      <w:pPr>
        <w:pStyle w:val="26"/>
        <w:jc w:val="center"/>
        <w:rPr>
          <w:rFonts w:hAnsi="宋体"/>
          <w:b/>
          <w:color w:val="auto"/>
          <w:sz w:val="52"/>
          <w:szCs w:val="52"/>
          <w:highlight w:val="none"/>
        </w:rPr>
      </w:pPr>
      <w:r>
        <w:rPr>
          <w:rFonts w:hint="eastAsia" w:hAnsi="宋体"/>
          <w:b/>
          <w:color w:val="auto"/>
          <w:sz w:val="52"/>
          <w:szCs w:val="52"/>
          <w:highlight w:val="none"/>
        </w:rPr>
        <w:t>采购合同</w:t>
      </w:r>
    </w:p>
    <w:p>
      <w:pPr>
        <w:pStyle w:val="26"/>
        <w:rPr>
          <w:rFonts w:hAnsi="宋体"/>
          <w:color w:val="auto"/>
          <w:highlight w:val="none"/>
        </w:rPr>
      </w:pPr>
    </w:p>
    <w:p>
      <w:pPr>
        <w:pStyle w:val="26"/>
        <w:rPr>
          <w:rFonts w:hAnsi="宋体"/>
          <w:color w:val="auto"/>
          <w:highlight w:val="none"/>
        </w:rPr>
      </w:pPr>
    </w:p>
    <w:p>
      <w:pPr>
        <w:pStyle w:val="26"/>
        <w:rPr>
          <w:rFonts w:hAnsi="宋体"/>
          <w:color w:val="auto"/>
          <w:highlight w:val="none"/>
        </w:rPr>
      </w:pPr>
    </w:p>
    <w:p>
      <w:pPr>
        <w:pStyle w:val="26"/>
        <w:ind w:firstLine="1590" w:firstLineChars="495"/>
        <w:rPr>
          <w:rFonts w:hAnsi="宋体"/>
          <w:b/>
          <w:color w:val="auto"/>
          <w:sz w:val="32"/>
          <w:szCs w:val="32"/>
          <w:highlight w:val="none"/>
          <w:u w:val="single"/>
        </w:rPr>
      </w:pPr>
      <w:r>
        <w:rPr>
          <w:rFonts w:hint="eastAsia" w:hAnsi="宋体"/>
          <w:b/>
          <w:color w:val="auto"/>
          <w:sz w:val="32"/>
          <w:szCs w:val="32"/>
          <w:highlight w:val="none"/>
        </w:rPr>
        <w:t>合同名称：</w:t>
      </w:r>
      <w:r>
        <w:rPr>
          <w:rFonts w:hint="eastAsia" w:hAnsi="宋体"/>
          <w:b/>
          <w:color w:val="auto"/>
          <w:sz w:val="32"/>
          <w:szCs w:val="32"/>
          <w:highlight w:val="none"/>
          <w:u w:val="single"/>
        </w:rPr>
        <w:t xml:space="preserve">                            </w:t>
      </w:r>
    </w:p>
    <w:p>
      <w:pPr>
        <w:pStyle w:val="26"/>
        <w:ind w:firstLine="1590" w:firstLineChars="495"/>
        <w:rPr>
          <w:rFonts w:hAnsi="宋体"/>
          <w:b/>
          <w:color w:val="auto"/>
          <w:sz w:val="32"/>
          <w:szCs w:val="32"/>
          <w:highlight w:val="none"/>
        </w:rPr>
      </w:pPr>
    </w:p>
    <w:p>
      <w:pPr>
        <w:pStyle w:val="26"/>
        <w:ind w:firstLine="1590" w:firstLineChars="495"/>
        <w:rPr>
          <w:rFonts w:hAnsi="宋体"/>
          <w:b/>
          <w:color w:val="auto"/>
          <w:sz w:val="32"/>
          <w:szCs w:val="32"/>
          <w:highlight w:val="none"/>
          <w:u w:val="single"/>
        </w:rPr>
      </w:pPr>
      <w:r>
        <w:rPr>
          <w:rFonts w:hint="eastAsia" w:hAnsi="宋体"/>
          <w:b/>
          <w:color w:val="auto"/>
          <w:sz w:val="32"/>
          <w:szCs w:val="32"/>
          <w:highlight w:val="none"/>
        </w:rPr>
        <w:t>合同编号：</w:t>
      </w:r>
      <w:r>
        <w:rPr>
          <w:rFonts w:hint="eastAsia" w:hAnsi="宋体"/>
          <w:b/>
          <w:color w:val="auto"/>
          <w:sz w:val="32"/>
          <w:szCs w:val="32"/>
          <w:highlight w:val="none"/>
          <w:u w:val="single"/>
        </w:rPr>
        <w:t xml:space="preserve">                            </w:t>
      </w:r>
    </w:p>
    <w:p>
      <w:pPr>
        <w:pStyle w:val="26"/>
        <w:jc w:val="center"/>
        <w:rPr>
          <w:rFonts w:hAnsi="宋体"/>
          <w:color w:val="auto"/>
          <w:highlight w:val="none"/>
        </w:rPr>
      </w:pPr>
    </w:p>
    <w:p>
      <w:pPr>
        <w:pStyle w:val="26"/>
        <w:jc w:val="center"/>
        <w:rPr>
          <w:rFonts w:hAnsi="宋体"/>
          <w:color w:val="auto"/>
          <w:highlight w:val="none"/>
        </w:rPr>
      </w:pPr>
    </w:p>
    <w:p>
      <w:pPr>
        <w:pStyle w:val="26"/>
        <w:jc w:val="center"/>
        <w:rPr>
          <w:rFonts w:hAnsi="宋体"/>
          <w:color w:val="auto"/>
          <w:highlight w:val="none"/>
        </w:rPr>
      </w:pPr>
    </w:p>
    <w:p>
      <w:pPr>
        <w:pStyle w:val="26"/>
        <w:spacing w:afterLines="50" w:line="340" w:lineRule="exact"/>
        <w:ind w:firstLine="1590" w:firstLineChars="495"/>
        <w:rPr>
          <w:rFonts w:hAnsi="宋体"/>
          <w:b/>
          <w:color w:val="auto"/>
          <w:sz w:val="32"/>
          <w:szCs w:val="32"/>
          <w:highlight w:val="none"/>
          <w:u w:val="single"/>
        </w:rPr>
      </w:pPr>
      <w:r>
        <w:rPr>
          <w:rFonts w:hint="eastAsia" w:hAnsi="宋体"/>
          <w:b/>
          <w:color w:val="auto"/>
          <w:sz w:val="32"/>
          <w:szCs w:val="32"/>
          <w:highlight w:val="none"/>
        </w:rPr>
        <w:t>采购单位（甲方）</w:t>
      </w:r>
      <w:r>
        <w:rPr>
          <w:rFonts w:hint="eastAsia" w:hAnsi="宋体"/>
          <w:b/>
          <w:color w:val="auto"/>
          <w:sz w:val="32"/>
          <w:szCs w:val="32"/>
          <w:highlight w:val="none"/>
          <w:u w:val="single"/>
        </w:rPr>
        <w:t xml:space="preserve">                      </w:t>
      </w:r>
    </w:p>
    <w:p>
      <w:pPr>
        <w:pStyle w:val="26"/>
        <w:spacing w:line="340" w:lineRule="exact"/>
        <w:ind w:firstLine="1590" w:firstLineChars="495"/>
        <w:rPr>
          <w:rFonts w:hAnsi="宋体"/>
          <w:b/>
          <w:color w:val="auto"/>
          <w:sz w:val="32"/>
          <w:szCs w:val="32"/>
          <w:highlight w:val="none"/>
          <w:u w:val="single"/>
        </w:rPr>
      </w:pPr>
      <w:r>
        <w:rPr>
          <w:rFonts w:hint="eastAsia" w:hAnsi="宋体"/>
          <w:b/>
          <w:color w:val="auto"/>
          <w:sz w:val="32"/>
          <w:szCs w:val="32"/>
          <w:highlight w:val="none"/>
        </w:rPr>
        <w:t>住   所：</w:t>
      </w:r>
      <w:r>
        <w:rPr>
          <w:rFonts w:hint="eastAsia" w:hAnsi="宋体"/>
          <w:b/>
          <w:color w:val="auto"/>
          <w:sz w:val="32"/>
          <w:szCs w:val="32"/>
          <w:highlight w:val="none"/>
          <w:u w:val="single"/>
        </w:rPr>
        <w:t xml:space="preserve">                            </w:t>
      </w:r>
    </w:p>
    <w:p>
      <w:pPr>
        <w:pStyle w:val="26"/>
        <w:spacing w:line="340" w:lineRule="exact"/>
        <w:ind w:firstLine="1590" w:firstLineChars="495"/>
        <w:rPr>
          <w:rFonts w:hAnsi="宋体"/>
          <w:b/>
          <w:color w:val="auto"/>
          <w:sz w:val="32"/>
          <w:szCs w:val="32"/>
          <w:highlight w:val="none"/>
        </w:rPr>
      </w:pPr>
    </w:p>
    <w:p>
      <w:pPr>
        <w:pStyle w:val="26"/>
        <w:spacing w:line="340" w:lineRule="exact"/>
        <w:ind w:firstLine="1590" w:firstLineChars="495"/>
        <w:rPr>
          <w:rFonts w:hAnsi="宋体"/>
          <w:b/>
          <w:color w:val="auto"/>
          <w:sz w:val="32"/>
          <w:szCs w:val="32"/>
          <w:highlight w:val="none"/>
        </w:rPr>
      </w:pPr>
    </w:p>
    <w:p>
      <w:pPr>
        <w:pStyle w:val="26"/>
        <w:spacing w:afterLines="50" w:line="340" w:lineRule="exact"/>
        <w:ind w:firstLine="1590" w:firstLineChars="495"/>
        <w:rPr>
          <w:rFonts w:hAnsi="宋体"/>
          <w:b/>
          <w:color w:val="auto"/>
          <w:sz w:val="32"/>
          <w:szCs w:val="32"/>
          <w:highlight w:val="none"/>
          <w:u w:val="single"/>
        </w:rPr>
      </w:pPr>
      <w:r>
        <w:rPr>
          <w:rFonts w:hint="eastAsia" w:hAnsi="宋体"/>
          <w:b/>
          <w:color w:val="auto"/>
          <w:sz w:val="32"/>
          <w:szCs w:val="32"/>
          <w:highlight w:val="none"/>
        </w:rPr>
        <w:t>供 应 商（乙方）</w:t>
      </w:r>
      <w:r>
        <w:rPr>
          <w:rFonts w:hint="eastAsia" w:hAnsi="宋体"/>
          <w:b/>
          <w:color w:val="auto"/>
          <w:sz w:val="32"/>
          <w:szCs w:val="32"/>
          <w:highlight w:val="none"/>
          <w:u w:val="single"/>
        </w:rPr>
        <w:t xml:space="preserve">                      </w:t>
      </w:r>
    </w:p>
    <w:p>
      <w:pPr>
        <w:pStyle w:val="26"/>
        <w:spacing w:line="340" w:lineRule="exact"/>
        <w:ind w:firstLine="1590" w:firstLineChars="495"/>
        <w:rPr>
          <w:rFonts w:hAnsi="宋体"/>
          <w:b/>
          <w:color w:val="auto"/>
          <w:sz w:val="32"/>
          <w:szCs w:val="32"/>
          <w:highlight w:val="none"/>
          <w:u w:val="single"/>
        </w:rPr>
      </w:pPr>
      <w:r>
        <w:rPr>
          <w:rFonts w:hint="eastAsia" w:hAnsi="宋体"/>
          <w:b/>
          <w:color w:val="auto"/>
          <w:sz w:val="32"/>
          <w:szCs w:val="32"/>
          <w:highlight w:val="none"/>
        </w:rPr>
        <w:t>住   所：</w:t>
      </w:r>
      <w:r>
        <w:rPr>
          <w:rFonts w:hint="eastAsia" w:hAnsi="宋体"/>
          <w:b/>
          <w:color w:val="auto"/>
          <w:sz w:val="32"/>
          <w:szCs w:val="32"/>
          <w:highlight w:val="none"/>
          <w:u w:val="single"/>
        </w:rPr>
        <w:t xml:space="preserve">                            </w:t>
      </w:r>
    </w:p>
    <w:p>
      <w:pPr>
        <w:pStyle w:val="26"/>
        <w:spacing w:line="340" w:lineRule="exact"/>
        <w:ind w:firstLine="1590" w:firstLineChars="495"/>
        <w:rPr>
          <w:rFonts w:hAnsi="宋体"/>
          <w:b/>
          <w:color w:val="auto"/>
          <w:sz w:val="32"/>
          <w:szCs w:val="32"/>
          <w:highlight w:val="none"/>
        </w:rPr>
      </w:pPr>
    </w:p>
    <w:p>
      <w:pPr>
        <w:pStyle w:val="26"/>
        <w:jc w:val="center"/>
        <w:rPr>
          <w:rFonts w:hAnsi="宋体"/>
          <w:color w:val="auto"/>
          <w:highlight w:val="none"/>
        </w:rPr>
      </w:pPr>
      <w:r>
        <w:rPr>
          <w:rFonts w:hint="eastAsia" w:hAnsi="宋体"/>
          <w:color w:val="auto"/>
          <w:highlight w:val="none"/>
        </w:rPr>
        <w:t xml:space="preserve"> </w:t>
      </w:r>
    </w:p>
    <w:p>
      <w:pPr>
        <w:pStyle w:val="26"/>
        <w:jc w:val="center"/>
        <w:rPr>
          <w:rFonts w:hAnsi="宋体"/>
          <w:color w:val="auto"/>
          <w:highlight w:val="none"/>
        </w:rPr>
      </w:pPr>
    </w:p>
    <w:p>
      <w:pPr>
        <w:pStyle w:val="26"/>
        <w:ind w:firstLine="1590" w:firstLineChars="495"/>
        <w:rPr>
          <w:rFonts w:hAnsi="宋体"/>
          <w:b/>
          <w:color w:val="auto"/>
          <w:sz w:val="32"/>
          <w:szCs w:val="32"/>
          <w:highlight w:val="none"/>
          <w:u w:val="single"/>
        </w:rPr>
      </w:pPr>
      <w:r>
        <w:rPr>
          <w:rFonts w:hint="eastAsia" w:hAnsi="宋体"/>
          <w:b/>
          <w:color w:val="auto"/>
          <w:sz w:val="32"/>
          <w:szCs w:val="32"/>
          <w:highlight w:val="none"/>
        </w:rPr>
        <w:t>签订合同地点：</w:t>
      </w:r>
      <w:r>
        <w:rPr>
          <w:rFonts w:hint="eastAsia" w:hAnsi="宋体"/>
          <w:b/>
          <w:color w:val="auto"/>
          <w:sz w:val="32"/>
          <w:szCs w:val="32"/>
          <w:highlight w:val="none"/>
          <w:u w:val="single"/>
        </w:rPr>
        <w:t xml:space="preserve">                       </w:t>
      </w:r>
    </w:p>
    <w:p>
      <w:pPr>
        <w:pStyle w:val="26"/>
        <w:ind w:firstLine="1590" w:firstLineChars="495"/>
        <w:rPr>
          <w:rFonts w:hAnsi="宋体"/>
          <w:b/>
          <w:color w:val="auto"/>
          <w:sz w:val="32"/>
          <w:szCs w:val="32"/>
          <w:highlight w:val="none"/>
        </w:rPr>
      </w:pPr>
    </w:p>
    <w:p>
      <w:pPr>
        <w:pStyle w:val="26"/>
        <w:ind w:firstLine="1590" w:firstLineChars="495"/>
        <w:rPr>
          <w:rFonts w:hAnsi="宋体"/>
          <w:b/>
          <w:color w:val="auto"/>
          <w:sz w:val="32"/>
          <w:szCs w:val="32"/>
          <w:highlight w:val="none"/>
        </w:rPr>
      </w:pPr>
      <w:r>
        <w:rPr>
          <w:rFonts w:hint="eastAsia" w:hAnsi="宋体"/>
          <w:b/>
          <w:color w:val="auto"/>
          <w:sz w:val="32"/>
          <w:szCs w:val="32"/>
          <w:highlight w:val="none"/>
        </w:rPr>
        <w:t>签订合同时间：</w:t>
      </w:r>
      <w:r>
        <w:rPr>
          <w:rFonts w:hint="eastAsia" w:hAnsi="宋体"/>
          <w:b/>
          <w:color w:val="auto"/>
          <w:sz w:val="32"/>
          <w:szCs w:val="32"/>
          <w:highlight w:val="none"/>
          <w:u w:val="single"/>
        </w:rPr>
        <w:t xml:space="preserve">                       </w:t>
      </w:r>
    </w:p>
    <w:p>
      <w:pPr>
        <w:pStyle w:val="26"/>
        <w:jc w:val="center"/>
        <w:rPr>
          <w:rFonts w:hAnsi="宋体"/>
          <w:color w:val="auto"/>
          <w:highlight w:val="none"/>
        </w:rPr>
      </w:pPr>
    </w:p>
    <w:p>
      <w:pPr>
        <w:pStyle w:val="26"/>
        <w:jc w:val="center"/>
        <w:rPr>
          <w:rFonts w:hAnsi="宋体"/>
          <w:color w:val="auto"/>
          <w:highlight w:val="none"/>
        </w:rPr>
      </w:pPr>
    </w:p>
    <w:p>
      <w:pPr>
        <w:pStyle w:val="26"/>
        <w:jc w:val="center"/>
        <w:rPr>
          <w:rFonts w:hAnsi="宋体"/>
          <w:color w:val="auto"/>
          <w:highlight w:val="none"/>
        </w:rPr>
      </w:pPr>
      <w:r>
        <w:rPr>
          <w:rFonts w:hint="eastAsia" w:hAnsi="宋体"/>
          <w:color w:val="auto"/>
          <w:highlight w:val="none"/>
        </w:rPr>
        <w:t xml:space="preserve">   </w:t>
      </w:r>
    </w:p>
    <w:p>
      <w:pPr>
        <w:pStyle w:val="26"/>
        <w:jc w:val="center"/>
        <w:rPr>
          <w:rFonts w:hAnsi="宋体"/>
          <w:color w:val="auto"/>
          <w:highlight w:val="none"/>
        </w:rPr>
      </w:pPr>
    </w:p>
    <w:p>
      <w:pPr>
        <w:pStyle w:val="26"/>
        <w:spacing w:line="420" w:lineRule="exact"/>
        <w:jc w:val="left"/>
        <w:rPr>
          <w:rFonts w:hAnsi="宋体"/>
          <w:color w:val="auto"/>
          <w:highlight w:val="none"/>
        </w:rPr>
      </w:pPr>
      <w:r>
        <w:rPr>
          <w:rFonts w:hint="eastAsia" w:hAnsi="宋体"/>
          <w:color w:val="auto"/>
          <w:highlight w:val="none"/>
        </w:rPr>
        <w:t>合同使用说明：根据《中华人民共和国政府采购法》、《中华人民共和国合同法》等法律、法规规定，</w:t>
      </w:r>
    </w:p>
    <w:p>
      <w:pPr>
        <w:pStyle w:val="26"/>
        <w:spacing w:line="420" w:lineRule="exact"/>
        <w:ind w:firstLine="1470" w:firstLineChars="700"/>
        <w:jc w:val="left"/>
        <w:rPr>
          <w:rFonts w:hAnsi="宋体"/>
          <w:color w:val="auto"/>
          <w:highlight w:val="none"/>
        </w:rPr>
      </w:pPr>
      <w:r>
        <w:rPr>
          <w:rFonts w:hint="eastAsia" w:hAnsi="宋体"/>
          <w:color w:val="auto"/>
          <w:highlight w:val="none"/>
        </w:rPr>
        <w:t>按照招标文件规定条款和中标供应商投标文件及其承诺，甲乙双方签订本合同。</w:t>
      </w:r>
    </w:p>
    <w:p>
      <w:pPr>
        <w:spacing w:line="400" w:lineRule="exact"/>
        <w:ind w:left="420" w:hanging="420"/>
        <w:jc w:val="center"/>
        <w:rPr>
          <w:rFonts w:ascii="黑体" w:hAnsi="宋体" w:eastAsia="黑体"/>
          <w:b/>
          <w:color w:val="auto"/>
          <w:kern w:val="0"/>
          <w:sz w:val="32"/>
          <w:szCs w:val="32"/>
          <w:highlight w:val="none"/>
        </w:rPr>
      </w:pPr>
    </w:p>
    <w:p>
      <w:pPr>
        <w:spacing w:line="400" w:lineRule="exact"/>
        <w:ind w:left="420" w:hanging="420"/>
        <w:jc w:val="center"/>
        <w:rPr>
          <w:rFonts w:ascii="黑体" w:hAnsi="宋体" w:eastAsia="黑体"/>
          <w:b/>
          <w:color w:val="auto"/>
          <w:kern w:val="0"/>
          <w:sz w:val="32"/>
          <w:szCs w:val="32"/>
          <w:highlight w:val="none"/>
        </w:rPr>
      </w:pPr>
    </w:p>
    <w:p>
      <w:pPr>
        <w:spacing w:line="400" w:lineRule="exact"/>
        <w:ind w:left="420" w:hanging="420"/>
        <w:jc w:val="center"/>
        <w:rPr>
          <w:rFonts w:ascii="黑体" w:hAnsi="宋体" w:eastAsia="黑体"/>
          <w:b/>
          <w:color w:val="auto"/>
          <w:kern w:val="0"/>
          <w:sz w:val="32"/>
          <w:szCs w:val="32"/>
          <w:highlight w:val="none"/>
        </w:rPr>
      </w:pPr>
    </w:p>
    <w:p>
      <w:pPr>
        <w:spacing w:line="400" w:lineRule="exact"/>
        <w:ind w:left="420" w:hanging="420"/>
        <w:jc w:val="center"/>
        <w:rPr>
          <w:rFonts w:ascii="黑体" w:hAnsi="宋体" w:eastAsia="黑体"/>
          <w:b/>
          <w:color w:val="auto"/>
          <w:kern w:val="0"/>
          <w:sz w:val="32"/>
          <w:szCs w:val="32"/>
          <w:highlight w:val="none"/>
        </w:rPr>
      </w:pPr>
      <w:r>
        <w:rPr>
          <w:rFonts w:hint="eastAsia" w:ascii="黑体" w:hAnsi="宋体" w:eastAsia="黑体"/>
          <w:b/>
          <w:color w:val="auto"/>
          <w:kern w:val="0"/>
          <w:sz w:val="32"/>
          <w:szCs w:val="32"/>
          <w:highlight w:val="none"/>
        </w:rPr>
        <w:t>广西区人民医院中药配方颗粒配送服务采购合同</w:t>
      </w:r>
    </w:p>
    <w:p>
      <w:pPr>
        <w:snapToGrid w:val="0"/>
        <w:spacing w:line="400" w:lineRule="exact"/>
        <w:ind w:right="480" w:firstLine="5985" w:firstLineChars="2850"/>
        <w:rPr>
          <w:rFonts w:ascii="宋体" w:hAnsi="宋体"/>
          <w:bCs/>
          <w:color w:val="auto"/>
          <w:szCs w:val="21"/>
          <w:highlight w:val="none"/>
        </w:rPr>
      </w:pPr>
    </w:p>
    <w:p>
      <w:pPr>
        <w:snapToGrid w:val="0"/>
        <w:spacing w:line="400" w:lineRule="exact"/>
        <w:ind w:right="480" w:firstLine="5985" w:firstLineChars="2850"/>
        <w:rPr>
          <w:rFonts w:ascii="宋体" w:hAnsi="宋体"/>
          <w:bCs/>
          <w:color w:val="auto"/>
          <w:szCs w:val="21"/>
          <w:highlight w:val="none"/>
          <w:u w:val="single"/>
        </w:rPr>
      </w:pPr>
      <w:r>
        <w:rPr>
          <w:rFonts w:hint="eastAsia" w:ascii="宋体" w:hAnsi="宋体"/>
          <w:bCs/>
          <w:color w:val="auto"/>
          <w:szCs w:val="21"/>
          <w:highlight w:val="none"/>
        </w:rPr>
        <w:t>合同编号：</w:t>
      </w:r>
    </w:p>
    <w:p>
      <w:pPr>
        <w:snapToGrid w:val="0"/>
        <w:spacing w:line="340" w:lineRule="exact"/>
        <w:rPr>
          <w:rFonts w:ascii="宋体" w:hAnsi="宋体"/>
          <w:color w:val="auto"/>
          <w:szCs w:val="21"/>
          <w:highlight w:val="none"/>
          <w:u w:val="single"/>
        </w:rPr>
      </w:pPr>
      <w:r>
        <w:rPr>
          <w:rFonts w:hint="eastAsia" w:ascii="宋体" w:hAnsi="宋体"/>
          <w:color w:val="auto"/>
          <w:szCs w:val="21"/>
          <w:highlight w:val="none"/>
        </w:rPr>
        <w:t>采购单位（甲方）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采 购 计 划 号</w:t>
      </w:r>
      <w:r>
        <w:rPr>
          <w:rFonts w:hint="eastAsia" w:ascii="宋体" w:hAnsi="宋体"/>
          <w:color w:val="auto"/>
          <w:szCs w:val="21"/>
          <w:highlight w:val="none"/>
          <w:u w:val="single"/>
        </w:rPr>
        <w:t xml:space="preserve">                        </w:t>
      </w:r>
    </w:p>
    <w:p>
      <w:pPr>
        <w:snapToGrid w:val="0"/>
        <w:spacing w:line="340" w:lineRule="exact"/>
        <w:rPr>
          <w:rFonts w:ascii="宋体" w:hAnsi="宋体"/>
          <w:color w:val="auto"/>
          <w:szCs w:val="21"/>
          <w:highlight w:val="none"/>
          <w:u w:val="single"/>
        </w:rPr>
      </w:pPr>
      <w:r>
        <w:rPr>
          <w:rFonts w:hint="eastAsia" w:ascii="宋体" w:hAnsi="宋体"/>
          <w:color w:val="auto"/>
          <w:szCs w:val="21"/>
          <w:highlight w:val="none"/>
        </w:rPr>
        <w:t>供 应 商（乙方）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项目名称</w:t>
      </w:r>
      <w:r>
        <w:rPr>
          <w:rFonts w:hint="eastAsia" w:ascii="宋体" w:hAnsi="宋体"/>
          <w:color w:val="auto"/>
          <w:spacing w:val="-20"/>
          <w:szCs w:val="21"/>
          <w:highlight w:val="none"/>
        </w:rPr>
        <w:t>编号</w:t>
      </w:r>
      <w:r>
        <w:rPr>
          <w:rFonts w:hint="eastAsia" w:ascii="宋体" w:hAnsi="宋体"/>
          <w:color w:val="auto"/>
          <w:szCs w:val="21"/>
          <w:highlight w:val="none"/>
          <w:u w:val="single"/>
        </w:rPr>
        <w:t xml:space="preserve">                       </w:t>
      </w:r>
    </w:p>
    <w:p>
      <w:pPr>
        <w:snapToGrid w:val="0"/>
        <w:spacing w:line="340" w:lineRule="exact"/>
        <w:rPr>
          <w:rFonts w:ascii="宋体" w:hAnsi="宋体"/>
          <w:color w:val="auto"/>
          <w:szCs w:val="21"/>
          <w:highlight w:val="none"/>
          <w:u w:val="single"/>
        </w:rPr>
      </w:pPr>
      <w:r>
        <w:rPr>
          <w:rFonts w:hint="eastAsia" w:ascii="宋体" w:hAnsi="宋体"/>
          <w:color w:val="auto"/>
          <w:szCs w:val="21"/>
          <w:highlight w:val="none"/>
        </w:rPr>
        <w:t xml:space="preserve">签  订  地  点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 订 时 间</w:t>
      </w:r>
      <w:r>
        <w:rPr>
          <w:rFonts w:hint="eastAsia" w:ascii="宋体" w:hAnsi="宋体"/>
          <w:color w:val="auto"/>
          <w:szCs w:val="21"/>
          <w:highlight w:val="none"/>
          <w:u w:val="single"/>
        </w:rPr>
        <w:t xml:space="preserve">                       </w:t>
      </w:r>
    </w:p>
    <w:p>
      <w:pPr>
        <w:snapToGrid w:val="0"/>
        <w:spacing w:line="340" w:lineRule="exact"/>
        <w:ind w:left="-61" w:leftChars="-29" w:firstLine="514" w:firstLineChars="245"/>
        <w:rPr>
          <w:color w:val="auto"/>
          <w:highlight w:val="none"/>
        </w:rPr>
      </w:pPr>
    </w:p>
    <w:p>
      <w:pPr>
        <w:snapToGrid w:val="0"/>
        <w:spacing w:line="340" w:lineRule="exact"/>
        <w:ind w:left="-61" w:leftChars="-29" w:firstLine="514" w:firstLineChars="245"/>
        <w:rPr>
          <w:color w:val="auto"/>
          <w:highlight w:val="none"/>
        </w:rPr>
      </w:pPr>
      <w:r>
        <w:rPr>
          <w:rFonts w:hint="eastAsia"/>
          <w:color w:val="auto"/>
          <w:highlight w:val="none"/>
        </w:rPr>
        <w:t>根据《中华人民共和国政府采购法》、《中华人民共和国合同法》等法律、法规规定，按照招标文件规定条款和中标供应商投标文件及其承诺，甲乙双方签订本合同。</w:t>
      </w:r>
    </w:p>
    <w:p>
      <w:pPr>
        <w:pStyle w:val="26"/>
        <w:snapToGrid w:val="0"/>
        <w:spacing w:before="120" w:after="120" w:line="340" w:lineRule="exact"/>
        <w:ind w:firstLine="413" w:firstLineChars="196"/>
        <w:outlineLvl w:val="0"/>
        <w:rPr>
          <w:rFonts w:hAnsi="宋体"/>
          <w:b/>
          <w:color w:val="auto"/>
          <w:highlight w:val="none"/>
        </w:rPr>
      </w:pPr>
      <w:r>
        <w:rPr>
          <w:rFonts w:hint="eastAsia" w:hAnsi="宋体"/>
          <w:b/>
          <w:color w:val="auto"/>
          <w:highlight w:val="none"/>
        </w:rPr>
        <w:t>一、合同标的</w:t>
      </w:r>
    </w:p>
    <w:p>
      <w:pPr>
        <w:snapToGrid w:val="0"/>
        <w:spacing w:line="340" w:lineRule="exact"/>
        <w:ind w:firstLine="422" w:firstLineChars="200"/>
        <w:outlineLvl w:val="0"/>
        <w:rPr>
          <w:color w:val="auto"/>
          <w:highlight w:val="none"/>
        </w:rPr>
      </w:pPr>
      <w:r>
        <w:rPr>
          <w:rFonts w:hint="eastAsia" w:ascii="宋体" w:hAnsi="宋体"/>
          <w:b/>
          <w:color w:val="auto"/>
          <w:szCs w:val="21"/>
          <w:highlight w:val="none"/>
        </w:rPr>
        <w:t>1、服务名称:</w:t>
      </w:r>
      <w:r>
        <w:rPr>
          <w:rFonts w:hint="eastAsia"/>
          <w:color w:val="auto"/>
          <w:highlight w:val="none"/>
        </w:rPr>
        <w:t xml:space="preserve"> </w:t>
      </w:r>
      <w:r>
        <w:rPr>
          <w:rFonts w:hint="eastAsia"/>
          <w:color w:val="auto"/>
          <w:highlight w:val="none"/>
          <w:u w:val="single"/>
        </w:rPr>
        <w:t xml:space="preserve">                                  </w:t>
      </w:r>
    </w:p>
    <w:p>
      <w:pPr>
        <w:snapToGrid w:val="0"/>
        <w:spacing w:line="340" w:lineRule="exact"/>
        <w:ind w:firstLine="422" w:firstLineChars="200"/>
        <w:outlineLvl w:val="0"/>
        <w:rPr>
          <w:rFonts w:ascii="宋体" w:hAnsi="宋体"/>
          <w:b/>
          <w:color w:val="auto"/>
          <w:szCs w:val="21"/>
          <w:highlight w:val="none"/>
        </w:rPr>
      </w:pPr>
      <w:r>
        <w:rPr>
          <w:rFonts w:hint="eastAsia" w:ascii="宋体" w:hAnsi="宋体"/>
          <w:b/>
          <w:color w:val="auto"/>
          <w:szCs w:val="21"/>
          <w:highlight w:val="none"/>
        </w:rPr>
        <w:t>2、服务数量:</w:t>
      </w:r>
      <w:r>
        <w:rPr>
          <w:rFonts w:hint="eastAsia" w:ascii="宋体" w:hAnsi="宋体"/>
          <w:b/>
          <w:color w:val="auto"/>
          <w:szCs w:val="21"/>
          <w:highlight w:val="none"/>
          <w:u w:val="single"/>
        </w:rPr>
        <w:t xml:space="preserve">      见《招标项目采购需求》      </w:t>
      </w:r>
    </w:p>
    <w:p>
      <w:pPr>
        <w:snapToGrid w:val="0"/>
        <w:spacing w:line="340" w:lineRule="exact"/>
        <w:ind w:firstLine="422" w:firstLineChars="200"/>
        <w:outlineLvl w:val="0"/>
        <w:rPr>
          <w:rFonts w:ascii="宋体" w:hAnsi="宋体"/>
          <w:b/>
          <w:color w:val="auto"/>
          <w:szCs w:val="21"/>
          <w:highlight w:val="none"/>
          <w:u w:val="single"/>
        </w:rPr>
      </w:pPr>
      <w:r>
        <w:rPr>
          <w:rFonts w:hint="eastAsia" w:ascii="宋体" w:hAnsi="宋体"/>
          <w:b/>
          <w:color w:val="auto"/>
          <w:szCs w:val="21"/>
          <w:highlight w:val="none"/>
        </w:rPr>
        <w:t xml:space="preserve">3、服务内容: </w:t>
      </w:r>
      <w:r>
        <w:rPr>
          <w:rFonts w:hint="eastAsia" w:ascii="宋体" w:hAnsi="宋体"/>
          <w:b/>
          <w:color w:val="auto"/>
          <w:szCs w:val="21"/>
          <w:highlight w:val="none"/>
          <w:u w:val="single"/>
        </w:rPr>
        <w:t xml:space="preserve">     见《招标项目采购需求》       </w:t>
      </w:r>
    </w:p>
    <w:p>
      <w:pPr>
        <w:pStyle w:val="26"/>
        <w:snapToGrid w:val="0"/>
        <w:spacing w:before="120" w:after="120" w:line="340" w:lineRule="exact"/>
        <w:ind w:firstLine="413" w:firstLineChars="196"/>
        <w:outlineLvl w:val="0"/>
        <w:rPr>
          <w:rFonts w:hAnsi="宋体"/>
          <w:b/>
          <w:color w:val="auto"/>
          <w:highlight w:val="none"/>
        </w:rPr>
      </w:pPr>
      <w:r>
        <w:rPr>
          <w:rFonts w:hint="eastAsia" w:hAnsi="宋体"/>
          <w:b/>
          <w:color w:val="auto"/>
          <w:highlight w:val="none"/>
        </w:rPr>
        <w:t>二、合同金额</w:t>
      </w:r>
    </w:p>
    <w:p>
      <w:pPr>
        <w:snapToGrid w:val="0"/>
        <w:spacing w:line="340" w:lineRule="exact"/>
        <w:jc w:val="left"/>
        <w:rPr>
          <w:rFonts w:ascii="宋体" w:hAnsi="宋体"/>
          <w:b/>
          <w:color w:val="auto"/>
          <w:szCs w:val="21"/>
          <w:highlight w:val="none"/>
        </w:rPr>
      </w:pPr>
      <w:r>
        <w:rPr>
          <w:rFonts w:hint="eastAsia" w:ascii="宋体" w:hAnsi="宋体"/>
          <w:b/>
          <w:color w:val="auto"/>
          <w:szCs w:val="21"/>
          <w:highlight w:val="none"/>
        </w:rPr>
        <w:t xml:space="preserve">    本项目合同金额(大写)人民币</w:t>
      </w:r>
      <w:r>
        <w:rPr>
          <w:rFonts w:hint="eastAsia" w:ascii="宋体" w:hAnsi="宋体"/>
          <w:b/>
          <w:color w:val="auto"/>
          <w:szCs w:val="21"/>
          <w:highlight w:val="none"/>
          <w:u w:val="single"/>
        </w:rPr>
        <w:t xml:space="preserve">                        </w:t>
      </w:r>
      <w:r>
        <w:rPr>
          <w:rFonts w:hint="eastAsia" w:ascii="宋体" w:hAnsi="宋体"/>
          <w:b/>
          <w:color w:val="auto"/>
          <w:szCs w:val="21"/>
          <w:highlight w:val="none"/>
        </w:rPr>
        <w:t>元整</w:t>
      </w:r>
      <w:r>
        <w:rPr>
          <w:rFonts w:hint="eastAsia" w:ascii="宋体" w:hAnsi="宋体"/>
          <w:color w:val="auto"/>
          <w:szCs w:val="21"/>
          <w:highlight w:val="none"/>
        </w:rPr>
        <w:t>￥</w:t>
      </w:r>
      <w:r>
        <w:rPr>
          <w:rFonts w:hint="eastAsia" w:ascii="宋体" w:hAnsi="宋体"/>
          <w:color w:val="auto"/>
          <w:szCs w:val="21"/>
          <w:highlight w:val="none"/>
          <w:u w:val="single"/>
        </w:rPr>
        <w:t xml:space="preserve">                    元 )</w:t>
      </w:r>
      <w:r>
        <w:rPr>
          <w:rFonts w:hint="eastAsia" w:ascii="宋体" w:hAnsi="宋体"/>
          <w:color w:val="auto"/>
          <w:szCs w:val="21"/>
          <w:highlight w:val="none"/>
        </w:rPr>
        <w:t>(详见报价表)。</w:t>
      </w:r>
    </w:p>
    <w:p>
      <w:pPr>
        <w:spacing w:line="460" w:lineRule="exact"/>
        <w:ind w:firstLine="517" w:firstLineChars="245"/>
        <w:outlineLvl w:val="1"/>
        <w:rPr>
          <w:rFonts w:ascii="宋体"/>
          <w:b/>
          <w:color w:val="auto"/>
          <w:szCs w:val="21"/>
          <w:highlight w:val="none"/>
        </w:rPr>
      </w:pPr>
      <w:r>
        <w:rPr>
          <w:rFonts w:hint="eastAsia" w:ascii="宋体" w:hAnsi="宋体"/>
          <w:b/>
          <w:color w:val="auto"/>
          <w:szCs w:val="21"/>
          <w:highlight w:val="none"/>
        </w:rPr>
        <w:t>三、合同期限</w:t>
      </w:r>
    </w:p>
    <w:p>
      <w:pPr>
        <w:tabs>
          <w:tab w:val="left" w:pos="7140"/>
        </w:tabs>
        <w:snapToGrid w:val="0"/>
        <w:spacing w:line="360" w:lineRule="auto"/>
        <w:ind w:firstLine="525" w:firstLineChars="250"/>
        <w:rPr>
          <w:rFonts w:ascii="宋体" w:cs="宋体"/>
          <w:caps/>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hint="eastAsia" w:ascii="宋体" w:hAnsi="宋体"/>
          <w:color w:val="auto"/>
          <w:highlight w:val="none"/>
        </w:rPr>
        <w:t>中药配方颗粒（以下简称药品）单价按广西区人民医院中药配方颗粒换算成中药饮片后的零售价计算。</w:t>
      </w:r>
    </w:p>
    <w:p>
      <w:pPr>
        <w:spacing w:line="460" w:lineRule="exact"/>
        <w:ind w:firstLine="514" w:firstLineChars="245"/>
        <w:rPr>
          <w:rFonts w:ascii="宋体"/>
          <w:bCs/>
          <w:color w:val="auto"/>
          <w:szCs w:val="21"/>
          <w:highlight w:val="none"/>
        </w:rPr>
      </w:pPr>
      <w:r>
        <w:rPr>
          <w:rFonts w:ascii="宋体" w:hAnsi="宋体"/>
          <w:color w:val="auto"/>
          <w:szCs w:val="21"/>
          <w:highlight w:val="none"/>
        </w:rPr>
        <w:t>2</w:t>
      </w:r>
      <w:r>
        <w:rPr>
          <w:rFonts w:hint="eastAsia" w:ascii="宋体" w:hAnsi="宋体"/>
          <w:color w:val="auto"/>
          <w:szCs w:val="21"/>
          <w:highlight w:val="none"/>
        </w:rPr>
        <w:t>、服务期限为3年，即</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日至</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highlight w:val="none"/>
        </w:rPr>
        <w:t>合同期间如遇政策性原因导致合同无法履行，则合同自行终止。</w:t>
      </w:r>
    </w:p>
    <w:p>
      <w:pPr>
        <w:spacing w:line="460" w:lineRule="exact"/>
        <w:ind w:firstLine="517" w:firstLineChars="245"/>
        <w:outlineLvl w:val="1"/>
        <w:rPr>
          <w:rFonts w:ascii="宋体"/>
          <w:b/>
          <w:color w:val="auto"/>
          <w:szCs w:val="21"/>
          <w:highlight w:val="none"/>
        </w:rPr>
      </w:pPr>
      <w:r>
        <w:rPr>
          <w:rFonts w:hint="eastAsia" w:ascii="宋体" w:hAnsi="宋体"/>
          <w:b/>
          <w:color w:val="auto"/>
          <w:szCs w:val="21"/>
          <w:highlight w:val="none"/>
        </w:rPr>
        <w:t>四、产品要求</w:t>
      </w:r>
    </w:p>
    <w:p>
      <w:pPr>
        <w:pStyle w:val="26"/>
        <w:snapToGrid w:val="0"/>
        <w:spacing w:before="120" w:after="120"/>
        <w:ind w:left="418" w:leftChars="199" w:firstLine="60" w:firstLineChars="29"/>
        <w:rPr>
          <w:rFonts w:hAnsi="宋体"/>
          <w:color w:val="auto"/>
          <w:highlight w:val="none"/>
        </w:rPr>
      </w:pPr>
      <w:r>
        <w:rPr>
          <w:rFonts w:hAnsi="宋体"/>
          <w:color w:val="auto"/>
          <w:highlight w:val="none"/>
        </w:rPr>
        <w:t>1.</w:t>
      </w:r>
      <w:r>
        <w:rPr>
          <w:rFonts w:hint="eastAsia" w:hAnsi="宋体"/>
          <w:color w:val="auto"/>
          <w:highlight w:val="none"/>
        </w:rPr>
        <w:t>乙方应按符合甲方要求的药品供货，保证药品质量，不得供应假冒伪劣药品。</w:t>
      </w:r>
    </w:p>
    <w:p>
      <w:pPr>
        <w:spacing w:beforeLines="50"/>
        <w:ind w:firstLine="420" w:firstLineChars="200"/>
        <w:jc w:val="left"/>
        <w:rPr>
          <w:rFonts w:ascii="宋体" w:cs="宋体"/>
          <w:caps/>
          <w:color w:val="auto"/>
          <w:szCs w:val="21"/>
          <w:highlight w:val="none"/>
        </w:rPr>
      </w:pPr>
      <w:r>
        <w:rPr>
          <w:rFonts w:ascii="宋体" w:hAnsi="宋体" w:cs="宋体"/>
          <w:caps/>
          <w:color w:val="auto"/>
          <w:szCs w:val="21"/>
          <w:highlight w:val="none"/>
        </w:rPr>
        <w:t>2.</w:t>
      </w:r>
      <w:r>
        <w:rPr>
          <w:rFonts w:hint="eastAsia" w:ascii="宋体" w:hAnsi="宋体" w:cs="宋体"/>
          <w:caps/>
          <w:color w:val="auto"/>
          <w:szCs w:val="21"/>
          <w:highlight w:val="none"/>
        </w:rPr>
        <w:t>乙方向甲方提供全新且合格的药品及配套仪器。</w:t>
      </w:r>
    </w:p>
    <w:p>
      <w:pPr>
        <w:spacing w:beforeLines="50"/>
        <w:ind w:firstLine="422" w:firstLineChars="200"/>
        <w:jc w:val="left"/>
        <w:rPr>
          <w:rFonts w:ascii="宋体"/>
          <w:b/>
          <w:color w:val="auto"/>
          <w:szCs w:val="21"/>
          <w:highlight w:val="none"/>
        </w:rPr>
      </w:pPr>
      <w:r>
        <w:rPr>
          <w:rFonts w:hint="eastAsia" w:ascii="宋体" w:hAnsi="宋体"/>
          <w:b/>
          <w:color w:val="auto"/>
          <w:szCs w:val="21"/>
          <w:highlight w:val="none"/>
        </w:rPr>
        <w:t>五、交货期、交货方式及交货地点</w:t>
      </w:r>
    </w:p>
    <w:p>
      <w:pPr>
        <w:spacing w:line="360" w:lineRule="auto"/>
        <w:ind w:firstLine="420" w:firstLineChars="200"/>
        <w:rPr>
          <w:rFonts w:ascii="宋体"/>
          <w:color w:val="auto"/>
          <w:szCs w:val="21"/>
          <w:highlight w:val="none"/>
        </w:rPr>
      </w:pPr>
      <w:r>
        <w:rPr>
          <w:rFonts w:ascii="宋体" w:hAnsi="宋体"/>
          <w:color w:val="auto"/>
          <w:szCs w:val="21"/>
          <w:highlight w:val="none"/>
        </w:rPr>
        <w:t xml:space="preserve">1. </w:t>
      </w:r>
      <w:r>
        <w:rPr>
          <w:rFonts w:hint="eastAsia" w:ascii="宋体" w:hAnsi="宋体"/>
          <w:color w:val="auto"/>
          <w:szCs w:val="21"/>
          <w:highlight w:val="none"/>
        </w:rPr>
        <w:t>交货期：合同签订后设备在</w:t>
      </w:r>
      <w:r>
        <w:rPr>
          <w:rFonts w:ascii="宋体" w:hAnsi="宋体"/>
          <w:color w:val="auto"/>
          <w:szCs w:val="21"/>
          <w:highlight w:val="none"/>
          <w:u w:val="single"/>
        </w:rPr>
        <w:t>__</w:t>
      </w:r>
      <w:r>
        <w:rPr>
          <w:rFonts w:hint="eastAsia" w:ascii="宋体" w:hAnsi="宋体"/>
          <w:color w:val="auto"/>
          <w:szCs w:val="21"/>
          <w:highlight w:val="none"/>
          <w:u w:val="single"/>
        </w:rPr>
        <w:t xml:space="preserve">      </w:t>
      </w:r>
      <w:r>
        <w:rPr>
          <w:rFonts w:hint="eastAsia" w:ascii="宋体" w:hAnsi="宋体"/>
          <w:color w:val="auto"/>
          <w:szCs w:val="21"/>
          <w:highlight w:val="none"/>
        </w:rPr>
        <w:t>个月内到货；乙方接到甲方的采购通知后，应在</w:t>
      </w:r>
      <w:r>
        <w:rPr>
          <w:rFonts w:ascii="宋体" w:hAnsi="宋体"/>
          <w:color w:val="auto"/>
          <w:szCs w:val="21"/>
          <w:highlight w:val="none"/>
          <w:u w:val="single"/>
        </w:rPr>
        <w:t>___</w:t>
      </w:r>
      <w:r>
        <w:rPr>
          <w:rFonts w:hint="eastAsia" w:ascii="宋体" w:hAnsi="宋体"/>
          <w:color w:val="auto"/>
          <w:szCs w:val="21"/>
          <w:highlight w:val="none"/>
          <w:u w:val="single"/>
        </w:rPr>
        <w:t xml:space="preserve">  </w:t>
      </w:r>
      <w:r>
        <w:rPr>
          <w:rFonts w:hint="eastAsia" w:ascii="宋体" w:hAnsi="宋体"/>
          <w:color w:val="auto"/>
          <w:szCs w:val="21"/>
          <w:highlight w:val="none"/>
        </w:rPr>
        <w:t>个工作日内将相应药品按医院要求的数量及时送达医院指定的地点，有效期为</w:t>
      </w:r>
      <w:r>
        <w:rPr>
          <w:rFonts w:hint="eastAsia" w:ascii="宋体" w:hAnsi="宋体"/>
          <w:color w:val="auto"/>
          <w:szCs w:val="21"/>
          <w:highlight w:val="none"/>
          <w:u w:val="single"/>
        </w:rPr>
        <w:t xml:space="preserve">        </w:t>
      </w:r>
      <w:r>
        <w:rPr>
          <w:rFonts w:hint="eastAsia" w:ascii="宋体" w:hAnsi="宋体"/>
          <w:color w:val="auto"/>
          <w:szCs w:val="21"/>
          <w:highlight w:val="none"/>
        </w:rPr>
        <w:t>个月以上，</w:t>
      </w:r>
    </w:p>
    <w:p>
      <w:pPr>
        <w:spacing w:line="360" w:lineRule="auto"/>
        <w:ind w:firstLine="420" w:firstLineChars="200"/>
        <w:rPr>
          <w:rFonts w:ascii="宋体"/>
          <w:color w:val="auto"/>
          <w:szCs w:val="21"/>
          <w:highlight w:val="none"/>
        </w:rPr>
      </w:pPr>
      <w:r>
        <w:rPr>
          <w:rFonts w:ascii="宋体" w:hAnsi="宋体"/>
          <w:color w:val="auto"/>
          <w:szCs w:val="21"/>
          <w:highlight w:val="none"/>
        </w:rPr>
        <w:t xml:space="preserve">2. </w:t>
      </w:r>
      <w:r>
        <w:rPr>
          <w:rFonts w:hint="eastAsia" w:ascii="宋体" w:hAnsi="宋体"/>
          <w:color w:val="auto"/>
          <w:szCs w:val="21"/>
          <w:highlight w:val="none"/>
        </w:rPr>
        <w:t>交货方式：经甲方仓库保管员验收后入库。货物在有效期内未使用完，由乙方免费调换。</w:t>
      </w:r>
    </w:p>
    <w:p>
      <w:pPr>
        <w:spacing w:line="360" w:lineRule="auto"/>
        <w:ind w:firstLine="420" w:firstLineChars="200"/>
        <w:rPr>
          <w:rFonts w:ascii="宋体"/>
          <w:color w:val="auto"/>
          <w:szCs w:val="21"/>
          <w:highlight w:val="none"/>
        </w:rPr>
      </w:pPr>
      <w:r>
        <w:rPr>
          <w:rFonts w:ascii="宋体" w:hAnsi="宋体"/>
          <w:color w:val="auto"/>
          <w:szCs w:val="21"/>
          <w:highlight w:val="none"/>
        </w:rPr>
        <w:t xml:space="preserve">3. </w:t>
      </w:r>
      <w:r>
        <w:rPr>
          <w:rFonts w:hint="eastAsia" w:ascii="宋体" w:hAnsi="宋体"/>
          <w:color w:val="auto"/>
          <w:szCs w:val="21"/>
          <w:highlight w:val="none"/>
        </w:rPr>
        <w:t>交货地点：甲方指定地点</w:t>
      </w:r>
    </w:p>
    <w:p>
      <w:pPr>
        <w:spacing w:line="460" w:lineRule="exact"/>
        <w:ind w:firstLine="517" w:firstLineChars="245"/>
        <w:outlineLvl w:val="1"/>
        <w:rPr>
          <w:rFonts w:ascii="宋体" w:hAnsi="宋体"/>
          <w:color w:val="auto"/>
          <w:szCs w:val="21"/>
          <w:highlight w:val="none"/>
        </w:rPr>
      </w:pPr>
      <w:r>
        <w:rPr>
          <w:rFonts w:hint="eastAsia" w:ascii="宋体" w:hAnsi="宋体"/>
          <w:b/>
          <w:color w:val="auto"/>
          <w:szCs w:val="21"/>
          <w:highlight w:val="none"/>
        </w:rPr>
        <w:t>六、货款方式：</w:t>
      </w:r>
      <w:r>
        <w:rPr>
          <w:rFonts w:hint="eastAsia"/>
          <w:b/>
          <w:color w:val="auto"/>
          <w:highlight w:val="none"/>
        </w:rPr>
        <w:t>货到验收合格六个月</w:t>
      </w:r>
      <w:r>
        <w:rPr>
          <w:rFonts w:hint="eastAsia" w:ascii="宋体" w:hAnsi="宋体"/>
          <w:color w:val="auto"/>
          <w:szCs w:val="21"/>
          <w:highlight w:val="none"/>
        </w:rPr>
        <w:t>。</w:t>
      </w:r>
    </w:p>
    <w:p>
      <w:pPr>
        <w:spacing w:line="360" w:lineRule="auto"/>
        <w:ind w:firstLine="422" w:firstLineChars="200"/>
        <w:rPr>
          <w:rFonts w:ascii="宋体"/>
          <w:color w:val="auto"/>
          <w:highlight w:val="none"/>
        </w:rPr>
      </w:pPr>
      <w:r>
        <w:rPr>
          <w:rFonts w:hint="eastAsia" w:ascii="宋体" w:hAnsi="宋体" w:cs="Arial"/>
          <w:b/>
          <w:color w:val="auto"/>
          <w:szCs w:val="21"/>
          <w:highlight w:val="none"/>
          <w:shd w:val="clear" w:color="auto" w:fill="FFFFFF"/>
        </w:rPr>
        <w:t>七、履约保证金：在签订合同前，中标供应商一次性支付给采购方壹拾万元整作为履约保证金，在履约服务期（三年）满后无履约问题，一个月内无息退还。</w:t>
      </w:r>
    </w:p>
    <w:p>
      <w:pPr>
        <w:spacing w:line="460" w:lineRule="exact"/>
        <w:ind w:firstLine="517" w:firstLineChars="245"/>
        <w:outlineLvl w:val="1"/>
        <w:rPr>
          <w:rFonts w:ascii="宋体"/>
          <w:color w:val="auto"/>
          <w:szCs w:val="21"/>
          <w:highlight w:val="none"/>
        </w:rPr>
      </w:pPr>
      <w:r>
        <w:rPr>
          <w:rFonts w:hint="eastAsia" w:ascii="宋体" w:hAnsi="宋体"/>
          <w:b/>
          <w:color w:val="auto"/>
          <w:szCs w:val="21"/>
          <w:highlight w:val="none"/>
        </w:rPr>
        <w:t>八、税费：</w:t>
      </w:r>
      <w:r>
        <w:rPr>
          <w:rFonts w:hint="eastAsia" w:ascii="宋体" w:hAnsi="宋体"/>
          <w:color w:val="auto"/>
          <w:szCs w:val="21"/>
          <w:highlight w:val="none"/>
        </w:rPr>
        <w:t>本合同执行中相关的一切税费均由乙方负担。</w:t>
      </w:r>
    </w:p>
    <w:p>
      <w:pPr>
        <w:tabs>
          <w:tab w:val="left" w:pos="420"/>
        </w:tabs>
        <w:spacing w:line="360" w:lineRule="auto"/>
        <w:ind w:firstLine="422" w:firstLineChars="200"/>
        <w:rPr>
          <w:rFonts w:ascii="宋体"/>
          <w:color w:val="auto"/>
          <w:highlight w:val="none"/>
        </w:rPr>
      </w:pPr>
      <w:r>
        <w:rPr>
          <w:rFonts w:hint="eastAsia" w:ascii="宋体" w:hAnsi="宋体"/>
          <w:b/>
          <w:color w:val="auto"/>
          <w:szCs w:val="21"/>
          <w:highlight w:val="none"/>
        </w:rPr>
        <w:t>九、质量保证及售后服务（</w:t>
      </w:r>
      <w:r>
        <w:rPr>
          <w:rFonts w:hint="eastAsia" w:ascii="宋体" w:hAnsi="宋体"/>
          <w:bCs/>
          <w:color w:val="auto"/>
          <w:szCs w:val="21"/>
          <w:highlight w:val="none"/>
        </w:rPr>
        <w:t>如下有不详内容或需要更改，具体签订时再补充协议。</w:t>
      </w:r>
      <w:r>
        <w:rPr>
          <w:rFonts w:hint="eastAsia" w:ascii="宋体" w:hAnsi="宋体"/>
          <w:b/>
          <w:color w:val="auto"/>
          <w:szCs w:val="21"/>
          <w:highlight w:val="none"/>
        </w:rPr>
        <w:t>）</w:t>
      </w:r>
    </w:p>
    <w:p>
      <w:pPr>
        <w:tabs>
          <w:tab w:val="left" w:pos="420"/>
        </w:tabs>
        <w:spacing w:line="360" w:lineRule="auto"/>
        <w:ind w:firstLine="424" w:firstLineChars="202"/>
        <w:rPr>
          <w:rFonts w:ascii="宋体"/>
          <w:bCs/>
          <w:color w:val="auto"/>
          <w:szCs w:val="21"/>
          <w:highlight w:val="none"/>
        </w:rPr>
      </w:pPr>
      <w:r>
        <w:rPr>
          <w:rFonts w:ascii="宋体" w:hAnsi="宋体"/>
          <w:bCs/>
          <w:color w:val="auto"/>
          <w:szCs w:val="21"/>
          <w:highlight w:val="none"/>
        </w:rPr>
        <w:t>1</w:t>
      </w:r>
      <w:r>
        <w:rPr>
          <w:rFonts w:hint="eastAsia" w:ascii="宋体" w:hAnsi="宋体"/>
          <w:bCs/>
          <w:color w:val="auto"/>
          <w:szCs w:val="21"/>
          <w:highlight w:val="none"/>
        </w:rPr>
        <w:t>、乙方必须保证所供应的中药配方颗粒是合法、合格药品；保证所供应的中药配方颗粒到货入库的剩余有效期不少于2年，并保证有效期内的中药配方颗粒的质量。</w:t>
      </w:r>
    </w:p>
    <w:p>
      <w:pPr>
        <w:tabs>
          <w:tab w:val="left" w:pos="420"/>
        </w:tabs>
        <w:spacing w:line="360" w:lineRule="auto"/>
        <w:ind w:firstLine="424" w:firstLineChars="177"/>
        <w:rPr>
          <w:rFonts w:ascii="宋体"/>
          <w:bCs/>
          <w:iCs/>
          <w:color w:val="auto"/>
          <w:sz w:val="24"/>
          <w:highlight w:val="none"/>
        </w:rPr>
      </w:pPr>
      <w:r>
        <w:rPr>
          <w:rFonts w:ascii="宋体" w:hAnsi="宋体"/>
          <w:bCs/>
          <w:iCs/>
          <w:color w:val="auto"/>
          <w:sz w:val="24"/>
          <w:highlight w:val="none"/>
        </w:rPr>
        <w:t>2</w:t>
      </w:r>
      <w:r>
        <w:rPr>
          <w:rFonts w:hint="eastAsia" w:ascii="宋体" w:hAnsi="宋体"/>
          <w:bCs/>
          <w:iCs/>
          <w:color w:val="auto"/>
          <w:sz w:val="24"/>
          <w:highlight w:val="none"/>
        </w:rPr>
        <w:t>、</w:t>
      </w:r>
      <w:r>
        <w:rPr>
          <w:rFonts w:hint="eastAsia" w:ascii="宋体" w:hAnsi="宋体"/>
          <w:bCs/>
          <w:color w:val="auto"/>
          <w:szCs w:val="21"/>
          <w:highlight w:val="none"/>
        </w:rPr>
        <w:t>医院仅负责提供相关场地及日常水电，中标人应提供与我院使用规模相适应的、与中药配方颗粒相配套的调剂设备免费服务（包含设备的保养和维修，并保证提供最新型号设备且承诺若有升级版设备应用，半年内更新设备）与人员，即“智能中药房”。提供与目前调配颗粒剂处方工作量相适应的</w:t>
      </w:r>
      <w:r>
        <w:rPr>
          <w:rFonts w:ascii="宋体" w:hAnsi="宋体"/>
          <w:bCs/>
          <w:color w:val="auto"/>
          <w:szCs w:val="21"/>
          <w:highlight w:val="none"/>
        </w:rPr>
        <w:t>4</w:t>
      </w:r>
      <w:r>
        <w:rPr>
          <w:rFonts w:hint="eastAsia" w:ascii="宋体" w:hAnsi="宋体"/>
          <w:bCs/>
          <w:color w:val="auto"/>
          <w:szCs w:val="21"/>
          <w:highlight w:val="none"/>
        </w:rPr>
        <w:t>人（以上）的具有资质的调剂人员，并根据业务发展需要和医院要求及时增加人员，并承担所有人员费用。</w:t>
      </w:r>
    </w:p>
    <w:p>
      <w:pPr>
        <w:tabs>
          <w:tab w:val="left" w:pos="420"/>
        </w:tabs>
        <w:spacing w:line="360" w:lineRule="auto"/>
        <w:ind w:firstLine="420" w:firstLineChars="200"/>
        <w:rPr>
          <w:rFonts w:ascii="宋体"/>
          <w:bCs/>
          <w:color w:val="auto"/>
          <w:szCs w:val="21"/>
          <w:highlight w:val="none"/>
        </w:rPr>
      </w:pPr>
      <w:r>
        <w:rPr>
          <w:rFonts w:ascii="宋体" w:hAnsi="宋体"/>
          <w:bCs/>
          <w:color w:val="auto"/>
          <w:szCs w:val="21"/>
          <w:highlight w:val="none"/>
        </w:rPr>
        <w:t>3</w:t>
      </w:r>
      <w:r>
        <w:rPr>
          <w:rFonts w:hint="eastAsia" w:ascii="宋体" w:hAnsi="宋体"/>
          <w:bCs/>
          <w:color w:val="auto"/>
          <w:szCs w:val="21"/>
          <w:highlight w:val="none"/>
        </w:rPr>
        <w:t>、乙方承担与配方颗粒项目相关的信息化（含接口费等）及场地建设、装修等费用，包括后期如有中药配方颗粒药房移址搬迁或改造等。</w:t>
      </w:r>
    </w:p>
    <w:p>
      <w:pPr>
        <w:tabs>
          <w:tab w:val="left" w:pos="420"/>
        </w:tabs>
        <w:spacing w:line="360" w:lineRule="auto"/>
        <w:ind w:firstLine="420" w:firstLineChars="200"/>
        <w:rPr>
          <w:rFonts w:ascii="宋体"/>
          <w:bCs/>
          <w:color w:val="auto"/>
          <w:szCs w:val="21"/>
          <w:highlight w:val="none"/>
        </w:rPr>
      </w:pPr>
      <w:r>
        <w:rPr>
          <w:rFonts w:ascii="宋体" w:hAnsi="宋体"/>
          <w:bCs/>
          <w:color w:val="auto"/>
          <w:szCs w:val="21"/>
          <w:highlight w:val="none"/>
        </w:rPr>
        <w:t>4</w:t>
      </w:r>
      <w:r>
        <w:rPr>
          <w:rFonts w:hint="eastAsia" w:ascii="宋体" w:hAnsi="宋体"/>
          <w:bCs/>
          <w:color w:val="auto"/>
          <w:szCs w:val="21"/>
          <w:highlight w:val="none"/>
        </w:rPr>
        <w:t>、乙方合同期内配方颗粒零售价不上调，且当出现零售价下调情况，需按省内最低零售价执行。</w:t>
      </w:r>
    </w:p>
    <w:p>
      <w:pPr>
        <w:tabs>
          <w:tab w:val="left" w:pos="420"/>
        </w:tabs>
        <w:spacing w:line="360" w:lineRule="auto"/>
        <w:ind w:firstLine="420" w:firstLineChars="200"/>
        <w:rPr>
          <w:rFonts w:ascii="宋体"/>
          <w:bCs/>
          <w:color w:val="auto"/>
          <w:szCs w:val="21"/>
          <w:highlight w:val="none"/>
        </w:rPr>
      </w:pPr>
      <w:r>
        <w:rPr>
          <w:rFonts w:ascii="宋体" w:hAnsi="宋体"/>
          <w:bCs/>
          <w:color w:val="auto"/>
          <w:szCs w:val="21"/>
          <w:highlight w:val="none"/>
        </w:rPr>
        <w:t>5</w:t>
      </w:r>
      <w:r>
        <w:rPr>
          <w:rFonts w:hint="eastAsia" w:ascii="宋体" w:hAnsi="宋体"/>
          <w:bCs/>
          <w:color w:val="auto"/>
          <w:szCs w:val="21"/>
          <w:highlight w:val="none"/>
        </w:rPr>
        <w:t>、调配机在使用过程中出现问题，乙方及时到现场维修，并在</w:t>
      </w:r>
      <w:r>
        <w:rPr>
          <w:rFonts w:ascii="宋体" w:hAnsi="宋体"/>
          <w:bCs/>
          <w:color w:val="auto"/>
          <w:szCs w:val="21"/>
          <w:highlight w:val="none"/>
        </w:rPr>
        <w:t>6</w:t>
      </w:r>
      <w:r>
        <w:rPr>
          <w:rFonts w:hint="eastAsia" w:ascii="宋体" w:hAnsi="宋体"/>
          <w:bCs/>
          <w:color w:val="auto"/>
          <w:szCs w:val="21"/>
          <w:highlight w:val="none"/>
        </w:rPr>
        <w:t>小时内维护修复，</w:t>
      </w:r>
      <w:r>
        <w:rPr>
          <w:rFonts w:ascii="宋体" w:hAnsi="宋体"/>
          <w:bCs/>
          <w:color w:val="auto"/>
          <w:szCs w:val="21"/>
          <w:highlight w:val="none"/>
        </w:rPr>
        <w:t>24</w:t>
      </w:r>
      <w:r>
        <w:rPr>
          <w:rFonts w:hint="eastAsia" w:ascii="宋体" w:hAnsi="宋体"/>
          <w:bCs/>
          <w:color w:val="auto"/>
          <w:szCs w:val="21"/>
          <w:highlight w:val="none"/>
        </w:rPr>
        <w:t>小时内将药品快递送达病人指定地址，由此产生的费用由乙方承担。</w:t>
      </w:r>
    </w:p>
    <w:p>
      <w:pPr>
        <w:tabs>
          <w:tab w:val="left" w:pos="420"/>
        </w:tabs>
        <w:spacing w:line="360" w:lineRule="auto"/>
        <w:ind w:firstLine="420" w:firstLineChars="200"/>
        <w:rPr>
          <w:rFonts w:ascii="宋体"/>
          <w:bCs/>
          <w:color w:val="auto"/>
          <w:szCs w:val="21"/>
          <w:highlight w:val="none"/>
        </w:rPr>
      </w:pPr>
      <w:r>
        <w:rPr>
          <w:rFonts w:ascii="宋体" w:hAnsi="宋体"/>
          <w:bCs/>
          <w:color w:val="auto"/>
          <w:szCs w:val="21"/>
          <w:highlight w:val="none"/>
        </w:rPr>
        <w:t>6</w:t>
      </w:r>
      <w:r>
        <w:rPr>
          <w:rFonts w:hint="eastAsia" w:ascii="宋体" w:hAnsi="宋体"/>
          <w:bCs/>
          <w:color w:val="auto"/>
          <w:szCs w:val="21"/>
          <w:highlight w:val="none"/>
        </w:rPr>
        <w:t>、乙方有保证智能中药房规范运行的工作流程和保证智能中药房规范运行的管理制度，并接受医院方监管。</w:t>
      </w:r>
    </w:p>
    <w:p>
      <w:pPr>
        <w:tabs>
          <w:tab w:val="left" w:pos="420"/>
        </w:tabs>
        <w:spacing w:line="360" w:lineRule="auto"/>
        <w:ind w:firstLine="420" w:firstLineChars="200"/>
        <w:rPr>
          <w:rFonts w:ascii="宋体"/>
          <w:bCs/>
          <w:color w:val="auto"/>
          <w:szCs w:val="21"/>
          <w:highlight w:val="none"/>
        </w:rPr>
      </w:pPr>
      <w:r>
        <w:rPr>
          <w:rFonts w:ascii="宋体" w:hAnsi="宋体"/>
          <w:bCs/>
          <w:color w:val="auto"/>
          <w:szCs w:val="21"/>
          <w:highlight w:val="none"/>
        </w:rPr>
        <w:t>7</w:t>
      </w:r>
      <w:r>
        <w:rPr>
          <w:rFonts w:hint="eastAsia" w:ascii="宋体" w:hAnsi="宋体"/>
          <w:bCs/>
          <w:color w:val="auto"/>
          <w:szCs w:val="21"/>
          <w:highlight w:val="none"/>
        </w:rPr>
        <w:t>、乙方提供其经营配方颗粒基本目录，并保证此目录内的配方颗粒在采购周期内可持续供货。</w:t>
      </w:r>
    </w:p>
    <w:p>
      <w:pPr>
        <w:tabs>
          <w:tab w:val="left" w:pos="420"/>
        </w:tabs>
        <w:spacing w:line="360" w:lineRule="auto"/>
        <w:ind w:firstLine="420" w:firstLineChars="200"/>
        <w:rPr>
          <w:rFonts w:ascii="宋体" w:hAnsi="宋体"/>
          <w:bCs/>
          <w:color w:val="auto"/>
          <w:szCs w:val="21"/>
          <w:highlight w:val="none"/>
        </w:rPr>
      </w:pPr>
      <w:r>
        <w:rPr>
          <w:rFonts w:ascii="宋体" w:hAnsi="宋体"/>
          <w:bCs/>
          <w:color w:val="auto"/>
          <w:szCs w:val="21"/>
          <w:highlight w:val="none"/>
        </w:rPr>
        <w:t>8</w:t>
      </w:r>
      <w:r>
        <w:rPr>
          <w:rFonts w:hint="eastAsia" w:ascii="宋体" w:hAnsi="宋体"/>
          <w:bCs/>
          <w:color w:val="auto"/>
          <w:szCs w:val="21"/>
          <w:highlight w:val="none"/>
        </w:rPr>
        <w:t>、乙方质量合格率</w:t>
      </w:r>
      <w:r>
        <w:rPr>
          <w:rFonts w:ascii="宋体" w:hAnsi="宋体"/>
          <w:bCs/>
          <w:color w:val="auto"/>
          <w:szCs w:val="21"/>
          <w:highlight w:val="none"/>
        </w:rPr>
        <w:t>100%</w:t>
      </w:r>
      <w:r>
        <w:rPr>
          <w:rFonts w:hint="eastAsia" w:ascii="宋体" w:hAnsi="宋体"/>
          <w:bCs/>
          <w:color w:val="auto"/>
          <w:szCs w:val="21"/>
          <w:highlight w:val="none"/>
        </w:rPr>
        <w:t>；药品满足率</w:t>
      </w:r>
      <w:r>
        <w:rPr>
          <w:rFonts w:ascii="宋体" w:hAnsi="宋体"/>
          <w:bCs/>
          <w:color w:val="auto"/>
          <w:szCs w:val="21"/>
          <w:highlight w:val="none"/>
        </w:rPr>
        <w:t>100%</w:t>
      </w:r>
      <w:r>
        <w:rPr>
          <w:rFonts w:hint="eastAsia" w:ascii="宋体" w:hAnsi="宋体"/>
          <w:bCs/>
          <w:color w:val="auto"/>
          <w:szCs w:val="21"/>
          <w:highlight w:val="none"/>
        </w:rPr>
        <w:t>；缺货率＜</w:t>
      </w:r>
      <w:r>
        <w:rPr>
          <w:rFonts w:ascii="宋体" w:hAnsi="宋体"/>
          <w:bCs/>
          <w:color w:val="auto"/>
          <w:szCs w:val="21"/>
          <w:highlight w:val="none"/>
        </w:rPr>
        <w:t>1%</w:t>
      </w:r>
      <w:r>
        <w:rPr>
          <w:rFonts w:hint="eastAsia" w:ascii="宋体" w:hAnsi="宋体"/>
          <w:bCs/>
          <w:color w:val="auto"/>
          <w:szCs w:val="21"/>
          <w:highlight w:val="none"/>
        </w:rPr>
        <w:t>。</w:t>
      </w:r>
      <w:r>
        <w:rPr>
          <w:rFonts w:ascii="宋体" w:hAnsi="宋体"/>
          <w:bCs/>
          <w:color w:val="auto"/>
          <w:szCs w:val="21"/>
          <w:highlight w:val="none"/>
        </w:rPr>
        <w:t xml:space="preserve"> </w:t>
      </w:r>
    </w:p>
    <w:p>
      <w:pPr>
        <w:tabs>
          <w:tab w:val="left" w:pos="420"/>
        </w:tabs>
        <w:spacing w:line="360" w:lineRule="auto"/>
        <w:ind w:firstLine="420" w:firstLineChars="200"/>
        <w:rPr>
          <w:rFonts w:ascii="宋体"/>
          <w:bCs/>
          <w:color w:val="auto"/>
          <w:szCs w:val="21"/>
          <w:highlight w:val="none"/>
        </w:rPr>
      </w:pPr>
      <w:r>
        <w:rPr>
          <w:rFonts w:ascii="宋体" w:hAnsi="宋体"/>
          <w:bCs/>
          <w:color w:val="auto"/>
          <w:szCs w:val="21"/>
          <w:highlight w:val="none"/>
        </w:rPr>
        <w:t>9</w:t>
      </w:r>
      <w:r>
        <w:rPr>
          <w:rFonts w:hint="eastAsia" w:ascii="宋体" w:hAnsi="宋体"/>
          <w:bCs/>
          <w:color w:val="auto"/>
          <w:szCs w:val="21"/>
          <w:highlight w:val="none"/>
        </w:rPr>
        <w:t>、乙方须承担的运输、退换（距药品有效期</w:t>
      </w:r>
      <w:r>
        <w:rPr>
          <w:rFonts w:ascii="宋体" w:hAnsi="宋体"/>
          <w:bCs/>
          <w:color w:val="auto"/>
          <w:szCs w:val="21"/>
          <w:highlight w:val="none"/>
        </w:rPr>
        <w:t>6</w:t>
      </w:r>
      <w:r>
        <w:rPr>
          <w:rFonts w:hint="eastAsia" w:ascii="宋体" w:hAnsi="宋体"/>
          <w:bCs/>
          <w:color w:val="auto"/>
          <w:szCs w:val="21"/>
          <w:highlight w:val="none"/>
        </w:rPr>
        <w:t>个月的或破损的药品）等费用。</w:t>
      </w:r>
    </w:p>
    <w:p>
      <w:pPr>
        <w:tabs>
          <w:tab w:val="left" w:pos="420"/>
        </w:tabs>
        <w:spacing w:line="360" w:lineRule="auto"/>
        <w:ind w:firstLine="420" w:firstLineChars="200"/>
        <w:rPr>
          <w:rFonts w:ascii="宋体" w:hAnsi="宋体"/>
          <w:bCs/>
          <w:color w:val="auto"/>
          <w:szCs w:val="21"/>
          <w:highlight w:val="none"/>
        </w:rPr>
      </w:pPr>
      <w:r>
        <w:rPr>
          <w:rFonts w:ascii="宋体" w:hAnsi="宋体"/>
          <w:bCs/>
          <w:color w:val="auto"/>
          <w:szCs w:val="21"/>
          <w:highlight w:val="none"/>
        </w:rPr>
        <w:t>10</w:t>
      </w:r>
      <w:r>
        <w:rPr>
          <w:rFonts w:hint="eastAsia" w:ascii="宋体" w:hAnsi="宋体"/>
          <w:bCs/>
          <w:color w:val="auto"/>
          <w:szCs w:val="21"/>
          <w:highlight w:val="none"/>
        </w:rPr>
        <w:t>、乙方接受甲方的临时抽检，检验样品由双方现场包装签字，送有资质的相关部门检测，检测相关费用由乙方承担。</w:t>
      </w:r>
    </w:p>
    <w:p>
      <w:pPr>
        <w:spacing w:line="460" w:lineRule="exact"/>
        <w:ind w:firstLine="517" w:firstLineChars="245"/>
        <w:outlineLvl w:val="1"/>
        <w:rPr>
          <w:rFonts w:ascii="宋体"/>
          <w:b/>
          <w:color w:val="auto"/>
          <w:szCs w:val="21"/>
          <w:highlight w:val="none"/>
        </w:rPr>
      </w:pPr>
      <w:r>
        <w:rPr>
          <w:rFonts w:hint="eastAsia" w:ascii="宋体" w:hAnsi="宋体"/>
          <w:b/>
          <w:color w:val="auto"/>
          <w:szCs w:val="21"/>
          <w:highlight w:val="none"/>
        </w:rPr>
        <w:t>十、验收</w:t>
      </w:r>
    </w:p>
    <w:p>
      <w:pPr>
        <w:tabs>
          <w:tab w:val="left" w:pos="420"/>
        </w:tabs>
        <w:spacing w:line="360" w:lineRule="auto"/>
        <w:rPr>
          <w:rFonts w:ascii="宋体"/>
          <w:bCs/>
          <w:color w:val="auto"/>
          <w:highlight w:val="none"/>
        </w:rPr>
      </w:pPr>
      <w:r>
        <w:rPr>
          <w:rFonts w:ascii="宋体" w:hAnsi="宋体"/>
          <w:bCs/>
          <w:color w:val="auto"/>
          <w:szCs w:val="21"/>
          <w:highlight w:val="none"/>
        </w:rPr>
        <w:t xml:space="preserve">     1</w:t>
      </w:r>
      <w:r>
        <w:rPr>
          <w:rFonts w:hint="eastAsia" w:ascii="宋体" w:hAnsi="宋体"/>
          <w:bCs/>
          <w:color w:val="auto"/>
          <w:szCs w:val="21"/>
          <w:highlight w:val="none"/>
        </w:rPr>
        <w:t>、根据乙方按招标文件规定提供的实样进行验收。在使用过程中，如设备、药品有质量问题，乙方应免费更换相应的设备、药品，并承担由产品质量问题而引发的全部费用。</w:t>
      </w:r>
    </w:p>
    <w:p>
      <w:pPr>
        <w:tabs>
          <w:tab w:val="left" w:pos="1080"/>
          <w:tab w:val="left" w:pos="1140"/>
        </w:tabs>
        <w:spacing w:line="440" w:lineRule="exact"/>
        <w:rPr>
          <w:rFonts w:ascii="宋体"/>
          <w:bCs/>
          <w:color w:val="auto"/>
          <w:szCs w:val="21"/>
          <w:highlight w:val="none"/>
        </w:rPr>
      </w:pPr>
      <w:r>
        <w:rPr>
          <w:rFonts w:ascii="宋体" w:hAnsi="宋体"/>
          <w:bCs/>
          <w:color w:val="auto"/>
          <w:szCs w:val="21"/>
          <w:highlight w:val="none"/>
        </w:rPr>
        <w:t xml:space="preserve">     2</w:t>
      </w:r>
      <w:r>
        <w:rPr>
          <w:rFonts w:hint="eastAsia" w:ascii="宋体" w:hAnsi="宋体"/>
          <w:bCs/>
          <w:color w:val="auto"/>
          <w:szCs w:val="21"/>
          <w:highlight w:val="none"/>
        </w:rPr>
        <w:t>、到货药品需与采购时递交的样品标准一致，如有偏差甲方可予于拒绝。</w:t>
      </w:r>
    </w:p>
    <w:p>
      <w:pPr>
        <w:spacing w:line="460" w:lineRule="exact"/>
        <w:ind w:firstLine="517" w:firstLineChars="245"/>
        <w:outlineLvl w:val="1"/>
        <w:rPr>
          <w:rFonts w:ascii="宋体"/>
          <w:b/>
          <w:color w:val="auto"/>
          <w:szCs w:val="21"/>
          <w:highlight w:val="none"/>
        </w:rPr>
      </w:pPr>
      <w:r>
        <w:rPr>
          <w:rFonts w:hint="eastAsia" w:ascii="宋体" w:hAnsi="宋体"/>
          <w:b/>
          <w:color w:val="auto"/>
          <w:szCs w:val="21"/>
          <w:highlight w:val="none"/>
        </w:rPr>
        <w:t>十一、违约终止合同及赔偿</w:t>
      </w:r>
    </w:p>
    <w:p>
      <w:pPr>
        <w:spacing w:line="460" w:lineRule="exact"/>
        <w:ind w:firstLine="514" w:firstLineChars="245"/>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、甲方在乙方存在如下违约情况时，有权单方面终止全部或部分合同，并保留进一步追究乙方责任的权利（包括经济赔偿）。</w:t>
      </w:r>
    </w:p>
    <w:p>
      <w:pPr>
        <w:spacing w:line="460" w:lineRule="exact"/>
        <w:ind w:firstLine="514" w:firstLineChars="245"/>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）乙方未能履行合同规定的义务；</w:t>
      </w:r>
    </w:p>
    <w:p>
      <w:pPr>
        <w:spacing w:line="460" w:lineRule="exact"/>
        <w:ind w:firstLine="514" w:firstLineChars="245"/>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）有严重影响甲方的正常工作及形象的行为；</w:t>
      </w:r>
    </w:p>
    <w:p>
      <w:pPr>
        <w:spacing w:line="460" w:lineRule="exact"/>
        <w:ind w:firstLine="514" w:firstLineChars="245"/>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）与招标文件不符合的做法，或履行其投标文件的承诺。</w:t>
      </w:r>
    </w:p>
    <w:p>
      <w:pPr>
        <w:spacing w:line="460" w:lineRule="exact"/>
        <w:ind w:firstLine="514" w:firstLineChars="245"/>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、乙方如要提前终止合同，需提前</w:t>
      </w:r>
      <w:r>
        <w:rPr>
          <w:rFonts w:ascii="宋体" w:hAnsi="宋体"/>
          <w:color w:val="auto"/>
          <w:szCs w:val="21"/>
          <w:highlight w:val="none"/>
        </w:rPr>
        <w:t>3</w:t>
      </w:r>
      <w:r>
        <w:rPr>
          <w:rFonts w:hint="eastAsia" w:ascii="宋体" w:hAnsi="宋体"/>
          <w:color w:val="auto"/>
          <w:szCs w:val="21"/>
          <w:highlight w:val="none"/>
        </w:rPr>
        <w:t>个月书面通知甲方，并征得甲方同意，否则继续按本合同履行。</w:t>
      </w:r>
    </w:p>
    <w:p>
      <w:pPr>
        <w:spacing w:line="400" w:lineRule="exact"/>
        <w:ind w:firstLine="514" w:firstLineChars="245"/>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、除不可抗力外以，如发生乙方不能履行合同义务，或甲方发生中途终止合同等情况，应及时以书面形式通知对方。经双方协商可终止部分或全部合同的，双方无需承担违约责任。</w:t>
      </w:r>
    </w:p>
    <w:p>
      <w:pPr>
        <w:spacing w:line="400" w:lineRule="exact"/>
        <w:ind w:firstLine="517" w:firstLineChars="245"/>
        <w:outlineLvl w:val="1"/>
        <w:rPr>
          <w:rFonts w:ascii="宋体"/>
          <w:b/>
          <w:color w:val="auto"/>
          <w:szCs w:val="21"/>
          <w:highlight w:val="none"/>
        </w:rPr>
      </w:pPr>
      <w:r>
        <w:rPr>
          <w:rFonts w:hint="eastAsia" w:ascii="宋体" w:hAnsi="宋体"/>
          <w:b/>
          <w:color w:val="auto"/>
          <w:szCs w:val="21"/>
          <w:highlight w:val="none"/>
        </w:rPr>
        <w:t>十二、不可抗力事件处理</w:t>
      </w:r>
    </w:p>
    <w:p>
      <w:pPr>
        <w:pStyle w:val="26"/>
        <w:snapToGrid w:val="0"/>
        <w:spacing w:line="400" w:lineRule="exact"/>
        <w:ind w:firstLine="420" w:firstLineChars="200"/>
        <w:rPr>
          <w:rFonts w:hAnsi="宋体"/>
          <w:color w:val="auto"/>
          <w:highlight w:val="none"/>
        </w:rPr>
      </w:pPr>
      <w:r>
        <w:rPr>
          <w:rFonts w:hAnsi="宋体"/>
          <w:color w:val="auto"/>
          <w:highlight w:val="none"/>
        </w:rPr>
        <w:t xml:space="preserve">1. </w:t>
      </w:r>
      <w:r>
        <w:rPr>
          <w:rFonts w:hint="eastAsia" w:hAnsi="宋体"/>
          <w:color w:val="auto"/>
          <w:highlight w:val="none"/>
        </w:rPr>
        <w:t>不可抗力事件发生后，应立即通知对方，并寄送有关权威机构出具的证明。</w:t>
      </w:r>
    </w:p>
    <w:p>
      <w:pPr>
        <w:pStyle w:val="26"/>
        <w:snapToGrid w:val="0"/>
        <w:spacing w:line="400" w:lineRule="exact"/>
        <w:ind w:firstLine="420" w:firstLineChars="200"/>
        <w:rPr>
          <w:rFonts w:hAnsi="宋体"/>
          <w:color w:val="auto"/>
          <w:highlight w:val="none"/>
        </w:rPr>
      </w:pPr>
      <w:r>
        <w:rPr>
          <w:rFonts w:hAnsi="宋体"/>
          <w:color w:val="auto"/>
          <w:highlight w:val="none"/>
        </w:rPr>
        <w:t xml:space="preserve">2. </w:t>
      </w:r>
      <w:r>
        <w:rPr>
          <w:rFonts w:hint="eastAsia" w:hAnsi="宋体"/>
          <w:color w:val="auto"/>
          <w:highlight w:val="none"/>
        </w:rPr>
        <w:t>不可抗力事件延续</w:t>
      </w:r>
      <w:r>
        <w:rPr>
          <w:rFonts w:hAnsi="宋体"/>
          <w:color w:val="auto"/>
          <w:highlight w:val="none"/>
        </w:rPr>
        <w:t>120</w:t>
      </w:r>
      <w:r>
        <w:rPr>
          <w:rFonts w:hint="eastAsia" w:hAnsi="宋体"/>
          <w:color w:val="auto"/>
          <w:highlight w:val="none"/>
        </w:rPr>
        <w:t>天以上，双方应通过友好协商，确定是否继续履行合同。</w:t>
      </w:r>
    </w:p>
    <w:p>
      <w:pPr>
        <w:spacing w:line="400" w:lineRule="exact"/>
        <w:ind w:firstLine="517" w:firstLineChars="245"/>
        <w:outlineLvl w:val="1"/>
        <w:rPr>
          <w:rFonts w:ascii="宋体"/>
          <w:b/>
          <w:color w:val="auto"/>
          <w:szCs w:val="21"/>
          <w:highlight w:val="none"/>
        </w:rPr>
      </w:pPr>
      <w:r>
        <w:rPr>
          <w:rFonts w:hint="eastAsia" w:ascii="宋体" w:hAnsi="宋体"/>
          <w:b/>
          <w:color w:val="auto"/>
          <w:szCs w:val="21"/>
          <w:highlight w:val="none"/>
        </w:rPr>
        <w:t>十三、破产终止合同</w:t>
      </w:r>
    </w:p>
    <w:p>
      <w:pPr>
        <w:spacing w:line="400" w:lineRule="exact"/>
        <w:ind w:firstLine="514" w:firstLineChars="245"/>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如果乙方破产或无服务能力时，甲方可在任何时候以书面形式通知乙方终止合同。该终止合同的行为将不损害或影响甲方已经采取或将要采取的补救措施的权利。</w:t>
      </w:r>
    </w:p>
    <w:p>
      <w:pPr>
        <w:spacing w:line="400" w:lineRule="exact"/>
        <w:ind w:firstLine="517" w:firstLineChars="245"/>
        <w:outlineLvl w:val="1"/>
        <w:rPr>
          <w:rFonts w:ascii="宋体"/>
          <w:b/>
          <w:color w:val="auto"/>
          <w:szCs w:val="21"/>
          <w:highlight w:val="none"/>
        </w:rPr>
      </w:pPr>
      <w:r>
        <w:rPr>
          <w:rFonts w:hint="eastAsia" w:ascii="宋体" w:hAnsi="宋体"/>
          <w:b/>
          <w:color w:val="auto"/>
          <w:szCs w:val="21"/>
          <w:highlight w:val="none"/>
        </w:rPr>
        <w:t>十四、仲裁</w:t>
      </w:r>
    </w:p>
    <w:p>
      <w:pPr>
        <w:spacing w:line="400" w:lineRule="exact"/>
        <w:ind w:firstLine="514" w:firstLineChars="245"/>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、双方在履行合同中所发生的一切争议，应通过协商解决。如协商不成，应向甲方住所地所在的仲裁机构提交仲裁，也可直接向甲方法定地址所在人民法院起诉。</w:t>
      </w:r>
    </w:p>
    <w:p>
      <w:pPr>
        <w:spacing w:line="400" w:lineRule="exact"/>
        <w:ind w:firstLine="514" w:firstLineChars="245"/>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、在仲裁期间，除正在进行仲裁的部份外，本合同其他部份应继续执行。</w:t>
      </w:r>
    </w:p>
    <w:p>
      <w:pPr>
        <w:spacing w:line="400" w:lineRule="exact"/>
        <w:ind w:firstLine="514" w:firstLineChars="245"/>
        <w:rPr>
          <w:rFonts w:ascii="宋体"/>
          <w:bCs/>
          <w:color w:val="auto"/>
          <w:szCs w:val="21"/>
          <w:highlight w:val="none"/>
        </w:rPr>
      </w:pPr>
      <w:r>
        <w:rPr>
          <w:rFonts w:ascii="宋体" w:hAnsi="宋体"/>
          <w:bCs/>
          <w:color w:val="auto"/>
          <w:szCs w:val="21"/>
          <w:highlight w:val="none"/>
        </w:rPr>
        <w:t>3</w:t>
      </w:r>
      <w:r>
        <w:rPr>
          <w:rFonts w:hint="eastAsia" w:ascii="宋体" w:hAnsi="宋体"/>
          <w:bCs/>
          <w:color w:val="auto"/>
          <w:szCs w:val="21"/>
          <w:highlight w:val="none"/>
        </w:rPr>
        <w:t>、仲裁费用除仲裁机构另行有裁决外，由败诉方承担。</w:t>
      </w:r>
    </w:p>
    <w:p>
      <w:pPr>
        <w:spacing w:line="400" w:lineRule="exact"/>
        <w:ind w:firstLine="517" w:firstLineChars="245"/>
        <w:outlineLvl w:val="1"/>
        <w:rPr>
          <w:rFonts w:ascii="宋体"/>
          <w:b/>
          <w:color w:val="auto"/>
          <w:szCs w:val="21"/>
          <w:highlight w:val="none"/>
        </w:rPr>
      </w:pPr>
      <w:r>
        <w:rPr>
          <w:rFonts w:hint="eastAsia" w:ascii="宋体" w:hAnsi="宋体"/>
          <w:b/>
          <w:color w:val="auto"/>
          <w:szCs w:val="21"/>
          <w:highlight w:val="none"/>
        </w:rPr>
        <w:t>十五、其他约定条款</w:t>
      </w:r>
    </w:p>
    <w:p>
      <w:pPr>
        <w:tabs>
          <w:tab w:val="left" w:pos="420"/>
        </w:tabs>
        <w:spacing w:line="400" w:lineRule="exact"/>
        <w:ind w:firstLine="420" w:firstLineChars="200"/>
        <w:rPr>
          <w:rFonts w:ascii="宋体"/>
          <w:color w:val="auto"/>
          <w:highlight w:val="none"/>
        </w:rPr>
      </w:pPr>
      <w:r>
        <w:rPr>
          <w:rFonts w:ascii="宋体" w:hAnsi="宋体"/>
          <w:color w:val="auto"/>
          <w:highlight w:val="none"/>
        </w:rPr>
        <w:t>1</w:t>
      </w:r>
      <w:r>
        <w:rPr>
          <w:rFonts w:hint="eastAsia" w:ascii="宋体" w:hAnsi="宋体"/>
          <w:color w:val="auto"/>
          <w:highlight w:val="none"/>
        </w:rPr>
        <w:t>、双方在药品购销过程中严格执行《药品管理法》、《医疗机构药事管理规定》、《处方管理办法》及《中药配方颗粒管理办法》（征求意见稿）等法律法规的有关规定，诚信经营。</w:t>
      </w:r>
    </w:p>
    <w:p>
      <w:pPr>
        <w:tabs>
          <w:tab w:val="left" w:pos="420"/>
        </w:tabs>
        <w:spacing w:line="400" w:lineRule="exact"/>
        <w:ind w:firstLine="420" w:firstLineChars="200"/>
        <w:rPr>
          <w:rFonts w:ascii="宋体"/>
          <w:color w:val="auto"/>
          <w:highlight w:val="none"/>
        </w:rPr>
      </w:pPr>
      <w:r>
        <w:rPr>
          <w:rFonts w:ascii="宋体" w:hAnsi="宋体"/>
          <w:color w:val="auto"/>
          <w:highlight w:val="none"/>
        </w:rPr>
        <w:t>2</w:t>
      </w:r>
      <w:r>
        <w:rPr>
          <w:rFonts w:hint="eastAsia" w:ascii="宋体" w:hAnsi="宋体"/>
          <w:color w:val="auto"/>
          <w:highlight w:val="none"/>
        </w:rPr>
        <w:t>、乙方在保证药品质量、执行国家物价的前提下按约定的药品品种、剂型、规格、数量、价格、供货方式等供货，保证临床用药不断档。</w:t>
      </w:r>
    </w:p>
    <w:p>
      <w:pPr>
        <w:tabs>
          <w:tab w:val="left" w:pos="420"/>
        </w:tabs>
        <w:spacing w:line="400" w:lineRule="exact"/>
        <w:ind w:firstLine="420" w:firstLineChars="200"/>
        <w:rPr>
          <w:rFonts w:ascii="宋体"/>
          <w:color w:val="auto"/>
          <w:highlight w:val="none"/>
        </w:rPr>
      </w:pPr>
      <w:r>
        <w:rPr>
          <w:rFonts w:ascii="宋体" w:hAnsi="宋体"/>
          <w:color w:val="auto"/>
          <w:highlight w:val="none"/>
        </w:rPr>
        <w:t>3</w:t>
      </w:r>
      <w:r>
        <w:rPr>
          <w:rFonts w:hint="eastAsia" w:ascii="宋体" w:hAnsi="宋体"/>
          <w:color w:val="auto"/>
          <w:highlight w:val="none"/>
        </w:rPr>
        <w:t>、乙方必须产品齐全，不得以任何借口（如无货，采购量少等）不执行药品采购计划。</w:t>
      </w:r>
    </w:p>
    <w:p>
      <w:pPr>
        <w:tabs>
          <w:tab w:val="left" w:pos="420"/>
        </w:tabs>
        <w:spacing w:line="400" w:lineRule="exact"/>
        <w:ind w:firstLine="420" w:firstLineChars="200"/>
        <w:rPr>
          <w:rFonts w:ascii="宋体"/>
          <w:color w:val="auto"/>
          <w:highlight w:val="none"/>
        </w:rPr>
      </w:pPr>
      <w:r>
        <w:rPr>
          <w:rFonts w:ascii="宋体" w:hAnsi="宋体"/>
          <w:color w:val="auto"/>
          <w:highlight w:val="none"/>
        </w:rPr>
        <w:t>4</w:t>
      </w:r>
      <w:r>
        <w:rPr>
          <w:rFonts w:hint="eastAsia" w:ascii="宋体" w:hAnsi="宋体"/>
          <w:color w:val="auto"/>
          <w:highlight w:val="none"/>
        </w:rPr>
        <w:t>、甲方将根据签约承诺内容对签约方进行考核，违约将报医院监察室备案并告知供货商，两次违约将终止合同。</w:t>
      </w:r>
    </w:p>
    <w:p>
      <w:pPr>
        <w:tabs>
          <w:tab w:val="left" w:pos="420"/>
        </w:tabs>
        <w:spacing w:line="400" w:lineRule="exact"/>
        <w:ind w:firstLine="420" w:firstLineChars="200"/>
        <w:rPr>
          <w:rFonts w:ascii="宋体"/>
          <w:color w:val="auto"/>
          <w:highlight w:val="none"/>
        </w:rPr>
      </w:pPr>
      <w:r>
        <w:rPr>
          <w:rFonts w:ascii="宋体" w:hAnsi="宋体"/>
          <w:color w:val="auto"/>
          <w:highlight w:val="none"/>
        </w:rPr>
        <w:t>5</w:t>
      </w:r>
      <w:r>
        <w:rPr>
          <w:rFonts w:hint="eastAsia" w:ascii="宋体" w:hAnsi="宋体"/>
          <w:color w:val="auto"/>
          <w:highlight w:val="none"/>
        </w:rPr>
        <w:t>、乙方派驻医院方的工作人员应有国家规定的上岗资质，在无国家规定时应通过相关部门的培训考核合格。</w:t>
      </w:r>
    </w:p>
    <w:p>
      <w:pPr>
        <w:tabs>
          <w:tab w:val="left" w:pos="420"/>
        </w:tabs>
        <w:spacing w:line="400" w:lineRule="exact"/>
        <w:ind w:firstLine="420" w:firstLineChars="200"/>
        <w:rPr>
          <w:rFonts w:ascii="宋体"/>
          <w:color w:val="auto"/>
          <w:highlight w:val="none"/>
        </w:rPr>
      </w:pPr>
      <w:r>
        <w:rPr>
          <w:rFonts w:ascii="宋体" w:hAnsi="宋体"/>
          <w:color w:val="auto"/>
          <w:highlight w:val="none"/>
        </w:rPr>
        <w:t>6</w:t>
      </w:r>
      <w:r>
        <w:rPr>
          <w:rFonts w:hint="eastAsia" w:ascii="宋体" w:hAnsi="宋体"/>
          <w:color w:val="auto"/>
          <w:highlight w:val="none"/>
        </w:rPr>
        <w:t>、经法定机构确认为药品质量原因造成医疗机构损失的，其损失（包括由此造成的其它损失）一律由乙方承担。</w:t>
      </w:r>
    </w:p>
    <w:p>
      <w:pPr>
        <w:tabs>
          <w:tab w:val="left" w:pos="420"/>
        </w:tabs>
        <w:spacing w:line="400" w:lineRule="exact"/>
        <w:ind w:firstLine="420" w:firstLineChars="200"/>
        <w:rPr>
          <w:rFonts w:ascii="宋体"/>
          <w:color w:val="auto"/>
          <w:szCs w:val="21"/>
          <w:highlight w:val="none"/>
        </w:rPr>
      </w:pPr>
      <w:r>
        <w:rPr>
          <w:rFonts w:ascii="宋体" w:hAnsi="宋体"/>
          <w:color w:val="auto"/>
          <w:highlight w:val="none"/>
        </w:rPr>
        <w:t>7</w:t>
      </w:r>
      <w:r>
        <w:rPr>
          <w:rFonts w:hint="eastAsia" w:ascii="宋体" w:hAnsi="宋体"/>
          <w:color w:val="auto"/>
          <w:highlight w:val="none"/>
        </w:rPr>
        <w:t>、乙方发生一次下列情况之一，必须及时对药品进行处理；若造成甲方损失的，乙方应赔偿损失；如多次（三次或三次以上）发生的，甲方有权终止合同：</w:t>
      </w:r>
    </w:p>
    <w:p>
      <w:pPr>
        <w:numPr>
          <w:ilvl w:val="0"/>
          <w:numId w:val="2"/>
        </w:numPr>
        <w:spacing w:line="400" w:lineRule="exact"/>
        <w:ind w:firstLine="210" w:firstLineChars="100"/>
        <w:rPr>
          <w:rFonts w:ascii="宋体"/>
          <w:color w:val="auto"/>
          <w:highlight w:val="none"/>
        </w:rPr>
      </w:pPr>
      <w:r>
        <w:rPr>
          <w:rFonts w:hint="eastAsia" w:ascii="宋体" w:hAnsi="宋体"/>
          <w:color w:val="auto"/>
          <w:highlight w:val="none"/>
        </w:rPr>
        <w:t>入库验收和使用中发现药品达不到验收要求或甲方使用要求；</w:t>
      </w:r>
    </w:p>
    <w:p>
      <w:pPr>
        <w:numPr>
          <w:ilvl w:val="0"/>
          <w:numId w:val="2"/>
        </w:numPr>
        <w:spacing w:line="400" w:lineRule="exact"/>
        <w:ind w:firstLine="210" w:firstLineChars="100"/>
        <w:rPr>
          <w:rFonts w:ascii="宋体"/>
          <w:color w:val="auto"/>
          <w:szCs w:val="21"/>
          <w:highlight w:val="none"/>
        </w:rPr>
      </w:pPr>
      <w:r>
        <w:rPr>
          <w:rFonts w:hint="eastAsia" w:ascii="宋体" w:hAnsi="宋体"/>
          <w:color w:val="auto"/>
          <w:highlight w:val="none"/>
        </w:rPr>
        <w:t>不按时供货；</w:t>
      </w:r>
    </w:p>
    <w:p>
      <w:pPr>
        <w:numPr>
          <w:ilvl w:val="0"/>
          <w:numId w:val="2"/>
        </w:numPr>
        <w:spacing w:line="400" w:lineRule="exact"/>
        <w:ind w:firstLine="210" w:firstLineChars="100"/>
        <w:rPr>
          <w:rFonts w:ascii="宋体"/>
          <w:color w:val="auto"/>
          <w:szCs w:val="21"/>
          <w:highlight w:val="none"/>
        </w:rPr>
      </w:pPr>
      <w:r>
        <w:rPr>
          <w:rFonts w:hint="eastAsia" w:ascii="宋体" w:hAnsi="宋体"/>
          <w:color w:val="auto"/>
          <w:highlight w:val="none"/>
        </w:rPr>
        <w:t>在使用过程中发生不良事件或质量问题；</w:t>
      </w:r>
    </w:p>
    <w:p>
      <w:pPr>
        <w:numPr>
          <w:ilvl w:val="0"/>
          <w:numId w:val="2"/>
        </w:numPr>
        <w:spacing w:line="400" w:lineRule="exact"/>
        <w:ind w:firstLine="210" w:firstLineChars="100"/>
        <w:rPr>
          <w:rFonts w:ascii="宋体"/>
          <w:color w:val="auto"/>
          <w:highlight w:val="none"/>
        </w:rPr>
      </w:pPr>
      <w:r>
        <w:rPr>
          <w:rFonts w:hint="eastAsia" w:ascii="宋体" w:hAnsi="宋体"/>
          <w:color w:val="auto"/>
          <w:highlight w:val="none"/>
        </w:rPr>
        <w:t>交货时，货物已过保质期。</w:t>
      </w:r>
    </w:p>
    <w:p>
      <w:pPr>
        <w:spacing w:line="400" w:lineRule="exact"/>
        <w:ind w:firstLine="420" w:firstLineChars="200"/>
        <w:rPr>
          <w:rFonts w:ascii="宋体"/>
          <w:color w:val="auto"/>
          <w:highlight w:val="none"/>
        </w:rPr>
      </w:pPr>
      <w:r>
        <w:rPr>
          <w:rFonts w:ascii="宋体" w:hAnsi="宋体"/>
          <w:color w:val="auto"/>
          <w:highlight w:val="none"/>
        </w:rPr>
        <w:t>8</w:t>
      </w:r>
      <w:r>
        <w:rPr>
          <w:rFonts w:hint="eastAsia" w:ascii="宋体" w:hAnsi="宋体"/>
          <w:color w:val="auto"/>
          <w:highlight w:val="none"/>
        </w:rPr>
        <w:t>、乙方发生下列情况之一，甲方有权终止合同：</w:t>
      </w:r>
    </w:p>
    <w:p>
      <w:pPr>
        <w:numPr>
          <w:ilvl w:val="0"/>
          <w:numId w:val="3"/>
        </w:numPr>
        <w:spacing w:line="400" w:lineRule="exact"/>
        <w:ind w:left="315" w:leftChars="150" w:firstLine="105" w:firstLineChars="50"/>
        <w:rPr>
          <w:rFonts w:ascii="宋体"/>
          <w:color w:val="auto"/>
          <w:highlight w:val="none"/>
        </w:rPr>
      </w:pPr>
      <w:r>
        <w:rPr>
          <w:rFonts w:hint="eastAsia" w:ascii="宋体" w:hAnsi="宋体"/>
          <w:color w:val="auto"/>
          <w:highlight w:val="none"/>
        </w:rPr>
        <w:t>供应商的任一资质证书（含执行本合同须提供的相关证书）已过有效期的且无法提供新的资质证书；</w:t>
      </w:r>
    </w:p>
    <w:p>
      <w:pPr>
        <w:numPr>
          <w:ilvl w:val="0"/>
          <w:numId w:val="3"/>
        </w:numPr>
        <w:spacing w:line="400" w:lineRule="exact"/>
        <w:ind w:left="315" w:leftChars="150" w:firstLine="105" w:firstLineChars="50"/>
        <w:rPr>
          <w:rFonts w:ascii="宋体"/>
          <w:color w:val="auto"/>
          <w:highlight w:val="none"/>
        </w:rPr>
      </w:pPr>
      <w:r>
        <w:rPr>
          <w:rFonts w:hint="eastAsia" w:ascii="宋体" w:hAnsi="宋体"/>
          <w:color w:val="auto"/>
          <w:highlight w:val="none"/>
        </w:rPr>
        <w:t>乙方在产品经销过程中，有违法违纪行为的；</w:t>
      </w:r>
    </w:p>
    <w:p>
      <w:pPr>
        <w:numPr>
          <w:ilvl w:val="0"/>
          <w:numId w:val="3"/>
        </w:numPr>
        <w:spacing w:line="400" w:lineRule="exact"/>
        <w:ind w:left="315" w:leftChars="150" w:firstLine="105" w:firstLineChars="50"/>
        <w:rPr>
          <w:rFonts w:ascii="宋体"/>
          <w:color w:val="auto"/>
          <w:highlight w:val="none"/>
        </w:rPr>
      </w:pPr>
      <w:r>
        <w:rPr>
          <w:rFonts w:hint="eastAsia" w:ascii="宋体" w:hAnsi="宋体"/>
          <w:color w:val="auto"/>
          <w:highlight w:val="none"/>
        </w:rPr>
        <w:t>货物发生质量问题且乙方无法解决。</w:t>
      </w:r>
    </w:p>
    <w:p>
      <w:pPr>
        <w:tabs>
          <w:tab w:val="left" w:pos="420"/>
        </w:tabs>
        <w:spacing w:line="400" w:lineRule="exact"/>
        <w:ind w:firstLine="420" w:firstLineChars="200"/>
        <w:rPr>
          <w:rFonts w:ascii="宋体"/>
          <w:color w:val="auto"/>
          <w:highlight w:val="none"/>
        </w:rPr>
      </w:pPr>
      <w:r>
        <w:rPr>
          <w:rFonts w:ascii="宋体" w:hAnsi="宋体"/>
          <w:color w:val="auto"/>
          <w:szCs w:val="21"/>
          <w:highlight w:val="none"/>
        </w:rPr>
        <w:t>7</w:t>
      </w:r>
      <w:r>
        <w:rPr>
          <w:rFonts w:hint="eastAsia" w:ascii="宋体" w:hAnsi="宋体"/>
          <w:color w:val="auto"/>
          <w:szCs w:val="21"/>
          <w:highlight w:val="none"/>
        </w:rPr>
        <w:t>、特别约定：</w:t>
      </w:r>
      <w:r>
        <w:rPr>
          <w:rFonts w:hint="eastAsia" w:ascii="宋体" w:hAnsi="宋体"/>
          <w:color w:val="auto"/>
          <w:highlight w:val="none"/>
        </w:rPr>
        <w:t>合同期间如遇政策性原因导致合同无法履行，则合同自行终止，已提供的相关设备由乙方收回。</w:t>
      </w:r>
    </w:p>
    <w:p>
      <w:pPr>
        <w:spacing w:line="400" w:lineRule="exact"/>
        <w:ind w:firstLine="517" w:firstLineChars="245"/>
        <w:outlineLvl w:val="1"/>
        <w:rPr>
          <w:rFonts w:ascii="宋体"/>
          <w:b/>
          <w:color w:val="auto"/>
          <w:szCs w:val="21"/>
          <w:highlight w:val="none"/>
        </w:rPr>
      </w:pPr>
      <w:r>
        <w:rPr>
          <w:rFonts w:hint="eastAsia" w:ascii="宋体" w:hAnsi="宋体"/>
          <w:b/>
          <w:color w:val="auto"/>
          <w:szCs w:val="21"/>
          <w:highlight w:val="none"/>
        </w:rPr>
        <w:t>十六、合同生效及其他</w:t>
      </w:r>
    </w:p>
    <w:p>
      <w:pPr>
        <w:spacing w:line="400" w:lineRule="exact"/>
        <w:ind w:firstLine="514" w:firstLineChars="245"/>
        <w:rPr>
          <w:rFonts w:ascii="宋体"/>
          <w:bCs/>
          <w:color w:val="auto"/>
          <w:szCs w:val="21"/>
          <w:highlight w:val="none"/>
        </w:rPr>
      </w:pPr>
      <w:r>
        <w:rPr>
          <w:rFonts w:ascii="宋体" w:hAnsi="宋体"/>
          <w:bCs/>
          <w:color w:val="auto"/>
          <w:szCs w:val="21"/>
          <w:highlight w:val="none"/>
        </w:rPr>
        <w:t>1</w:t>
      </w:r>
      <w:r>
        <w:rPr>
          <w:rFonts w:hint="eastAsia" w:ascii="宋体" w:hAnsi="宋体"/>
          <w:bCs/>
          <w:color w:val="auto"/>
          <w:szCs w:val="21"/>
          <w:highlight w:val="none"/>
        </w:rPr>
        <w:t>、合同经双方签字并加盖公章后生效。</w:t>
      </w:r>
    </w:p>
    <w:p>
      <w:pPr>
        <w:spacing w:line="400" w:lineRule="exact"/>
        <w:ind w:firstLine="514" w:firstLineChars="245"/>
        <w:rPr>
          <w:rFonts w:ascii="宋体"/>
          <w:bCs/>
          <w:color w:val="auto"/>
          <w:szCs w:val="21"/>
          <w:highlight w:val="none"/>
        </w:rPr>
      </w:pPr>
      <w:r>
        <w:rPr>
          <w:rFonts w:ascii="宋体" w:hAnsi="宋体"/>
          <w:bCs/>
          <w:color w:val="auto"/>
          <w:szCs w:val="21"/>
          <w:highlight w:val="none"/>
        </w:rPr>
        <w:t>2</w:t>
      </w:r>
      <w:r>
        <w:rPr>
          <w:rFonts w:hint="eastAsia" w:ascii="宋体" w:hAnsi="宋体"/>
          <w:bCs/>
          <w:color w:val="auto"/>
          <w:szCs w:val="21"/>
          <w:highlight w:val="none"/>
        </w:rPr>
        <w:t>、合同签定地点：合同执行地。</w:t>
      </w:r>
    </w:p>
    <w:p>
      <w:pPr>
        <w:spacing w:line="400" w:lineRule="exact"/>
        <w:ind w:firstLine="514" w:firstLineChars="245"/>
        <w:rPr>
          <w:rFonts w:ascii="宋体"/>
          <w:bCs/>
          <w:color w:val="auto"/>
          <w:szCs w:val="21"/>
          <w:highlight w:val="none"/>
        </w:rPr>
      </w:pPr>
      <w:r>
        <w:rPr>
          <w:rFonts w:ascii="宋体" w:hAnsi="宋体"/>
          <w:bCs/>
          <w:color w:val="auto"/>
          <w:szCs w:val="21"/>
          <w:highlight w:val="none"/>
        </w:rPr>
        <w:t>3</w:t>
      </w:r>
      <w:r>
        <w:rPr>
          <w:rFonts w:hint="eastAsia" w:ascii="宋体" w:hAnsi="宋体"/>
          <w:bCs/>
          <w:color w:val="auto"/>
          <w:szCs w:val="21"/>
          <w:highlight w:val="none"/>
        </w:rPr>
        <w:t>、合同执行中，如需修改或补充合同内容，经协商，双方应签署书面修改或补充协议。该协议将作为合同不可分割的一部分。</w:t>
      </w:r>
    </w:p>
    <w:p>
      <w:pPr>
        <w:spacing w:line="400" w:lineRule="exact"/>
        <w:ind w:firstLine="517" w:firstLineChars="245"/>
        <w:outlineLvl w:val="1"/>
        <w:rPr>
          <w:rFonts w:ascii="宋体"/>
          <w:b/>
          <w:color w:val="auto"/>
          <w:szCs w:val="21"/>
          <w:highlight w:val="none"/>
        </w:rPr>
      </w:pPr>
      <w:r>
        <w:rPr>
          <w:rFonts w:hint="eastAsia" w:ascii="宋体" w:hAnsi="宋体"/>
          <w:b/>
          <w:color w:val="auto"/>
          <w:szCs w:val="21"/>
          <w:highlight w:val="none"/>
        </w:rPr>
        <w:t>十七、其它</w:t>
      </w:r>
    </w:p>
    <w:p>
      <w:pPr>
        <w:spacing w:line="400" w:lineRule="exact"/>
        <w:ind w:firstLine="514" w:firstLineChars="245"/>
        <w:rPr>
          <w:rFonts w:ascii="宋体"/>
          <w:bCs/>
          <w:color w:val="auto"/>
          <w:szCs w:val="21"/>
          <w:highlight w:val="none"/>
        </w:rPr>
      </w:pPr>
      <w:r>
        <w:rPr>
          <w:rFonts w:ascii="宋体" w:hAnsi="宋体"/>
          <w:bCs/>
          <w:color w:val="auto"/>
          <w:szCs w:val="21"/>
          <w:highlight w:val="none"/>
        </w:rPr>
        <w:t>1</w:t>
      </w:r>
      <w:r>
        <w:rPr>
          <w:rFonts w:hint="eastAsia" w:ascii="宋体" w:hAnsi="宋体"/>
          <w:bCs/>
          <w:color w:val="auto"/>
          <w:szCs w:val="21"/>
          <w:highlight w:val="none"/>
        </w:rPr>
        <w:t>、招标文件、补充文件、投标文件及答疑纪要、中标通知书等作为本合同的附件，与本合同具有同等法律效力。</w:t>
      </w:r>
    </w:p>
    <w:p>
      <w:pPr>
        <w:spacing w:line="400" w:lineRule="exact"/>
        <w:ind w:firstLine="514" w:firstLineChars="245"/>
        <w:rPr>
          <w:rFonts w:ascii="宋体"/>
          <w:b/>
          <w:color w:val="auto"/>
          <w:szCs w:val="21"/>
          <w:highlight w:val="none"/>
        </w:rPr>
      </w:pPr>
      <w:r>
        <w:rPr>
          <w:rFonts w:ascii="宋体" w:hAnsi="宋体"/>
          <w:bCs/>
          <w:color w:val="auto"/>
          <w:szCs w:val="21"/>
          <w:highlight w:val="none"/>
        </w:rPr>
        <w:t>2</w:t>
      </w:r>
      <w:r>
        <w:rPr>
          <w:rFonts w:hint="eastAsia" w:ascii="宋体" w:hAnsi="宋体"/>
          <w:bCs/>
          <w:color w:val="auto"/>
          <w:szCs w:val="21"/>
          <w:highlight w:val="none"/>
        </w:rPr>
        <w:t>、本合同一式五份，甲方执三份，乙方执一份，双方签字盖章后生效，违约及其处罚按经济合同法及本合同有关条款执行。</w:t>
      </w:r>
      <w:r>
        <w:rPr>
          <w:rFonts w:hint="eastAsia" w:ascii="宋体" w:hAnsi="宋体"/>
          <w:color w:val="auto"/>
          <w:szCs w:val="21"/>
          <w:highlight w:val="none"/>
        </w:rPr>
        <w:t>一份送招标代理公司备案</w:t>
      </w:r>
      <w:r>
        <w:rPr>
          <w:rFonts w:hint="eastAsia" w:ascii="宋体" w:hAnsi="宋体"/>
          <w:b/>
          <w:color w:val="auto"/>
          <w:szCs w:val="21"/>
          <w:highlight w:val="none"/>
        </w:rPr>
        <w:t>。</w:t>
      </w:r>
    </w:p>
    <w:p>
      <w:pPr>
        <w:tabs>
          <w:tab w:val="left" w:pos="0"/>
        </w:tabs>
        <w:spacing w:line="400" w:lineRule="exact"/>
        <w:ind w:left="420"/>
        <w:rPr>
          <w:rFonts w:ascii="宋体"/>
          <w:color w:val="auto"/>
          <w:highlight w:val="none"/>
        </w:rPr>
      </w:pPr>
      <w:r>
        <w:rPr>
          <w:rFonts w:ascii="宋体" w:hAnsi="宋体" w:cs="宋体"/>
          <w:caps/>
          <w:color w:val="auto"/>
          <w:szCs w:val="21"/>
          <w:highlight w:val="none"/>
        </w:rPr>
        <w:t>3</w:t>
      </w:r>
      <w:r>
        <w:rPr>
          <w:rFonts w:hint="eastAsia" w:ascii="宋体" w:hAnsi="宋体" w:cs="宋体"/>
          <w:caps/>
          <w:color w:val="auto"/>
          <w:szCs w:val="21"/>
          <w:highlight w:val="none"/>
        </w:rPr>
        <w:t>、具体中标药品目录见附件（共</w:t>
      </w:r>
      <w:r>
        <w:rPr>
          <w:rFonts w:ascii="宋体" w:hAnsi="宋体" w:cs="宋体"/>
          <w:caps/>
          <w:color w:val="auto"/>
          <w:szCs w:val="21"/>
          <w:highlight w:val="none"/>
        </w:rPr>
        <w:t xml:space="preserve">  </w:t>
      </w:r>
      <w:r>
        <w:rPr>
          <w:rFonts w:hint="eastAsia" w:ascii="宋体" w:hAnsi="宋体" w:cs="宋体"/>
          <w:caps/>
          <w:color w:val="auto"/>
          <w:szCs w:val="21"/>
          <w:highlight w:val="none"/>
        </w:rPr>
        <w:t>页）；</w:t>
      </w:r>
      <w:r>
        <w:rPr>
          <w:rFonts w:hint="eastAsia" w:ascii="宋体" w:hAnsi="宋体"/>
          <w:color w:val="auto"/>
          <w:highlight w:val="none"/>
        </w:rPr>
        <w:t>合同附件：与本合同相关的设备配置清单、药品价格表（共</w:t>
      </w:r>
      <w:r>
        <w:rPr>
          <w:rFonts w:ascii="宋体" w:hAnsi="宋体"/>
          <w:color w:val="auto"/>
          <w:highlight w:val="none"/>
          <w:u w:val="single"/>
        </w:rPr>
        <w:t xml:space="preserve">  </w:t>
      </w:r>
      <w:r>
        <w:rPr>
          <w:rFonts w:hint="eastAsia" w:ascii="宋体" w:hAnsi="宋体"/>
          <w:color w:val="auto"/>
          <w:highlight w:val="none"/>
        </w:rPr>
        <w:t>页）；合同附件是本合同不可分割的一部分，具有同等法律效力。</w:t>
      </w:r>
    </w:p>
    <w:p>
      <w:pPr>
        <w:spacing w:line="400" w:lineRule="exact"/>
        <w:ind w:firstLine="420" w:firstLineChars="200"/>
        <w:jc w:val="left"/>
        <w:rPr>
          <w:rFonts w:ascii="宋体" w:cs="宋体"/>
          <w:caps/>
          <w:color w:val="auto"/>
          <w:szCs w:val="21"/>
          <w:highlight w:val="none"/>
        </w:rPr>
      </w:pPr>
      <w:r>
        <w:rPr>
          <w:rFonts w:ascii="宋体" w:hAnsi="宋体" w:cs="宋体"/>
          <w:caps/>
          <w:color w:val="auto"/>
          <w:szCs w:val="21"/>
          <w:highlight w:val="none"/>
        </w:rPr>
        <w:t>4</w:t>
      </w:r>
      <w:r>
        <w:rPr>
          <w:rFonts w:hint="eastAsia" w:ascii="宋体" w:hAnsi="宋体" w:cs="宋体"/>
          <w:caps/>
          <w:color w:val="auto"/>
          <w:szCs w:val="21"/>
          <w:highlight w:val="none"/>
        </w:rPr>
        <w:t>、其它约定：未尽事宜以投标文件和承诺书为准。</w:t>
      </w:r>
    </w:p>
    <w:p>
      <w:pPr>
        <w:spacing w:line="400" w:lineRule="exact"/>
        <w:ind w:firstLine="420" w:firstLineChars="200"/>
        <w:rPr>
          <w:rFonts w:ascii="宋体"/>
          <w:bCs/>
          <w:color w:val="auto"/>
          <w:szCs w:val="21"/>
          <w:highlight w:val="none"/>
        </w:rPr>
      </w:pPr>
      <w:r>
        <w:rPr>
          <w:rFonts w:ascii="宋体" w:hAnsi="宋体"/>
          <w:bCs/>
          <w:color w:val="auto"/>
          <w:szCs w:val="21"/>
          <w:highlight w:val="none"/>
        </w:rPr>
        <w:t>5</w:t>
      </w:r>
      <w:r>
        <w:rPr>
          <w:rFonts w:hint="eastAsia" w:ascii="宋体" w:hAnsi="宋体"/>
          <w:bCs/>
          <w:color w:val="auto"/>
          <w:szCs w:val="21"/>
          <w:highlight w:val="none"/>
        </w:rPr>
        <w:t>、以上协议未尽之处，双方协商解决。</w:t>
      </w:r>
    </w:p>
    <w:p>
      <w:pPr>
        <w:spacing w:line="460" w:lineRule="exact"/>
        <w:ind w:firstLine="420" w:firstLineChars="200"/>
        <w:rPr>
          <w:rFonts w:ascii="宋体"/>
          <w:bCs/>
          <w:color w:val="auto"/>
          <w:szCs w:val="21"/>
          <w:highlight w:val="none"/>
        </w:rPr>
      </w:pPr>
    </w:p>
    <w:p>
      <w:pPr>
        <w:spacing w:line="460" w:lineRule="exact"/>
        <w:ind w:firstLine="420" w:firstLineChars="200"/>
        <w:rPr>
          <w:rFonts w:ascii="宋体" w:cs="新宋体"/>
          <w:bCs/>
          <w:color w:val="auto"/>
          <w:szCs w:val="21"/>
          <w:highlight w:val="none"/>
          <w:lang w:val="en-GB"/>
        </w:rPr>
      </w:pPr>
      <w:r>
        <w:rPr>
          <w:rFonts w:hint="eastAsia" w:ascii="宋体" w:hAnsi="宋体" w:cs="新宋体"/>
          <w:bCs/>
          <w:color w:val="auto"/>
          <w:szCs w:val="21"/>
          <w:highlight w:val="none"/>
          <w:lang w:val="en-GB"/>
        </w:rPr>
        <w:t>甲方：（盖章）</w:t>
      </w:r>
      <w:r>
        <w:rPr>
          <w:rFonts w:ascii="宋体" w:hAnsi="宋体" w:cs="新宋体"/>
          <w:bCs/>
          <w:color w:val="auto"/>
          <w:szCs w:val="21"/>
          <w:highlight w:val="none"/>
          <w:lang w:val="en-GB"/>
        </w:rPr>
        <w:t xml:space="preserve">             </w:t>
      </w:r>
      <w:r>
        <w:rPr>
          <w:rFonts w:ascii="宋体" w:hAnsi="宋体" w:cs="新宋体"/>
          <w:bCs/>
          <w:color w:val="auto"/>
          <w:szCs w:val="21"/>
          <w:highlight w:val="none"/>
        </w:rPr>
        <w:t xml:space="preserve">       </w:t>
      </w:r>
      <w:r>
        <w:rPr>
          <w:rFonts w:ascii="宋体" w:hAnsi="宋体" w:cs="新宋体"/>
          <w:bCs/>
          <w:color w:val="auto"/>
          <w:szCs w:val="21"/>
          <w:highlight w:val="none"/>
          <w:lang w:val="en-GB"/>
        </w:rPr>
        <w:t xml:space="preserve">  </w:t>
      </w:r>
      <w:r>
        <w:rPr>
          <w:rFonts w:hint="eastAsia" w:ascii="宋体" w:hAnsi="宋体" w:cs="新宋体"/>
          <w:bCs/>
          <w:color w:val="auto"/>
          <w:szCs w:val="21"/>
          <w:highlight w:val="none"/>
          <w:lang w:val="en-GB"/>
        </w:rPr>
        <w:t>乙方：（盖章）</w:t>
      </w:r>
    </w:p>
    <w:p>
      <w:pPr>
        <w:spacing w:line="460" w:lineRule="exact"/>
        <w:ind w:firstLine="420" w:firstLineChars="200"/>
        <w:rPr>
          <w:rFonts w:ascii="宋体" w:cs="新宋体"/>
          <w:bCs/>
          <w:color w:val="auto"/>
          <w:szCs w:val="21"/>
          <w:highlight w:val="none"/>
          <w:lang w:val="en-GB"/>
        </w:rPr>
      </w:pPr>
      <w:r>
        <w:rPr>
          <w:rFonts w:hint="eastAsia" w:ascii="宋体" w:hAnsi="宋体" w:cs="新宋体"/>
          <w:bCs/>
          <w:color w:val="auto"/>
          <w:szCs w:val="21"/>
          <w:highlight w:val="none"/>
          <w:lang w:val="en-GB"/>
        </w:rPr>
        <w:t>授权代表：（签字）</w:t>
      </w:r>
      <w:r>
        <w:rPr>
          <w:rFonts w:ascii="宋体" w:hAnsi="宋体" w:cs="新宋体"/>
          <w:bCs/>
          <w:color w:val="auto"/>
          <w:szCs w:val="21"/>
          <w:highlight w:val="none"/>
          <w:lang w:val="en-GB"/>
        </w:rPr>
        <w:t xml:space="preserve">                  </w:t>
      </w:r>
      <w:r>
        <w:rPr>
          <w:rFonts w:hint="eastAsia" w:ascii="宋体" w:hAnsi="宋体" w:cs="新宋体"/>
          <w:bCs/>
          <w:color w:val="auto"/>
          <w:szCs w:val="21"/>
          <w:highlight w:val="none"/>
          <w:lang w:val="en-GB"/>
        </w:rPr>
        <w:t>授权代表：（签字）</w:t>
      </w:r>
    </w:p>
    <w:p>
      <w:pPr>
        <w:spacing w:line="460" w:lineRule="exact"/>
        <w:ind w:firstLine="420" w:firstLineChars="200"/>
        <w:rPr>
          <w:rFonts w:ascii="宋体" w:cs="新宋体"/>
          <w:bCs/>
          <w:color w:val="auto"/>
          <w:szCs w:val="21"/>
          <w:highlight w:val="none"/>
          <w:lang w:val="en-GB"/>
        </w:rPr>
      </w:pPr>
      <w:r>
        <w:rPr>
          <w:rFonts w:hint="eastAsia" w:ascii="宋体" w:hAnsi="宋体" w:cs="新宋体"/>
          <w:bCs/>
          <w:color w:val="auto"/>
          <w:szCs w:val="21"/>
          <w:highlight w:val="none"/>
          <w:lang w:val="en-GB"/>
        </w:rPr>
        <w:t>地址：</w:t>
      </w:r>
      <w:r>
        <w:rPr>
          <w:rFonts w:ascii="宋体" w:hAnsi="宋体" w:cs="新宋体"/>
          <w:bCs/>
          <w:color w:val="auto"/>
          <w:szCs w:val="21"/>
          <w:highlight w:val="none"/>
          <w:lang w:val="en-GB"/>
        </w:rPr>
        <w:t xml:space="preserve">                             </w:t>
      </w:r>
      <w:r>
        <w:rPr>
          <w:rFonts w:hint="eastAsia" w:ascii="宋体" w:hAnsi="宋体" w:cs="新宋体"/>
          <w:bCs/>
          <w:color w:val="auto"/>
          <w:szCs w:val="21"/>
          <w:highlight w:val="none"/>
          <w:lang w:val="en-GB"/>
        </w:rPr>
        <w:t>地址：</w:t>
      </w:r>
    </w:p>
    <w:p>
      <w:pPr>
        <w:spacing w:line="460" w:lineRule="exact"/>
        <w:ind w:firstLine="420" w:firstLineChars="200"/>
        <w:rPr>
          <w:rFonts w:ascii="宋体" w:cs="新宋体"/>
          <w:bCs/>
          <w:color w:val="auto"/>
          <w:szCs w:val="21"/>
          <w:highlight w:val="none"/>
          <w:lang w:val="en-GB"/>
        </w:rPr>
      </w:pPr>
      <w:r>
        <w:rPr>
          <w:rFonts w:hint="eastAsia" w:ascii="宋体" w:hAnsi="宋体" w:cs="新宋体"/>
          <w:bCs/>
          <w:color w:val="auto"/>
          <w:szCs w:val="21"/>
          <w:highlight w:val="none"/>
          <w:lang w:val="en-GB"/>
        </w:rPr>
        <w:t>邮政编码：</w:t>
      </w:r>
      <w:r>
        <w:rPr>
          <w:rFonts w:ascii="宋体" w:hAnsi="宋体" w:cs="新宋体"/>
          <w:bCs/>
          <w:color w:val="auto"/>
          <w:szCs w:val="21"/>
          <w:highlight w:val="none"/>
          <w:lang w:val="en-GB"/>
        </w:rPr>
        <w:t xml:space="preserve">                         </w:t>
      </w:r>
      <w:r>
        <w:rPr>
          <w:rFonts w:hint="eastAsia" w:ascii="宋体" w:hAnsi="宋体" w:cs="新宋体"/>
          <w:bCs/>
          <w:color w:val="auto"/>
          <w:szCs w:val="21"/>
          <w:highlight w:val="none"/>
          <w:lang w:val="en-GB"/>
        </w:rPr>
        <w:t>邮政编码：</w:t>
      </w:r>
    </w:p>
    <w:p>
      <w:pPr>
        <w:spacing w:line="460" w:lineRule="exact"/>
        <w:ind w:firstLine="420" w:firstLineChars="200"/>
        <w:rPr>
          <w:rFonts w:ascii="宋体" w:cs="新宋体"/>
          <w:bCs/>
          <w:color w:val="auto"/>
          <w:szCs w:val="21"/>
          <w:highlight w:val="none"/>
          <w:lang w:val="en-GB"/>
        </w:rPr>
      </w:pPr>
      <w:r>
        <w:rPr>
          <w:rFonts w:hint="eastAsia" w:ascii="宋体" w:hAnsi="宋体" w:cs="新宋体"/>
          <w:bCs/>
          <w:color w:val="auto"/>
          <w:szCs w:val="21"/>
          <w:highlight w:val="none"/>
          <w:lang w:val="en-GB"/>
        </w:rPr>
        <w:t>电话：</w:t>
      </w:r>
      <w:r>
        <w:rPr>
          <w:rFonts w:ascii="宋体" w:hAnsi="宋体" w:cs="新宋体"/>
          <w:bCs/>
          <w:color w:val="auto"/>
          <w:szCs w:val="21"/>
          <w:highlight w:val="none"/>
          <w:lang w:val="en-GB"/>
        </w:rPr>
        <w:t xml:space="preserve">                             </w:t>
      </w:r>
      <w:r>
        <w:rPr>
          <w:rFonts w:hint="eastAsia" w:ascii="宋体" w:hAnsi="宋体" w:cs="新宋体"/>
          <w:bCs/>
          <w:color w:val="auto"/>
          <w:szCs w:val="21"/>
          <w:highlight w:val="none"/>
          <w:lang w:val="en-GB"/>
        </w:rPr>
        <w:t>电话：</w:t>
      </w:r>
    </w:p>
    <w:p>
      <w:pPr>
        <w:spacing w:line="460" w:lineRule="exact"/>
        <w:ind w:firstLine="420" w:firstLineChars="200"/>
        <w:rPr>
          <w:rFonts w:ascii="宋体" w:cs="新宋体"/>
          <w:bCs/>
          <w:color w:val="auto"/>
          <w:szCs w:val="21"/>
          <w:highlight w:val="none"/>
          <w:lang w:val="en-GB"/>
        </w:rPr>
      </w:pPr>
      <w:r>
        <w:rPr>
          <w:rFonts w:hint="eastAsia" w:ascii="宋体" w:hAnsi="宋体" w:cs="新宋体"/>
          <w:bCs/>
          <w:color w:val="auto"/>
          <w:szCs w:val="21"/>
          <w:highlight w:val="none"/>
          <w:lang w:val="en-GB"/>
        </w:rPr>
        <w:t>传真：</w:t>
      </w:r>
      <w:r>
        <w:rPr>
          <w:rFonts w:ascii="宋体" w:hAnsi="宋体" w:cs="新宋体"/>
          <w:bCs/>
          <w:color w:val="auto"/>
          <w:szCs w:val="21"/>
          <w:highlight w:val="none"/>
          <w:lang w:val="en-GB"/>
        </w:rPr>
        <w:t xml:space="preserve">                             </w:t>
      </w:r>
      <w:r>
        <w:rPr>
          <w:rFonts w:hint="eastAsia" w:ascii="宋体" w:hAnsi="宋体" w:cs="新宋体"/>
          <w:bCs/>
          <w:color w:val="auto"/>
          <w:szCs w:val="21"/>
          <w:highlight w:val="none"/>
          <w:lang w:val="en-GB"/>
        </w:rPr>
        <w:t>传真：</w:t>
      </w:r>
    </w:p>
    <w:p>
      <w:pPr>
        <w:spacing w:line="460" w:lineRule="exact"/>
        <w:ind w:firstLine="435"/>
        <w:rPr>
          <w:rFonts w:ascii="宋体" w:cs="新宋体"/>
          <w:bCs/>
          <w:color w:val="auto"/>
          <w:szCs w:val="21"/>
          <w:highlight w:val="none"/>
          <w:lang w:val="en-GB"/>
        </w:rPr>
      </w:pPr>
      <w:r>
        <w:rPr>
          <w:rFonts w:hint="eastAsia" w:ascii="宋体" w:hAnsi="宋体" w:cs="新宋体"/>
          <w:bCs/>
          <w:color w:val="auto"/>
          <w:szCs w:val="21"/>
          <w:highlight w:val="none"/>
          <w:lang w:val="en-GB"/>
        </w:rPr>
        <w:t>日期：</w:t>
      </w:r>
      <w:r>
        <w:rPr>
          <w:rFonts w:ascii="宋体" w:hAnsi="宋体" w:cs="新宋体"/>
          <w:bCs/>
          <w:color w:val="auto"/>
          <w:szCs w:val="21"/>
          <w:highlight w:val="none"/>
          <w:lang w:val="en-GB"/>
        </w:rPr>
        <w:t xml:space="preserve">                             </w:t>
      </w:r>
      <w:r>
        <w:rPr>
          <w:rFonts w:hint="eastAsia" w:ascii="宋体" w:hAnsi="宋体" w:cs="新宋体"/>
          <w:bCs/>
          <w:color w:val="auto"/>
          <w:szCs w:val="21"/>
          <w:highlight w:val="none"/>
          <w:lang w:val="en-GB"/>
        </w:rPr>
        <w:t>日期：</w:t>
      </w:r>
    </w:p>
    <w:p>
      <w:pPr>
        <w:spacing w:line="360" w:lineRule="auto"/>
        <w:rPr>
          <w:rFonts w:ascii="宋体"/>
          <w:color w:val="auto"/>
          <w:sz w:val="28"/>
          <w:szCs w:val="28"/>
          <w:highlight w:val="none"/>
        </w:rPr>
      </w:pPr>
    </w:p>
    <w:p>
      <w:pPr>
        <w:spacing w:line="360" w:lineRule="auto"/>
        <w:rPr>
          <w:rFonts w:ascii="宋体"/>
          <w:color w:val="auto"/>
          <w:sz w:val="28"/>
          <w:szCs w:val="28"/>
          <w:highlight w:val="none"/>
        </w:rPr>
      </w:pPr>
      <w:r>
        <w:rPr>
          <w:rFonts w:ascii="宋体"/>
          <w:color w:val="auto"/>
          <w:sz w:val="28"/>
          <w:szCs w:val="28"/>
          <w:highlight w:val="none"/>
        </w:rPr>
        <w:br w:type="page"/>
      </w:r>
    </w:p>
    <w:p>
      <w:pPr>
        <w:spacing w:line="480" w:lineRule="auto"/>
        <w:jc w:val="center"/>
        <w:rPr>
          <w:rFonts w:ascii="宋体"/>
          <w:color w:val="auto"/>
          <w:sz w:val="32"/>
          <w:szCs w:val="32"/>
          <w:highlight w:val="none"/>
        </w:rPr>
      </w:pPr>
      <w:r>
        <w:rPr>
          <w:rFonts w:hint="eastAsia" w:ascii="宋体" w:hAnsi="宋体"/>
          <w:color w:val="auto"/>
          <w:sz w:val="32"/>
          <w:szCs w:val="32"/>
          <w:highlight w:val="none"/>
        </w:rPr>
        <w:t>广西壮族自治区人民医院</w:t>
      </w:r>
    </w:p>
    <w:p>
      <w:pPr>
        <w:pStyle w:val="36"/>
        <w:rPr>
          <w:rFonts w:ascii="宋体"/>
          <w:color w:val="auto"/>
          <w:highlight w:val="none"/>
        </w:rPr>
      </w:pPr>
      <w:r>
        <w:rPr>
          <w:rFonts w:hint="eastAsia" w:ascii="宋体" w:hAnsi="宋体"/>
          <w:color w:val="auto"/>
          <w:highlight w:val="none"/>
        </w:rPr>
        <w:t>药品廉洁购销合同</w:t>
      </w:r>
    </w:p>
    <w:p>
      <w:pPr>
        <w:spacing w:line="480" w:lineRule="auto"/>
        <w:jc w:val="center"/>
        <w:rPr>
          <w:rFonts w:ascii="宋体"/>
          <w:color w:val="auto"/>
          <w:sz w:val="32"/>
          <w:szCs w:val="32"/>
          <w:highlight w:val="none"/>
        </w:rPr>
      </w:pPr>
    </w:p>
    <w:p>
      <w:pPr>
        <w:ind w:firstLine="315" w:firstLineChars="150"/>
        <w:rPr>
          <w:rFonts w:ascii="宋体"/>
          <w:bCs/>
          <w:color w:val="auto"/>
          <w:szCs w:val="21"/>
          <w:highlight w:val="none"/>
        </w:rPr>
      </w:pPr>
      <w:r>
        <w:rPr>
          <w:rFonts w:hint="eastAsia" w:ascii="宋体" w:hAnsi="宋体"/>
          <w:bCs/>
          <w:color w:val="auto"/>
          <w:szCs w:val="21"/>
          <w:highlight w:val="none"/>
        </w:rPr>
        <w:t>甲方：广西壮族自治区人民医院</w:t>
      </w:r>
    </w:p>
    <w:p>
      <w:pPr>
        <w:ind w:firstLine="315" w:firstLineChars="150"/>
        <w:rPr>
          <w:rFonts w:ascii="宋体" w:hAnsi="宋体"/>
          <w:bCs/>
          <w:color w:val="auto"/>
          <w:szCs w:val="21"/>
          <w:highlight w:val="none"/>
          <w:u w:val="single"/>
        </w:rPr>
      </w:pPr>
      <w:r>
        <w:rPr>
          <w:rFonts w:hint="eastAsia" w:ascii="宋体" w:hAnsi="宋体"/>
          <w:bCs/>
          <w:color w:val="auto"/>
          <w:szCs w:val="21"/>
          <w:highlight w:val="none"/>
        </w:rPr>
        <w:t>乙方：</w:t>
      </w:r>
      <w:r>
        <w:rPr>
          <w:rFonts w:ascii="宋体" w:hAnsi="宋体"/>
          <w:bCs/>
          <w:color w:val="auto"/>
          <w:szCs w:val="21"/>
          <w:highlight w:val="none"/>
          <w:u w:val="single"/>
        </w:rPr>
        <w:t xml:space="preserve">                      </w:t>
      </w:r>
    </w:p>
    <w:p>
      <w:pPr>
        <w:spacing w:line="360" w:lineRule="auto"/>
        <w:ind w:left="359" w:leftChars="171" w:firstLine="420" w:firstLineChars="200"/>
        <w:rPr>
          <w:rFonts w:ascii="宋体" w:cs="宋体"/>
          <w:color w:val="auto"/>
          <w:szCs w:val="21"/>
          <w:highlight w:val="none"/>
        </w:rPr>
      </w:pPr>
      <w:r>
        <w:rPr>
          <w:rFonts w:hint="eastAsia" w:ascii="宋体" w:hAnsi="宋体" w:cs="宋体"/>
          <w:color w:val="auto"/>
          <w:szCs w:val="21"/>
          <w:highlight w:val="none"/>
        </w:rPr>
        <w:t>根据国家卫生计生委《加强医疗卫生行风建设“九不准”的通知》及省卫计委《关于落实医药购销领域商业贿赂不良记录规定》等精神，为加强双方在医药购销活动中的廉洁自律建设，有效防范商业贿赂行为，严格管理、强化监督、确保患者的用药安全和廉洁行医，经甲、乙双方协商，同意签订本合同，并共同遵守。</w:t>
      </w:r>
    </w:p>
    <w:p>
      <w:pPr>
        <w:spacing w:line="360" w:lineRule="auto"/>
        <w:ind w:firstLine="735" w:firstLineChars="350"/>
        <w:rPr>
          <w:rFonts w:ascii="宋体" w:cs="宋体"/>
          <w:color w:val="auto"/>
          <w:szCs w:val="21"/>
          <w:highlight w:val="none"/>
        </w:rPr>
      </w:pPr>
      <w:r>
        <w:rPr>
          <w:rFonts w:hint="eastAsia" w:ascii="宋体" w:hAnsi="宋体" w:cs="宋体"/>
          <w:color w:val="auto"/>
          <w:szCs w:val="21"/>
          <w:highlight w:val="none"/>
        </w:rPr>
        <w:t>一、为了保证购销活动中的公开、公平、公正的竞争，甲方应当严格执行药品购销合同验</w:t>
      </w:r>
    </w:p>
    <w:p>
      <w:pPr>
        <w:spacing w:line="360" w:lineRule="auto"/>
        <w:ind w:left="360"/>
        <w:rPr>
          <w:rFonts w:ascii="宋体" w:cs="宋体"/>
          <w:color w:val="auto"/>
          <w:szCs w:val="21"/>
          <w:highlight w:val="none"/>
        </w:rPr>
      </w:pPr>
      <w:r>
        <w:rPr>
          <w:rFonts w:hint="eastAsia" w:ascii="宋体" w:hAnsi="宋体" w:cs="宋体"/>
          <w:color w:val="auto"/>
          <w:szCs w:val="21"/>
          <w:highlight w:val="none"/>
        </w:rPr>
        <w:t>收、入库制度，对采购的药品及发票进行查验，不得违反有关规定合同外采购、违规采购或从非规定渠道采购。</w:t>
      </w:r>
    </w:p>
    <w:p>
      <w:pPr>
        <w:spacing w:line="360" w:lineRule="auto"/>
        <w:ind w:left="359" w:leftChars="171" w:firstLine="420" w:firstLineChars="200"/>
        <w:rPr>
          <w:rFonts w:ascii="宋体" w:cs="宋体"/>
          <w:color w:val="auto"/>
          <w:szCs w:val="21"/>
          <w:highlight w:val="none"/>
        </w:rPr>
      </w:pPr>
      <w:r>
        <w:rPr>
          <w:rFonts w:hint="eastAsia" w:ascii="宋体" w:hAnsi="宋体" w:cs="宋体"/>
          <w:color w:val="auto"/>
          <w:szCs w:val="21"/>
          <w:highlight w:val="none"/>
        </w:rPr>
        <w:t>二、甲方及相关科室的工作人员严禁利用职务上的便利或以各种名义向乙方索取各种形式带有回扣性质的现金、有价证券、支付凭证和贵重礼品等（含以科室集体活动的名义接收赞助经费）；否则乙方有权拒绝并向各级主管部门举报。</w:t>
      </w:r>
    </w:p>
    <w:p>
      <w:pPr>
        <w:spacing w:line="360" w:lineRule="auto"/>
        <w:ind w:left="359" w:leftChars="171" w:firstLine="420" w:firstLineChars="200"/>
        <w:rPr>
          <w:rFonts w:ascii="宋体" w:cs="宋体"/>
          <w:color w:val="auto"/>
          <w:szCs w:val="21"/>
          <w:highlight w:val="none"/>
        </w:rPr>
      </w:pPr>
      <w:r>
        <w:rPr>
          <w:rFonts w:hint="eastAsia" w:ascii="宋体" w:hAnsi="宋体" w:cs="宋体"/>
          <w:color w:val="auto"/>
          <w:szCs w:val="21"/>
          <w:highlight w:val="none"/>
        </w:rPr>
        <w:t>三、甲方及相关科室的工作人员不得参加乙方安排并支付费用的营业性娱乐场所的娱乐活动；被动接受乙方给予的钱物，应予退还；无法退还的，有责任如实向有关纪检监察部门反映情况。</w:t>
      </w:r>
    </w:p>
    <w:p>
      <w:pPr>
        <w:spacing w:line="360" w:lineRule="auto"/>
        <w:ind w:left="359" w:leftChars="171" w:firstLine="420" w:firstLineChars="200"/>
        <w:rPr>
          <w:rFonts w:ascii="宋体" w:cs="宋体"/>
          <w:color w:val="auto"/>
          <w:szCs w:val="21"/>
          <w:highlight w:val="none"/>
        </w:rPr>
      </w:pPr>
      <w:r>
        <w:rPr>
          <w:rFonts w:hint="eastAsia" w:ascii="宋体" w:hAnsi="宋体" w:cs="宋体"/>
          <w:color w:val="auto"/>
          <w:szCs w:val="21"/>
          <w:highlight w:val="none"/>
        </w:rPr>
        <w:t>四、严禁甲方工作人员利用任何途径或方式，为乙方统计医师个人及临床科室药品用量信息，或为乙方统计提供便利。</w:t>
      </w:r>
    </w:p>
    <w:p>
      <w:pPr>
        <w:spacing w:line="360" w:lineRule="auto"/>
        <w:ind w:left="359" w:leftChars="171" w:firstLine="420" w:firstLineChars="200"/>
        <w:rPr>
          <w:rFonts w:ascii="宋体" w:cs="宋体"/>
          <w:color w:val="auto"/>
          <w:szCs w:val="21"/>
          <w:highlight w:val="none"/>
        </w:rPr>
      </w:pPr>
      <w:r>
        <w:rPr>
          <w:rFonts w:hint="eastAsia" w:ascii="宋体" w:hAnsi="宋体" w:cs="宋体"/>
          <w:color w:val="auto"/>
          <w:szCs w:val="21"/>
          <w:highlight w:val="none"/>
        </w:rPr>
        <w:t>五、乙方不得以各种理由向甲方及相关科室及工作人员赠送作为药品回扣的现金、有价证券和礼品，不得为了促销药品宴请甲方工作人员，也不得在学术活动中提供旅游、超标准支付食宿费用。如经查实，一律停止乙方在甲方的一切药品销售活动，并根据情节，对相关公司“药品”给予中止使用或取消准入使用资格。</w:t>
      </w:r>
    </w:p>
    <w:p>
      <w:pPr>
        <w:spacing w:line="360" w:lineRule="auto"/>
        <w:ind w:left="359" w:leftChars="171" w:firstLine="420" w:firstLineChars="200"/>
        <w:rPr>
          <w:rFonts w:ascii="宋体" w:cs="宋体"/>
          <w:color w:val="auto"/>
          <w:szCs w:val="21"/>
          <w:highlight w:val="none"/>
        </w:rPr>
      </w:pPr>
      <w:r>
        <w:rPr>
          <w:rFonts w:hint="eastAsia" w:ascii="宋体" w:hAnsi="宋体" w:cs="宋体"/>
          <w:color w:val="auto"/>
          <w:szCs w:val="21"/>
          <w:highlight w:val="none"/>
        </w:rPr>
        <w:t>六、乙方必须指定固定的销售代表洽谈业务。销售代表必须在工作时间到甲方指定地点联系商谈，不得到住院部、门诊部、医技科室等推销药品，不得借故到甲方相关领导、部门负责人及相关工作人员家中拜访并提供任何好处费。</w:t>
      </w:r>
    </w:p>
    <w:p>
      <w:pPr>
        <w:spacing w:line="360" w:lineRule="auto"/>
        <w:ind w:left="359" w:leftChars="171" w:firstLine="420" w:firstLineChars="200"/>
        <w:rPr>
          <w:rFonts w:ascii="宋体" w:cs="宋体"/>
          <w:color w:val="auto"/>
          <w:szCs w:val="21"/>
          <w:highlight w:val="none"/>
        </w:rPr>
      </w:pPr>
      <w:r>
        <w:rPr>
          <w:rFonts w:hint="eastAsia" w:ascii="宋体" w:hAnsi="宋体" w:cs="宋体"/>
          <w:color w:val="auto"/>
          <w:szCs w:val="21"/>
          <w:highlight w:val="none"/>
        </w:rPr>
        <w:t>七、甲乙双方如违反本合同，由甲方监察审计处会同有关部门按法律、条规、规定处理，情节严重触犯法律的移交司法机关处理。</w:t>
      </w:r>
    </w:p>
    <w:p>
      <w:pPr>
        <w:spacing w:line="360" w:lineRule="auto"/>
        <w:ind w:left="359" w:leftChars="171" w:firstLine="420" w:firstLineChars="200"/>
        <w:rPr>
          <w:rFonts w:ascii="宋体" w:cs="宋体"/>
          <w:color w:val="auto"/>
          <w:szCs w:val="21"/>
          <w:highlight w:val="none"/>
        </w:rPr>
      </w:pPr>
      <w:r>
        <w:rPr>
          <w:rFonts w:hint="eastAsia" w:ascii="宋体" w:hAnsi="宋体" w:cs="宋体"/>
          <w:color w:val="auto"/>
          <w:szCs w:val="21"/>
          <w:highlight w:val="none"/>
        </w:rPr>
        <w:t>八、乙方一旦被列入商业贿赂不良记录，则严格按照《国家卫生计生委关于建立医药购销领域商业贿赂不良记录的规定》（国卫法制发</w:t>
      </w:r>
      <w:r>
        <w:rPr>
          <w:rFonts w:ascii="宋体" w:hAnsi="宋体" w:cs="宋体"/>
          <w:color w:val="auto"/>
          <w:szCs w:val="21"/>
          <w:highlight w:val="none"/>
        </w:rPr>
        <w:t>[2013]50</w:t>
      </w:r>
      <w:r>
        <w:rPr>
          <w:rFonts w:hint="eastAsia" w:ascii="宋体" w:hAnsi="宋体" w:cs="宋体"/>
          <w:color w:val="auto"/>
          <w:szCs w:val="21"/>
          <w:highlight w:val="none"/>
        </w:rPr>
        <w:t>号）相关规定处理。</w:t>
      </w:r>
    </w:p>
    <w:p>
      <w:pPr>
        <w:spacing w:line="360" w:lineRule="auto"/>
        <w:ind w:left="359" w:leftChars="171" w:firstLine="420" w:firstLineChars="200"/>
        <w:rPr>
          <w:rFonts w:ascii="宋体" w:cs="宋体"/>
          <w:color w:val="auto"/>
          <w:szCs w:val="21"/>
          <w:highlight w:val="none"/>
        </w:rPr>
      </w:pPr>
      <w:r>
        <w:rPr>
          <w:rFonts w:hint="eastAsia" w:ascii="宋体" w:hAnsi="宋体" w:cs="宋体"/>
          <w:color w:val="auto"/>
          <w:szCs w:val="21"/>
          <w:highlight w:val="none"/>
        </w:rPr>
        <w:t>九、本合同作为药品购销合同的重要组成部分，与购销合同一并执行，具有同等的法律效力。</w:t>
      </w:r>
    </w:p>
    <w:p>
      <w:pPr>
        <w:spacing w:line="360" w:lineRule="auto"/>
        <w:ind w:left="359" w:leftChars="171" w:firstLine="420" w:firstLineChars="200"/>
        <w:rPr>
          <w:rFonts w:ascii="宋体" w:cs="宋体"/>
          <w:color w:val="auto"/>
          <w:szCs w:val="21"/>
          <w:highlight w:val="none"/>
        </w:rPr>
      </w:pPr>
      <w:r>
        <w:rPr>
          <w:rFonts w:hint="eastAsia" w:ascii="宋体" w:hAnsi="宋体" w:cs="宋体"/>
          <w:color w:val="auto"/>
          <w:szCs w:val="21"/>
          <w:highlight w:val="none"/>
        </w:rPr>
        <w:t>十、本合同一式二份，甲、乙双方各执一份，自签字盖章之日起生效。</w:t>
      </w:r>
    </w:p>
    <w:p>
      <w:pPr>
        <w:spacing w:line="360" w:lineRule="auto"/>
        <w:ind w:left="359" w:leftChars="171" w:firstLine="420" w:firstLineChars="200"/>
        <w:rPr>
          <w:rFonts w:ascii="宋体" w:hAnsi="宋体" w:cs="宋体"/>
          <w:color w:val="auto"/>
          <w:szCs w:val="21"/>
          <w:highlight w:val="none"/>
        </w:rPr>
      </w:pPr>
      <w:r>
        <w:rPr>
          <w:rFonts w:ascii="宋体" w:hAnsi="宋体" w:cs="宋体"/>
          <w:color w:val="auto"/>
          <w:szCs w:val="21"/>
          <w:highlight w:val="none"/>
        </w:rPr>
        <w:t xml:space="preserve">       </w:t>
      </w:r>
    </w:p>
    <w:p>
      <w:pPr>
        <w:spacing w:line="360" w:lineRule="auto"/>
        <w:ind w:left="359" w:leftChars="171" w:firstLine="420" w:firstLineChars="200"/>
        <w:rPr>
          <w:rFonts w:ascii="宋体" w:hAnsi="宋体" w:cs="宋体"/>
          <w:color w:val="auto"/>
          <w:szCs w:val="21"/>
          <w:highlight w:val="none"/>
        </w:rPr>
      </w:pPr>
    </w:p>
    <w:p>
      <w:pPr>
        <w:spacing w:line="360" w:lineRule="auto"/>
        <w:ind w:left="359" w:leftChars="171" w:firstLine="420" w:firstLineChars="200"/>
        <w:rPr>
          <w:rFonts w:ascii="宋体" w:hAnsi="宋体" w:cs="宋体"/>
          <w:color w:val="auto"/>
          <w:szCs w:val="21"/>
          <w:highlight w:val="none"/>
        </w:rPr>
      </w:pPr>
    </w:p>
    <w:p>
      <w:pPr>
        <w:spacing w:line="360" w:lineRule="auto"/>
        <w:ind w:left="359" w:leftChars="171" w:firstLine="420" w:firstLineChars="200"/>
        <w:rPr>
          <w:rFonts w:ascii="宋体" w:cs="宋体"/>
          <w:color w:val="auto"/>
          <w:szCs w:val="21"/>
          <w:highlight w:val="none"/>
        </w:rPr>
      </w:pPr>
      <w:r>
        <w:rPr>
          <w:rFonts w:hint="eastAsia" w:ascii="宋体" w:hAnsi="宋体" w:cs="宋体"/>
          <w:color w:val="auto"/>
          <w:szCs w:val="21"/>
          <w:highlight w:val="none"/>
        </w:rPr>
        <w:t>甲方：（医院盖章）</w:t>
      </w:r>
      <w:r>
        <w:rPr>
          <w:rFonts w:ascii="宋体" w:hAnsi="宋体" w:cs="宋体"/>
          <w:color w:val="auto"/>
          <w:szCs w:val="21"/>
          <w:highlight w:val="none"/>
        </w:rPr>
        <w:t xml:space="preserve">                        </w:t>
      </w:r>
      <w:r>
        <w:rPr>
          <w:rFonts w:hint="eastAsia" w:ascii="宋体" w:hAnsi="宋体" w:cs="宋体"/>
          <w:color w:val="auto"/>
          <w:szCs w:val="21"/>
          <w:highlight w:val="none"/>
        </w:rPr>
        <w:t>乙方：（公司盖章）</w:t>
      </w:r>
    </w:p>
    <w:p>
      <w:pPr>
        <w:spacing w:line="360" w:lineRule="auto"/>
        <w:ind w:left="359" w:leftChars="171" w:firstLine="420" w:firstLineChars="200"/>
        <w:rPr>
          <w:rFonts w:ascii="宋体" w:cs="宋体"/>
          <w:color w:val="auto"/>
          <w:szCs w:val="21"/>
          <w:highlight w:val="none"/>
        </w:rPr>
      </w:pPr>
      <w:r>
        <w:rPr>
          <w:rFonts w:hint="eastAsia" w:ascii="宋体" w:hAnsi="宋体" w:cs="宋体"/>
          <w:color w:val="auto"/>
          <w:szCs w:val="21"/>
          <w:highlight w:val="none"/>
        </w:rPr>
        <w:t>授权代表：</w:t>
      </w:r>
      <w:r>
        <w:rPr>
          <w:rFonts w:ascii="宋体" w:hAnsi="宋体" w:cs="宋体"/>
          <w:color w:val="auto"/>
          <w:szCs w:val="21"/>
          <w:highlight w:val="none"/>
        </w:rPr>
        <w:t xml:space="preserve">                               </w:t>
      </w:r>
      <w:r>
        <w:rPr>
          <w:rFonts w:hint="eastAsia" w:ascii="宋体" w:hAnsi="宋体" w:cs="宋体"/>
          <w:color w:val="auto"/>
          <w:szCs w:val="21"/>
          <w:highlight w:val="none"/>
        </w:rPr>
        <w:t>授权代表：</w:t>
      </w:r>
    </w:p>
    <w:p>
      <w:pPr>
        <w:spacing w:line="360" w:lineRule="auto"/>
        <w:ind w:left="359" w:leftChars="171" w:firstLine="420" w:firstLineChars="200"/>
        <w:rPr>
          <w:rFonts w:ascii="宋体" w:cs="宋体"/>
          <w:color w:val="auto"/>
          <w:szCs w:val="21"/>
          <w:highlight w:val="none"/>
        </w:rPr>
      </w:pPr>
    </w:p>
    <w:p>
      <w:pPr>
        <w:spacing w:line="360" w:lineRule="auto"/>
        <w:ind w:left="359" w:leftChars="171" w:firstLine="420" w:firstLineChars="200"/>
        <w:rPr>
          <w:rFonts w:ascii="宋体" w:cs="宋体"/>
          <w:color w:val="auto"/>
          <w:szCs w:val="21"/>
          <w:highlight w:val="none"/>
        </w:rPr>
      </w:pPr>
      <w:r>
        <w:rPr>
          <w:rFonts w:hint="eastAsia" w:ascii="宋体" w:hAnsi="宋体" w:cs="宋体"/>
          <w:color w:val="auto"/>
          <w:szCs w:val="21"/>
          <w:highlight w:val="none"/>
        </w:rPr>
        <w:t>联系电话：</w:t>
      </w:r>
      <w:r>
        <w:rPr>
          <w:rFonts w:ascii="宋体" w:hAnsi="宋体" w:cs="宋体"/>
          <w:color w:val="auto"/>
          <w:szCs w:val="21"/>
          <w:highlight w:val="none"/>
        </w:rPr>
        <w:t xml:space="preserve">                               </w:t>
      </w:r>
      <w:r>
        <w:rPr>
          <w:rFonts w:hint="eastAsia" w:ascii="宋体" w:hAnsi="宋体" w:cs="宋体"/>
          <w:color w:val="auto"/>
          <w:szCs w:val="21"/>
          <w:highlight w:val="none"/>
        </w:rPr>
        <w:t>联系电话：</w:t>
      </w:r>
    </w:p>
    <w:p>
      <w:pPr>
        <w:spacing w:line="360" w:lineRule="auto"/>
        <w:ind w:left="359" w:leftChars="171" w:firstLine="420" w:firstLineChars="200"/>
        <w:rPr>
          <w:rFonts w:ascii="宋体" w:hAnsi="宋体" w:cs="宋体"/>
          <w:color w:val="auto"/>
          <w:szCs w:val="21"/>
          <w:highlight w:val="none"/>
        </w:rPr>
      </w:pPr>
      <w:r>
        <w:rPr>
          <w:rFonts w:ascii="宋体" w:hAnsi="宋体" w:cs="宋体"/>
          <w:color w:val="auto"/>
          <w:szCs w:val="21"/>
          <w:highlight w:val="none"/>
        </w:rPr>
        <w:t xml:space="preserve"> </w:t>
      </w:r>
    </w:p>
    <w:p>
      <w:pPr>
        <w:spacing w:line="360" w:lineRule="auto"/>
        <w:ind w:left="359" w:leftChars="171" w:firstLine="420" w:firstLineChars="200"/>
        <w:rPr>
          <w:rFonts w:ascii="宋体" w:cs="宋体"/>
          <w:color w:val="auto"/>
          <w:szCs w:val="21"/>
          <w:highlight w:val="none"/>
        </w:rPr>
      </w:pPr>
      <w:r>
        <w:rPr>
          <w:rFonts w:hint="eastAsia" w:ascii="宋体" w:hAnsi="宋体" w:cs="宋体"/>
          <w:color w:val="auto"/>
          <w:szCs w:val="21"/>
          <w:highlight w:val="none"/>
        </w:rPr>
        <w:t>联系地址：</w:t>
      </w:r>
      <w:r>
        <w:rPr>
          <w:rFonts w:ascii="宋体" w:hAnsi="宋体" w:cs="宋体"/>
          <w:color w:val="auto"/>
          <w:szCs w:val="21"/>
          <w:highlight w:val="none"/>
        </w:rPr>
        <w:t xml:space="preserve">                               </w:t>
      </w:r>
      <w:r>
        <w:rPr>
          <w:rFonts w:hint="eastAsia" w:ascii="宋体" w:hAnsi="宋体" w:cs="宋体"/>
          <w:color w:val="auto"/>
          <w:szCs w:val="21"/>
          <w:highlight w:val="none"/>
        </w:rPr>
        <w:t>联系地址：</w:t>
      </w:r>
    </w:p>
    <w:p>
      <w:pPr>
        <w:spacing w:line="360" w:lineRule="auto"/>
        <w:ind w:left="359" w:leftChars="171" w:firstLine="420" w:firstLineChars="200"/>
        <w:rPr>
          <w:rFonts w:ascii="宋体" w:cs="宋体"/>
          <w:color w:val="auto"/>
          <w:szCs w:val="21"/>
          <w:highlight w:val="none"/>
        </w:rPr>
      </w:pPr>
    </w:p>
    <w:p>
      <w:pPr>
        <w:spacing w:line="360" w:lineRule="auto"/>
        <w:ind w:left="359" w:leftChars="171" w:firstLine="420" w:firstLineChars="200"/>
        <w:rPr>
          <w:rFonts w:ascii="宋体" w:cs="宋体"/>
          <w:color w:val="auto"/>
          <w:szCs w:val="21"/>
          <w:highlight w:val="none"/>
        </w:rPr>
      </w:pP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hint="eastAsia" w:ascii="宋体" w:hAnsi="宋体" w:cs="宋体"/>
          <w:color w:val="auto"/>
          <w:szCs w:val="21"/>
          <w:highlight w:val="none"/>
        </w:rPr>
        <w:t>日</w:t>
      </w:r>
      <w:r>
        <w:rPr>
          <w:rFonts w:ascii="宋体" w:hAnsi="宋体" w:cs="宋体"/>
          <w:color w:val="auto"/>
          <w:szCs w:val="21"/>
          <w:highlight w:val="none"/>
        </w:rPr>
        <w:t xml:space="preserve">                             </w:t>
      </w: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hint="eastAsia" w:ascii="宋体" w:hAnsi="宋体" w:cs="宋体"/>
          <w:color w:val="auto"/>
          <w:szCs w:val="21"/>
          <w:highlight w:val="none"/>
        </w:rPr>
        <w:t>日</w:t>
      </w:r>
    </w:p>
    <w:p>
      <w:pPr>
        <w:snapToGrid w:val="0"/>
        <w:spacing w:line="360" w:lineRule="exact"/>
        <w:jc w:val="center"/>
        <w:rPr>
          <w:rFonts w:ascii="宋体" w:hAnsi="宋体"/>
          <w:b/>
          <w:color w:val="auto"/>
          <w:szCs w:val="21"/>
          <w:highlight w:val="none"/>
        </w:rPr>
      </w:pPr>
    </w:p>
    <w:p>
      <w:pPr>
        <w:snapToGrid w:val="0"/>
        <w:spacing w:line="360" w:lineRule="exact"/>
        <w:rPr>
          <w:rFonts w:ascii="宋体" w:hAnsi="宋体"/>
          <w:color w:val="auto"/>
          <w:szCs w:val="21"/>
          <w:highlight w:val="none"/>
        </w:rPr>
      </w:pPr>
    </w:p>
    <w:p>
      <w:pPr>
        <w:spacing w:line="300" w:lineRule="atLeast"/>
        <w:ind w:firstLine="680"/>
        <w:jc w:val="center"/>
        <w:rPr>
          <w:rFonts w:ascii="黑体" w:hAnsi="宋体" w:eastAsia="黑体"/>
          <w:b/>
          <w:color w:val="auto"/>
          <w:sz w:val="44"/>
          <w:szCs w:val="44"/>
          <w:highlight w:val="none"/>
        </w:rPr>
      </w:pPr>
    </w:p>
    <w:p>
      <w:pPr>
        <w:pStyle w:val="26"/>
        <w:snapToGrid w:val="0"/>
        <w:spacing w:before="120" w:after="120"/>
        <w:jc w:val="center"/>
        <w:outlineLvl w:val="0"/>
        <w:rPr>
          <w:rFonts w:ascii="黑体" w:hAnsi="宋体" w:eastAsia="黑体"/>
          <w:b/>
          <w:color w:val="auto"/>
          <w:sz w:val="44"/>
          <w:szCs w:val="44"/>
          <w:highlight w:val="none"/>
        </w:rPr>
      </w:pPr>
    </w:p>
    <w:p>
      <w:pPr>
        <w:pStyle w:val="26"/>
        <w:snapToGrid w:val="0"/>
        <w:spacing w:before="120" w:after="120"/>
        <w:jc w:val="center"/>
        <w:outlineLvl w:val="0"/>
        <w:rPr>
          <w:rFonts w:ascii="黑体" w:hAnsi="宋体" w:eastAsia="黑体"/>
          <w:b/>
          <w:color w:val="auto"/>
          <w:sz w:val="44"/>
          <w:szCs w:val="44"/>
          <w:highlight w:val="none"/>
        </w:rPr>
      </w:pPr>
    </w:p>
    <w:p>
      <w:pPr>
        <w:pStyle w:val="26"/>
        <w:snapToGrid w:val="0"/>
        <w:spacing w:before="120" w:after="120"/>
        <w:jc w:val="center"/>
        <w:outlineLvl w:val="0"/>
        <w:rPr>
          <w:rFonts w:ascii="黑体" w:hAnsi="宋体" w:eastAsia="黑体"/>
          <w:b/>
          <w:color w:val="auto"/>
          <w:sz w:val="44"/>
          <w:szCs w:val="44"/>
          <w:highlight w:val="none"/>
        </w:rPr>
      </w:pPr>
    </w:p>
    <w:p>
      <w:pPr>
        <w:pStyle w:val="26"/>
        <w:snapToGrid w:val="0"/>
        <w:spacing w:before="120" w:after="120"/>
        <w:jc w:val="center"/>
        <w:outlineLvl w:val="0"/>
        <w:rPr>
          <w:rFonts w:ascii="黑体" w:hAnsi="宋体" w:eastAsia="黑体"/>
          <w:b/>
          <w:color w:val="auto"/>
          <w:sz w:val="44"/>
          <w:szCs w:val="44"/>
          <w:highlight w:val="none"/>
        </w:rPr>
      </w:pPr>
    </w:p>
    <w:p>
      <w:pPr>
        <w:pStyle w:val="26"/>
        <w:snapToGrid w:val="0"/>
        <w:spacing w:before="120" w:after="120"/>
        <w:jc w:val="center"/>
        <w:outlineLvl w:val="0"/>
        <w:rPr>
          <w:rFonts w:ascii="黑体" w:hAnsi="宋体" w:eastAsia="黑体"/>
          <w:b/>
          <w:color w:val="auto"/>
          <w:sz w:val="44"/>
          <w:szCs w:val="44"/>
          <w:highlight w:val="none"/>
        </w:rPr>
      </w:pPr>
    </w:p>
    <w:p>
      <w:pPr>
        <w:pStyle w:val="26"/>
        <w:snapToGrid w:val="0"/>
        <w:spacing w:before="120" w:after="120"/>
        <w:jc w:val="center"/>
        <w:outlineLvl w:val="0"/>
        <w:rPr>
          <w:rFonts w:ascii="黑体" w:hAnsi="宋体" w:eastAsia="黑体"/>
          <w:b/>
          <w:color w:val="auto"/>
          <w:sz w:val="44"/>
          <w:szCs w:val="44"/>
          <w:highlight w:val="none"/>
        </w:rPr>
      </w:pPr>
    </w:p>
    <w:p>
      <w:pPr>
        <w:pStyle w:val="26"/>
        <w:snapToGrid w:val="0"/>
        <w:spacing w:before="120" w:after="120"/>
        <w:jc w:val="center"/>
        <w:outlineLvl w:val="0"/>
        <w:rPr>
          <w:rFonts w:ascii="黑体" w:hAnsi="宋体" w:eastAsia="黑体"/>
          <w:b/>
          <w:color w:val="auto"/>
          <w:sz w:val="44"/>
          <w:szCs w:val="44"/>
          <w:highlight w:val="none"/>
        </w:rPr>
      </w:pPr>
    </w:p>
    <w:p>
      <w:pPr>
        <w:pStyle w:val="26"/>
        <w:snapToGrid w:val="0"/>
        <w:spacing w:before="120" w:after="120"/>
        <w:jc w:val="center"/>
        <w:outlineLvl w:val="0"/>
        <w:rPr>
          <w:rFonts w:ascii="黑体" w:hAnsi="宋体" w:eastAsia="黑体"/>
          <w:b/>
          <w:color w:val="auto"/>
          <w:sz w:val="44"/>
          <w:szCs w:val="44"/>
          <w:highlight w:val="none"/>
        </w:rPr>
      </w:pPr>
    </w:p>
    <w:p>
      <w:pPr>
        <w:pStyle w:val="26"/>
        <w:snapToGrid w:val="0"/>
        <w:spacing w:before="120" w:after="120"/>
        <w:jc w:val="center"/>
        <w:outlineLvl w:val="0"/>
        <w:rPr>
          <w:rFonts w:ascii="黑体" w:hAnsi="宋体" w:eastAsia="黑体"/>
          <w:b/>
          <w:color w:val="auto"/>
          <w:sz w:val="44"/>
          <w:szCs w:val="44"/>
          <w:highlight w:val="none"/>
        </w:rPr>
      </w:pPr>
    </w:p>
    <w:p>
      <w:pPr>
        <w:pStyle w:val="26"/>
        <w:snapToGrid w:val="0"/>
        <w:spacing w:before="120" w:after="120"/>
        <w:jc w:val="center"/>
        <w:outlineLvl w:val="0"/>
        <w:rPr>
          <w:rFonts w:ascii="黑体" w:hAnsi="宋体" w:eastAsia="黑体"/>
          <w:b/>
          <w:color w:val="auto"/>
          <w:sz w:val="44"/>
          <w:szCs w:val="44"/>
          <w:highlight w:val="none"/>
        </w:rPr>
      </w:pPr>
    </w:p>
    <w:p>
      <w:pPr>
        <w:pStyle w:val="26"/>
        <w:snapToGrid w:val="0"/>
        <w:spacing w:before="120" w:after="120"/>
        <w:jc w:val="center"/>
        <w:outlineLvl w:val="0"/>
        <w:rPr>
          <w:rFonts w:ascii="黑体" w:hAnsi="宋体" w:eastAsia="黑体"/>
          <w:b/>
          <w:color w:val="auto"/>
          <w:sz w:val="44"/>
          <w:szCs w:val="44"/>
          <w:highlight w:val="none"/>
        </w:rPr>
      </w:pPr>
    </w:p>
    <w:p>
      <w:pPr>
        <w:pStyle w:val="26"/>
        <w:snapToGrid w:val="0"/>
        <w:spacing w:before="120" w:after="120"/>
        <w:jc w:val="center"/>
        <w:outlineLvl w:val="0"/>
        <w:rPr>
          <w:rFonts w:ascii="黑体" w:hAnsi="宋体" w:eastAsia="黑体"/>
          <w:b/>
          <w:color w:val="auto"/>
          <w:sz w:val="44"/>
          <w:szCs w:val="44"/>
          <w:highlight w:val="none"/>
        </w:rPr>
      </w:pPr>
    </w:p>
    <w:p>
      <w:pPr>
        <w:pStyle w:val="26"/>
        <w:snapToGrid w:val="0"/>
        <w:spacing w:before="120" w:after="120"/>
        <w:jc w:val="center"/>
        <w:outlineLvl w:val="0"/>
        <w:rPr>
          <w:rFonts w:ascii="黑体" w:hAnsi="宋体" w:eastAsia="黑体"/>
          <w:b/>
          <w:color w:val="auto"/>
          <w:sz w:val="44"/>
          <w:szCs w:val="44"/>
          <w:highlight w:val="none"/>
        </w:rPr>
      </w:pPr>
    </w:p>
    <w:p>
      <w:pPr>
        <w:pStyle w:val="26"/>
        <w:snapToGrid w:val="0"/>
        <w:spacing w:before="120" w:after="120"/>
        <w:jc w:val="center"/>
        <w:outlineLvl w:val="0"/>
        <w:rPr>
          <w:rFonts w:ascii="黑体" w:hAnsi="宋体" w:eastAsia="黑体"/>
          <w:b/>
          <w:color w:val="auto"/>
          <w:sz w:val="44"/>
          <w:szCs w:val="44"/>
          <w:highlight w:val="none"/>
        </w:rPr>
      </w:pPr>
    </w:p>
    <w:p>
      <w:pPr>
        <w:pStyle w:val="26"/>
        <w:snapToGrid w:val="0"/>
        <w:spacing w:before="120" w:after="120"/>
        <w:jc w:val="center"/>
        <w:outlineLvl w:val="0"/>
        <w:rPr>
          <w:rFonts w:ascii="黑体" w:hAnsi="宋体" w:eastAsia="黑体"/>
          <w:b/>
          <w:color w:val="auto"/>
          <w:sz w:val="44"/>
          <w:szCs w:val="44"/>
          <w:highlight w:val="none"/>
        </w:rPr>
      </w:pPr>
    </w:p>
    <w:p>
      <w:pPr>
        <w:pStyle w:val="26"/>
        <w:snapToGrid w:val="0"/>
        <w:spacing w:before="120" w:after="120"/>
        <w:jc w:val="center"/>
        <w:outlineLvl w:val="0"/>
        <w:rPr>
          <w:rFonts w:ascii="黑体" w:hAnsi="宋体" w:eastAsia="黑体"/>
          <w:b/>
          <w:color w:val="auto"/>
          <w:sz w:val="44"/>
          <w:szCs w:val="44"/>
          <w:highlight w:val="none"/>
        </w:rPr>
      </w:pPr>
    </w:p>
    <w:p>
      <w:pPr>
        <w:pStyle w:val="26"/>
        <w:snapToGrid w:val="0"/>
        <w:spacing w:before="120" w:after="120"/>
        <w:jc w:val="center"/>
        <w:outlineLvl w:val="0"/>
        <w:rPr>
          <w:rFonts w:ascii="黑体" w:hAnsi="宋体" w:eastAsia="黑体"/>
          <w:b/>
          <w:color w:val="auto"/>
          <w:sz w:val="44"/>
          <w:szCs w:val="44"/>
          <w:highlight w:val="none"/>
        </w:rPr>
      </w:pPr>
    </w:p>
    <w:p>
      <w:pPr>
        <w:pStyle w:val="26"/>
        <w:snapToGrid w:val="0"/>
        <w:spacing w:before="120" w:after="120"/>
        <w:jc w:val="center"/>
        <w:outlineLvl w:val="0"/>
        <w:rPr>
          <w:rFonts w:ascii="黑体" w:hAnsi="宋体" w:eastAsia="黑体"/>
          <w:b/>
          <w:color w:val="auto"/>
          <w:sz w:val="44"/>
          <w:szCs w:val="44"/>
          <w:highlight w:val="none"/>
        </w:rPr>
      </w:pPr>
      <w:r>
        <w:rPr>
          <w:rFonts w:hint="eastAsia" w:ascii="仿宋_GB2312" w:hAnsi="宋体" w:eastAsia="仿宋_GB2312"/>
          <w:b/>
          <w:color w:val="auto"/>
          <w:sz w:val="44"/>
          <w:szCs w:val="44"/>
          <w:highlight w:val="none"/>
        </w:rPr>
        <w:t>第六章　投标文件格式</w:t>
      </w:r>
    </w:p>
    <w:p>
      <w:pPr>
        <w:snapToGrid w:val="0"/>
        <w:spacing w:before="50" w:after="50"/>
        <w:outlineLvl w:val="1"/>
        <w:rPr>
          <w:rFonts w:ascii="仿宋_GB2312" w:hAnsi="宋体" w:eastAsia="仿宋_GB2312"/>
          <w:color w:val="auto"/>
          <w:sz w:val="32"/>
          <w:szCs w:val="20"/>
          <w:highlight w:val="none"/>
        </w:rPr>
      </w:pPr>
    </w:p>
    <w:p>
      <w:pPr>
        <w:snapToGrid w:val="0"/>
        <w:spacing w:beforeLines="50" w:after="50" w:line="360" w:lineRule="exact"/>
        <w:jc w:val="center"/>
        <w:outlineLvl w:val="1"/>
        <w:rPr>
          <w:rFonts w:ascii="宋体" w:hAnsi="宋体"/>
          <w:b/>
          <w:bCs/>
          <w:color w:val="auto"/>
          <w:szCs w:val="21"/>
          <w:highlight w:val="none"/>
        </w:rPr>
      </w:pPr>
      <w:bookmarkStart w:id="47" w:name="_Toc254970697"/>
      <w:bookmarkStart w:id="48" w:name="_Toc254970556"/>
    </w:p>
    <w:bookmarkEnd w:id="47"/>
    <w:bookmarkEnd w:id="48"/>
    <w:p>
      <w:pPr>
        <w:snapToGrid w:val="0"/>
        <w:spacing w:beforeLines="50" w:after="50" w:line="360" w:lineRule="exact"/>
        <w:jc w:val="center"/>
        <w:outlineLvl w:val="1"/>
        <w:rPr>
          <w:rFonts w:ascii="宋体" w:hAnsi="宋体"/>
          <w:b/>
          <w:bCs/>
          <w:color w:val="auto"/>
          <w:szCs w:val="21"/>
          <w:highlight w:val="none"/>
        </w:rPr>
      </w:pPr>
    </w:p>
    <w:p>
      <w:pPr>
        <w:snapToGrid w:val="0"/>
        <w:spacing w:beforeLines="50" w:after="50" w:line="360" w:lineRule="exact"/>
        <w:jc w:val="center"/>
        <w:outlineLvl w:val="1"/>
        <w:rPr>
          <w:rFonts w:ascii="宋体" w:hAnsi="宋体"/>
          <w:b/>
          <w:bCs/>
          <w:color w:val="auto"/>
          <w:szCs w:val="21"/>
          <w:highlight w:val="none"/>
        </w:rPr>
      </w:pPr>
    </w:p>
    <w:p>
      <w:pPr>
        <w:snapToGrid w:val="0"/>
        <w:spacing w:beforeLines="50" w:after="50" w:line="360" w:lineRule="exact"/>
        <w:jc w:val="center"/>
        <w:outlineLvl w:val="1"/>
        <w:rPr>
          <w:rFonts w:ascii="宋体" w:hAnsi="宋体"/>
          <w:b/>
          <w:bCs/>
          <w:color w:val="auto"/>
          <w:szCs w:val="21"/>
          <w:highlight w:val="none"/>
        </w:rPr>
      </w:pPr>
    </w:p>
    <w:p>
      <w:pPr>
        <w:snapToGrid w:val="0"/>
        <w:spacing w:beforeLines="50" w:after="50" w:line="360" w:lineRule="exact"/>
        <w:jc w:val="center"/>
        <w:outlineLvl w:val="1"/>
        <w:rPr>
          <w:rFonts w:ascii="宋体" w:hAnsi="宋体"/>
          <w:b/>
          <w:bCs/>
          <w:color w:val="auto"/>
          <w:szCs w:val="21"/>
          <w:highlight w:val="none"/>
        </w:rPr>
      </w:pPr>
    </w:p>
    <w:p>
      <w:pPr>
        <w:snapToGrid w:val="0"/>
        <w:spacing w:beforeLines="50" w:after="50" w:line="360" w:lineRule="exact"/>
        <w:jc w:val="center"/>
        <w:outlineLvl w:val="1"/>
        <w:rPr>
          <w:rFonts w:ascii="宋体" w:hAnsi="宋体"/>
          <w:b/>
          <w:bCs/>
          <w:color w:val="auto"/>
          <w:szCs w:val="21"/>
          <w:highlight w:val="none"/>
        </w:rPr>
      </w:pPr>
    </w:p>
    <w:p>
      <w:pPr>
        <w:snapToGrid w:val="0"/>
        <w:spacing w:beforeLines="50" w:after="50" w:line="360" w:lineRule="exact"/>
        <w:jc w:val="center"/>
        <w:outlineLvl w:val="1"/>
        <w:rPr>
          <w:rFonts w:ascii="宋体" w:hAnsi="宋体"/>
          <w:b/>
          <w:bCs/>
          <w:color w:val="auto"/>
          <w:sz w:val="32"/>
          <w:szCs w:val="32"/>
          <w:highlight w:val="none"/>
        </w:rPr>
      </w:pPr>
      <w:bookmarkStart w:id="49" w:name="_Toc254970557"/>
      <w:bookmarkStart w:id="50" w:name="_Toc254970698"/>
      <w:r>
        <w:rPr>
          <w:rFonts w:ascii="宋体" w:hAnsi="宋体"/>
          <w:b/>
          <w:color w:val="auto"/>
          <w:sz w:val="32"/>
          <w:szCs w:val="32"/>
          <w:highlight w:val="none"/>
        </w:rPr>
        <w:br w:type="page"/>
      </w:r>
      <w:r>
        <w:rPr>
          <w:rFonts w:hint="eastAsia" w:ascii="宋体" w:hAnsi="宋体"/>
          <w:b/>
          <w:color w:val="auto"/>
          <w:sz w:val="32"/>
          <w:szCs w:val="32"/>
          <w:highlight w:val="none"/>
        </w:rPr>
        <w:t>投标文件格式</w:t>
      </w:r>
    </w:p>
    <w:p>
      <w:pPr>
        <w:snapToGrid w:val="0"/>
        <w:spacing w:beforeLines="50" w:after="50" w:line="360" w:lineRule="exact"/>
        <w:jc w:val="center"/>
        <w:outlineLvl w:val="0"/>
        <w:rPr>
          <w:rFonts w:ascii="宋体" w:hAnsi="宋体"/>
          <w:b/>
          <w:bCs/>
          <w:color w:val="auto"/>
          <w:szCs w:val="21"/>
          <w:highlight w:val="none"/>
        </w:rPr>
      </w:pPr>
      <w:r>
        <w:rPr>
          <w:rFonts w:hint="eastAsia" w:ascii="宋体" w:hAnsi="宋体"/>
          <w:b/>
          <w:bCs/>
          <w:color w:val="auto"/>
          <w:szCs w:val="21"/>
          <w:highlight w:val="none"/>
        </w:rPr>
        <w:t>一、投标文件外包装封面及</w:t>
      </w:r>
      <w:r>
        <w:rPr>
          <w:rFonts w:hint="eastAsia" w:ascii="宋体" w:hAnsi="宋体"/>
          <w:b/>
          <w:color w:val="auto"/>
          <w:szCs w:val="21"/>
          <w:highlight w:val="none"/>
        </w:rPr>
        <w:t>投标文件封面</w:t>
      </w:r>
      <w:r>
        <w:rPr>
          <w:rFonts w:hint="eastAsia" w:ascii="宋体" w:hAnsi="宋体"/>
          <w:b/>
          <w:bCs/>
          <w:color w:val="auto"/>
          <w:szCs w:val="21"/>
          <w:highlight w:val="none"/>
        </w:rPr>
        <w:t>格式</w:t>
      </w:r>
    </w:p>
    <w:p>
      <w:pPr>
        <w:snapToGrid w:val="0"/>
        <w:spacing w:beforeLines="50" w:after="50" w:line="360" w:lineRule="exact"/>
        <w:rPr>
          <w:rFonts w:ascii="宋体" w:hAnsi="宋体"/>
          <w:b/>
          <w:color w:val="auto"/>
          <w:szCs w:val="21"/>
          <w:highlight w:val="none"/>
        </w:rPr>
      </w:pPr>
    </w:p>
    <w:p>
      <w:pPr>
        <w:snapToGrid w:val="0"/>
        <w:spacing w:beforeLines="50" w:after="50" w:line="360" w:lineRule="exact"/>
        <w:outlineLvl w:val="0"/>
        <w:rPr>
          <w:rFonts w:ascii="宋体" w:hAnsi="宋体"/>
          <w:color w:val="auto"/>
          <w:szCs w:val="21"/>
          <w:highlight w:val="none"/>
        </w:rPr>
      </w:pPr>
      <w:r>
        <w:rPr>
          <w:rFonts w:hint="eastAsia" w:ascii="宋体" w:hAnsi="宋体"/>
          <w:b/>
          <w:color w:val="auto"/>
          <w:szCs w:val="21"/>
          <w:highlight w:val="none"/>
        </w:rPr>
        <w:t>一）投标文件的外包装封面格式：</w:t>
      </w:r>
      <w:r>
        <w:rPr>
          <w:rFonts w:hint="eastAsia" w:ascii="宋体" w:hAnsi="宋体"/>
          <w:color w:val="auto"/>
          <w:szCs w:val="21"/>
          <w:highlight w:val="none"/>
        </w:rPr>
        <w:t xml:space="preserve"> </w:t>
      </w:r>
    </w:p>
    <w:p>
      <w:pPr>
        <w:snapToGrid w:val="0"/>
        <w:spacing w:beforeLines="50" w:after="50" w:line="360" w:lineRule="exact"/>
        <w:rPr>
          <w:rFonts w:ascii="宋体" w:hAnsi="宋体"/>
          <w:color w:val="auto"/>
          <w:szCs w:val="21"/>
          <w:highlight w:val="none"/>
        </w:rPr>
      </w:pPr>
    </w:p>
    <w:p>
      <w:pPr>
        <w:snapToGrid w:val="0"/>
        <w:spacing w:beforeLines="50" w:after="50" w:line="360" w:lineRule="exact"/>
        <w:ind w:firstLine="3518" w:firstLineChars="1095"/>
        <w:rPr>
          <w:rFonts w:ascii="宋体" w:hAnsi="宋体"/>
          <w:color w:val="auto"/>
          <w:szCs w:val="21"/>
          <w:highlight w:val="none"/>
        </w:rPr>
      </w:pPr>
      <w:r>
        <w:rPr>
          <w:rFonts w:hint="eastAsia" w:ascii="宋体" w:hAnsi="宋体"/>
          <w:b/>
          <w:bCs/>
          <w:color w:val="auto"/>
          <w:sz w:val="32"/>
          <w:szCs w:val="32"/>
          <w:highlight w:val="none"/>
        </w:rPr>
        <w:t xml:space="preserve">投 标 文 件   </w:t>
      </w:r>
      <w:r>
        <w:rPr>
          <w:rFonts w:hint="eastAsia" w:ascii="宋体" w:hAnsi="宋体"/>
          <w:b/>
          <w:bCs/>
          <w:color w:val="auto"/>
          <w:szCs w:val="21"/>
          <w:highlight w:val="none"/>
        </w:rPr>
        <w:t xml:space="preserve">           </w:t>
      </w:r>
    </w:p>
    <w:p>
      <w:pPr>
        <w:snapToGrid w:val="0"/>
        <w:spacing w:beforeLines="50" w:after="50" w:line="360" w:lineRule="exact"/>
        <w:ind w:firstLine="630" w:firstLineChars="300"/>
        <w:rPr>
          <w:rFonts w:ascii="宋体" w:hAnsi="宋体"/>
          <w:bCs/>
          <w:color w:val="auto"/>
          <w:szCs w:val="21"/>
          <w:highlight w:val="none"/>
        </w:rPr>
      </w:pPr>
      <w:r>
        <w:rPr>
          <w:rFonts w:hint="eastAsia" w:ascii="宋体" w:hAnsi="宋体"/>
          <w:bCs/>
          <w:color w:val="auto"/>
          <w:szCs w:val="21"/>
          <w:highlight w:val="none"/>
        </w:rPr>
        <w:t xml:space="preserve">采购项目名称： </w:t>
      </w:r>
    </w:p>
    <w:p>
      <w:pPr>
        <w:snapToGrid w:val="0"/>
        <w:spacing w:beforeLines="50" w:after="50" w:line="360" w:lineRule="exact"/>
        <w:ind w:firstLine="630" w:firstLineChars="300"/>
        <w:rPr>
          <w:rFonts w:ascii="宋体" w:hAnsi="宋体"/>
          <w:bCs/>
          <w:color w:val="auto"/>
          <w:szCs w:val="21"/>
          <w:highlight w:val="none"/>
        </w:rPr>
      </w:pPr>
      <w:r>
        <w:rPr>
          <w:rFonts w:hint="eastAsia" w:ascii="宋体" w:hAnsi="宋体"/>
          <w:bCs/>
          <w:color w:val="auto"/>
          <w:szCs w:val="21"/>
          <w:highlight w:val="none"/>
        </w:rPr>
        <w:t>采购项目编号：</w:t>
      </w:r>
    </w:p>
    <w:p>
      <w:pPr>
        <w:snapToGrid w:val="0"/>
        <w:spacing w:beforeLines="50" w:after="50" w:line="360" w:lineRule="exact"/>
        <w:ind w:firstLine="630" w:firstLineChars="300"/>
        <w:rPr>
          <w:rFonts w:ascii="宋体" w:hAnsi="宋体"/>
          <w:bCs/>
          <w:color w:val="auto"/>
          <w:szCs w:val="21"/>
          <w:highlight w:val="none"/>
          <w:u w:val="single"/>
        </w:rPr>
      </w:pPr>
      <w:r>
        <w:rPr>
          <w:rFonts w:hint="eastAsia" w:ascii="宋体" w:hAnsi="宋体"/>
          <w:bCs/>
          <w:color w:val="auto"/>
          <w:szCs w:val="21"/>
          <w:highlight w:val="none"/>
        </w:rPr>
        <w:t>所投分标：</w:t>
      </w:r>
      <w:r>
        <w:rPr>
          <w:rFonts w:hint="eastAsia" w:ascii="宋体" w:hAnsi="宋体"/>
          <w:bCs/>
          <w:color w:val="auto"/>
          <w:szCs w:val="21"/>
          <w:highlight w:val="none"/>
          <w:u w:val="single"/>
        </w:rPr>
        <w:t xml:space="preserve">        </w:t>
      </w:r>
      <w:r>
        <w:rPr>
          <w:rFonts w:hint="eastAsia" w:ascii="宋体" w:hAnsi="宋体"/>
          <w:b/>
          <w:bCs/>
          <w:color w:val="auto"/>
          <w:szCs w:val="21"/>
          <w:highlight w:val="none"/>
          <w:u w:val="single"/>
        </w:rPr>
        <w:t>本项目</w:t>
      </w:r>
      <w:r>
        <w:rPr>
          <w:rFonts w:hint="eastAsia" w:ascii="宋体" w:hAnsi="宋体"/>
          <w:bCs/>
          <w:color w:val="auto"/>
          <w:szCs w:val="21"/>
          <w:highlight w:val="none"/>
          <w:u w:val="single"/>
        </w:rPr>
        <w:t xml:space="preserve">   </w:t>
      </w:r>
    </w:p>
    <w:p>
      <w:pPr>
        <w:pStyle w:val="7"/>
        <w:snapToGrid w:val="0"/>
        <w:spacing w:before="50" w:after="50" w:line="440" w:lineRule="exact"/>
        <w:ind w:firstLine="632" w:firstLineChars="300"/>
        <w:rPr>
          <w:rFonts w:ascii="宋体" w:hAnsi="宋体"/>
          <w:b/>
          <w:bCs/>
          <w:color w:val="auto"/>
          <w:szCs w:val="21"/>
          <w:highlight w:val="none"/>
        </w:rPr>
      </w:pPr>
      <w:r>
        <w:rPr>
          <w:rFonts w:hint="eastAsia" w:ascii="宋体" w:hAnsi="宋体"/>
          <w:b/>
          <w:bCs/>
          <w:color w:val="auto"/>
          <w:szCs w:val="21"/>
          <w:highlight w:val="none"/>
        </w:rPr>
        <w:t>投标文件名称：资格文件</w:t>
      </w:r>
    </w:p>
    <w:p>
      <w:pPr>
        <w:pStyle w:val="7"/>
        <w:snapToGrid w:val="0"/>
        <w:spacing w:before="50" w:after="50" w:line="440" w:lineRule="exact"/>
        <w:ind w:firstLine="630" w:firstLineChars="300"/>
        <w:rPr>
          <w:rFonts w:ascii="宋体" w:hAnsi="宋体"/>
          <w:bCs/>
          <w:color w:val="auto"/>
          <w:szCs w:val="21"/>
          <w:highlight w:val="none"/>
        </w:rPr>
      </w:pPr>
      <w:r>
        <w:rPr>
          <w:rFonts w:hint="eastAsia" w:ascii="宋体" w:hAnsi="宋体"/>
          <w:bCs/>
          <w:color w:val="auto"/>
          <w:szCs w:val="21"/>
          <w:highlight w:val="none"/>
        </w:rPr>
        <w:t>投标人名称：（盖章）</w:t>
      </w:r>
    </w:p>
    <w:p>
      <w:pPr>
        <w:pStyle w:val="7"/>
        <w:snapToGrid w:val="0"/>
        <w:spacing w:before="50" w:after="50" w:line="440" w:lineRule="exact"/>
        <w:ind w:firstLine="630" w:firstLineChars="300"/>
        <w:rPr>
          <w:rFonts w:ascii="宋体" w:hAnsi="宋体"/>
          <w:bCs/>
          <w:color w:val="auto"/>
          <w:szCs w:val="21"/>
          <w:highlight w:val="none"/>
        </w:rPr>
      </w:pPr>
      <w:r>
        <w:rPr>
          <w:rFonts w:hint="eastAsia" w:ascii="宋体" w:hAnsi="宋体"/>
          <w:bCs/>
          <w:color w:val="auto"/>
          <w:szCs w:val="21"/>
          <w:highlight w:val="none"/>
        </w:rPr>
        <w:t>投标人地址：</w:t>
      </w:r>
    </w:p>
    <w:p>
      <w:pPr>
        <w:pStyle w:val="7"/>
        <w:snapToGrid w:val="0"/>
        <w:spacing w:before="50" w:after="50" w:line="360" w:lineRule="exact"/>
        <w:ind w:firstLine="630" w:firstLineChars="300"/>
        <w:rPr>
          <w:rFonts w:ascii="宋体" w:hAnsi="宋体"/>
          <w:bCs/>
          <w:color w:val="auto"/>
          <w:szCs w:val="21"/>
          <w:highlight w:val="none"/>
        </w:rPr>
      </w:pPr>
      <w:r>
        <w:rPr>
          <w:rFonts w:hint="eastAsia" w:ascii="宋体" w:hAnsi="宋体"/>
          <w:bCs/>
          <w:color w:val="auto"/>
          <w:szCs w:val="21"/>
          <w:highlight w:val="none"/>
        </w:rPr>
        <w:t xml:space="preserve">在  </w:t>
      </w:r>
      <w:r>
        <w:rPr>
          <w:rFonts w:hint="eastAsia" w:ascii="宋体" w:hAnsi="宋体"/>
          <w:color w:val="auto"/>
          <w:szCs w:val="21"/>
          <w:highlight w:val="none"/>
        </w:rPr>
        <w:t>×年×月×日×时×分前</w:t>
      </w:r>
      <w:r>
        <w:rPr>
          <w:rFonts w:hint="eastAsia" w:ascii="宋体" w:hAnsi="宋体"/>
          <w:bCs/>
          <w:color w:val="auto"/>
          <w:szCs w:val="21"/>
          <w:highlight w:val="none"/>
        </w:rPr>
        <w:t>不得启封（开标时才能启封）</w:t>
      </w:r>
    </w:p>
    <w:p>
      <w:pPr>
        <w:snapToGrid w:val="0"/>
        <w:spacing w:beforeLines="50" w:after="50" w:line="360" w:lineRule="exact"/>
        <w:rPr>
          <w:rFonts w:ascii="宋体" w:hAnsi="宋体"/>
          <w:color w:val="auto"/>
          <w:szCs w:val="21"/>
          <w:highlight w:val="none"/>
        </w:rPr>
      </w:pPr>
    </w:p>
    <w:p>
      <w:pPr>
        <w:snapToGrid w:val="0"/>
        <w:spacing w:beforeLines="50" w:after="50" w:line="360" w:lineRule="exact"/>
        <w:ind w:firstLine="3518" w:firstLineChars="1095"/>
        <w:rPr>
          <w:rFonts w:ascii="宋体" w:hAnsi="宋体"/>
          <w:b/>
          <w:bCs/>
          <w:color w:val="auto"/>
          <w:sz w:val="32"/>
          <w:szCs w:val="32"/>
          <w:highlight w:val="none"/>
        </w:rPr>
      </w:pPr>
    </w:p>
    <w:p>
      <w:pPr>
        <w:snapToGrid w:val="0"/>
        <w:spacing w:beforeLines="50" w:after="50" w:line="360" w:lineRule="exact"/>
        <w:ind w:firstLine="3518" w:firstLineChars="1095"/>
        <w:rPr>
          <w:rFonts w:ascii="宋体" w:hAnsi="宋体"/>
          <w:color w:val="auto"/>
          <w:szCs w:val="21"/>
          <w:highlight w:val="none"/>
        </w:rPr>
      </w:pPr>
      <w:r>
        <w:rPr>
          <w:rFonts w:hint="eastAsia" w:ascii="宋体" w:hAnsi="宋体"/>
          <w:b/>
          <w:bCs/>
          <w:color w:val="auto"/>
          <w:sz w:val="32"/>
          <w:szCs w:val="32"/>
          <w:highlight w:val="none"/>
        </w:rPr>
        <w:t xml:space="preserve"> 投 标 文 件   </w:t>
      </w:r>
      <w:r>
        <w:rPr>
          <w:rFonts w:hint="eastAsia" w:ascii="宋体" w:hAnsi="宋体"/>
          <w:b/>
          <w:bCs/>
          <w:color w:val="auto"/>
          <w:szCs w:val="21"/>
          <w:highlight w:val="none"/>
        </w:rPr>
        <w:t xml:space="preserve">           </w:t>
      </w:r>
    </w:p>
    <w:p>
      <w:pPr>
        <w:snapToGrid w:val="0"/>
        <w:spacing w:beforeLines="50" w:after="50" w:line="360" w:lineRule="exact"/>
        <w:ind w:firstLine="630" w:firstLineChars="300"/>
        <w:rPr>
          <w:rFonts w:ascii="宋体" w:hAnsi="宋体"/>
          <w:bCs/>
          <w:color w:val="auto"/>
          <w:szCs w:val="21"/>
          <w:highlight w:val="none"/>
        </w:rPr>
      </w:pPr>
      <w:r>
        <w:rPr>
          <w:rFonts w:hint="eastAsia" w:ascii="宋体" w:hAnsi="宋体"/>
          <w:bCs/>
          <w:color w:val="auto"/>
          <w:szCs w:val="21"/>
          <w:highlight w:val="none"/>
        </w:rPr>
        <w:t xml:space="preserve">采购项目名称： </w:t>
      </w:r>
    </w:p>
    <w:p>
      <w:pPr>
        <w:snapToGrid w:val="0"/>
        <w:spacing w:beforeLines="50" w:after="50" w:line="360" w:lineRule="exact"/>
        <w:ind w:firstLine="630" w:firstLineChars="300"/>
        <w:rPr>
          <w:rFonts w:ascii="宋体" w:hAnsi="宋体"/>
          <w:bCs/>
          <w:color w:val="auto"/>
          <w:szCs w:val="21"/>
          <w:highlight w:val="none"/>
        </w:rPr>
      </w:pPr>
      <w:r>
        <w:rPr>
          <w:rFonts w:hint="eastAsia" w:ascii="宋体" w:hAnsi="宋体"/>
          <w:bCs/>
          <w:color w:val="auto"/>
          <w:szCs w:val="21"/>
          <w:highlight w:val="none"/>
        </w:rPr>
        <w:t>采购项目编号：</w:t>
      </w:r>
    </w:p>
    <w:p>
      <w:pPr>
        <w:snapToGrid w:val="0"/>
        <w:spacing w:beforeLines="50" w:after="50" w:line="360" w:lineRule="exact"/>
        <w:ind w:firstLine="630" w:firstLineChars="300"/>
        <w:rPr>
          <w:rFonts w:ascii="宋体" w:hAnsi="宋体"/>
          <w:b/>
          <w:bCs/>
          <w:color w:val="auto"/>
          <w:szCs w:val="21"/>
          <w:highlight w:val="none"/>
          <w:u w:val="single"/>
        </w:rPr>
      </w:pPr>
      <w:r>
        <w:rPr>
          <w:rFonts w:hint="eastAsia" w:ascii="宋体" w:hAnsi="宋体"/>
          <w:bCs/>
          <w:color w:val="auto"/>
          <w:szCs w:val="21"/>
          <w:highlight w:val="none"/>
        </w:rPr>
        <w:t>所投分标：</w:t>
      </w:r>
      <w:r>
        <w:rPr>
          <w:rFonts w:hint="eastAsia" w:ascii="宋体" w:hAnsi="宋体"/>
          <w:bCs/>
          <w:color w:val="auto"/>
          <w:szCs w:val="21"/>
          <w:highlight w:val="none"/>
          <w:u w:val="single"/>
        </w:rPr>
        <w:t xml:space="preserve">      </w:t>
      </w:r>
      <w:r>
        <w:rPr>
          <w:rFonts w:hint="eastAsia" w:ascii="宋体" w:hAnsi="宋体"/>
          <w:b/>
          <w:bCs/>
          <w:color w:val="auto"/>
          <w:szCs w:val="21"/>
          <w:highlight w:val="none"/>
          <w:u w:val="single"/>
        </w:rPr>
        <w:t xml:space="preserve">本项目      </w:t>
      </w:r>
    </w:p>
    <w:p>
      <w:pPr>
        <w:snapToGrid w:val="0"/>
        <w:spacing w:beforeLines="50" w:after="50" w:line="360" w:lineRule="exact"/>
        <w:ind w:firstLine="632" w:firstLineChars="300"/>
        <w:rPr>
          <w:rFonts w:ascii="宋体" w:hAnsi="宋体"/>
          <w:b/>
          <w:bCs/>
          <w:color w:val="auto"/>
          <w:szCs w:val="21"/>
          <w:highlight w:val="none"/>
        </w:rPr>
      </w:pPr>
      <w:r>
        <w:rPr>
          <w:rFonts w:hint="eastAsia" w:ascii="宋体" w:hAnsi="宋体"/>
          <w:b/>
          <w:bCs/>
          <w:color w:val="auto"/>
          <w:szCs w:val="21"/>
          <w:highlight w:val="none"/>
        </w:rPr>
        <w:t>投标文件名称：资信及商务文件、技术文件、报价文件</w:t>
      </w:r>
      <w:r>
        <w:rPr>
          <w:rFonts w:hint="eastAsia"/>
          <w:b/>
          <w:color w:val="auto"/>
          <w:szCs w:val="21"/>
          <w:highlight w:val="none"/>
        </w:rPr>
        <w:t>及投标文件电子版光盘</w:t>
      </w:r>
    </w:p>
    <w:p>
      <w:pPr>
        <w:pStyle w:val="7"/>
        <w:snapToGrid w:val="0"/>
        <w:spacing w:before="50" w:after="50" w:line="440" w:lineRule="exact"/>
        <w:ind w:firstLine="630" w:firstLineChars="300"/>
        <w:rPr>
          <w:rFonts w:ascii="宋体" w:hAnsi="宋体"/>
          <w:bCs/>
          <w:color w:val="auto"/>
          <w:szCs w:val="21"/>
          <w:highlight w:val="none"/>
        </w:rPr>
      </w:pPr>
      <w:r>
        <w:rPr>
          <w:rFonts w:hint="eastAsia" w:ascii="宋体" w:hAnsi="宋体"/>
          <w:bCs/>
          <w:color w:val="auto"/>
          <w:szCs w:val="21"/>
          <w:highlight w:val="none"/>
        </w:rPr>
        <w:t>投标人名称：（盖章）</w:t>
      </w:r>
    </w:p>
    <w:p>
      <w:pPr>
        <w:pStyle w:val="7"/>
        <w:snapToGrid w:val="0"/>
        <w:spacing w:before="50" w:after="50" w:line="440" w:lineRule="exact"/>
        <w:ind w:firstLine="630" w:firstLineChars="300"/>
        <w:rPr>
          <w:rFonts w:ascii="宋体" w:hAnsi="宋体"/>
          <w:bCs/>
          <w:color w:val="auto"/>
          <w:szCs w:val="21"/>
          <w:highlight w:val="none"/>
        </w:rPr>
      </w:pPr>
      <w:r>
        <w:rPr>
          <w:rFonts w:hint="eastAsia" w:ascii="宋体" w:hAnsi="宋体"/>
          <w:bCs/>
          <w:color w:val="auto"/>
          <w:szCs w:val="21"/>
          <w:highlight w:val="none"/>
        </w:rPr>
        <w:t>投标人地址：</w:t>
      </w:r>
    </w:p>
    <w:p>
      <w:pPr>
        <w:pStyle w:val="7"/>
        <w:snapToGrid w:val="0"/>
        <w:spacing w:before="50" w:after="50" w:line="360" w:lineRule="exact"/>
        <w:ind w:firstLine="630" w:firstLineChars="300"/>
        <w:rPr>
          <w:rFonts w:ascii="宋体" w:hAnsi="宋体"/>
          <w:bCs/>
          <w:color w:val="auto"/>
          <w:szCs w:val="21"/>
          <w:highlight w:val="none"/>
        </w:rPr>
      </w:pPr>
      <w:r>
        <w:rPr>
          <w:rFonts w:hint="eastAsia" w:ascii="宋体" w:hAnsi="宋体"/>
          <w:bCs/>
          <w:color w:val="auto"/>
          <w:szCs w:val="21"/>
          <w:highlight w:val="none"/>
        </w:rPr>
        <w:t xml:space="preserve">在  </w:t>
      </w:r>
      <w:r>
        <w:rPr>
          <w:rFonts w:hint="eastAsia" w:ascii="宋体" w:hAnsi="宋体"/>
          <w:color w:val="auto"/>
          <w:szCs w:val="21"/>
          <w:highlight w:val="none"/>
        </w:rPr>
        <w:t>×年×月×日×时×分前</w:t>
      </w:r>
      <w:r>
        <w:rPr>
          <w:rFonts w:hint="eastAsia" w:ascii="宋体" w:hAnsi="宋体"/>
          <w:bCs/>
          <w:color w:val="auto"/>
          <w:szCs w:val="21"/>
          <w:highlight w:val="none"/>
        </w:rPr>
        <w:t>不得启封（开标时才能启封）</w:t>
      </w:r>
    </w:p>
    <w:p>
      <w:pPr>
        <w:snapToGrid w:val="0"/>
        <w:spacing w:beforeLines="50" w:after="50" w:line="360" w:lineRule="exact"/>
        <w:ind w:firstLine="2299" w:firstLineChars="1095"/>
        <w:rPr>
          <w:rFonts w:ascii="宋体" w:hAnsi="宋体"/>
          <w:color w:val="auto"/>
          <w:szCs w:val="21"/>
          <w:highlight w:val="none"/>
        </w:rPr>
      </w:pPr>
    </w:p>
    <w:p>
      <w:pPr>
        <w:snapToGrid w:val="0"/>
        <w:spacing w:beforeLines="50" w:after="50" w:line="360" w:lineRule="exact"/>
        <w:outlineLvl w:val="0"/>
        <w:rPr>
          <w:rFonts w:ascii="宋体" w:hAnsi="宋体"/>
          <w:b/>
          <w:color w:val="auto"/>
          <w:szCs w:val="21"/>
          <w:highlight w:val="none"/>
        </w:rPr>
      </w:pPr>
    </w:p>
    <w:p>
      <w:pPr>
        <w:snapToGrid w:val="0"/>
        <w:spacing w:beforeLines="50" w:after="50" w:line="360" w:lineRule="exact"/>
        <w:outlineLvl w:val="0"/>
        <w:rPr>
          <w:rFonts w:ascii="宋体" w:hAnsi="宋体"/>
          <w:b/>
          <w:color w:val="auto"/>
          <w:szCs w:val="21"/>
          <w:highlight w:val="none"/>
        </w:rPr>
      </w:pPr>
    </w:p>
    <w:p>
      <w:pPr>
        <w:snapToGrid w:val="0"/>
        <w:spacing w:beforeLines="50" w:after="50" w:line="360" w:lineRule="exact"/>
        <w:outlineLvl w:val="0"/>
        <w:rPr>
          <w:rFonts w:ascii="宋体" w:hAnsi="宋体"/>
          <w:b/>
          <w:color w:val="auto"/>
          <w:szCs w:val="21"/>
          <w:highlight w:val="none"/>
        </w:rPr>
      </w:pPr>
    </w:p>
    <w:p>
      <w:pPr>
        <w:snapToGrid w:val="0"/>
        <w:spacing w:beforeLines="50" w:after="50" w:line="360" w:lineRule="exact"/>
        <w:outlineLvl w:val="0"/>
        <w:rPr>
          <w:rFonts w:ascii="宋体" w:hAnsi="宋体"/>
          <w:b/>
          <w:color w:val="auto"/>
          <w:szCs w:val="21"/>
          <w:highlight w:val="none"/>
        </w:rPr>
      </w:pPr>
    </w:p>
    <w:p>
      <w:pPr>
        <w:snapToGrid w:val="0"/>
        <w:spacing w:beforeLines="50" w:after="50" w:line="360" w:lineRule="exact"/>
        <w:outlineLvl w:val="0"/>
        <w:rPr>
          <w:rFonts w:ascii="宋体" w:hAnsi="宋体"/>
          <w:b/>
          <w:color w:val="auto"/>
          <w:sz w:val="24"/>
          <w:highlight w:val="none"/>
        </w:rPr>
      </w:pPr>
      <w:r>
        <w:rPr>
          <w:rFonts w:hint="eastAsia" w:ascii="宋体" w:hAnsi="宋体"/>
          <w:b/>
          <w:color w:val="auto"/>
          <w:szCs w:val="21"/>
          <w:highlight w:val="none"/>
        </w:rPr>
        <w:t>二）投标文件封面格式：</w:t>
      </w:r>
      <w:r>
        <w:rPr>
          <w:rFonts w:hint="eastAsia" w:ascii="宋体" w:hAnsi="宋体"/>
          <w:b/>
          <w:color w:val="auto"/>
          <w:sz w:val="24"/>
          <w:highlight w:val="none"/>
        </w:rPr>
        <w:t xml:space="preserve"> </w:t>
      </w:r>
    </w:p>
    <w:p>
      <w:pPr>
        <w:snapToGrid w:val="0"/>
        <w:spacing w:beforeLines="50" w:after="50" w:line="360" w:lineRule="exact"/>
        <w:rPr>
          <w:rFonts w:ascii="宋体" w:hAnsi="宋体"/>
          <w:color w:val="auto"/>
          <w:sz w:val="24"/>
          <w:highlight w:val="none"/>
        </w:rPr>
      </w:pPr>
    </w:p>
    <w:p>
      <w:pPr>
        <w:snapToGrid w:val="0"/>
        <w:spacing w:beforeLines="50" w:after="50" w:line="360" w:lineRule="exact"/>
        <w:rPr>
          <w:rFonts w:ascii="宋体" w:hAnsi="宋体"/>
          <w:bCs/>
          <w:color w:val="auto"/>
          <w:sz w:val="24"/>
          <w:highlight w:val="none"/>
        </w:rPr>
      </w:pPr>
      <w:r>
        <w:rPr>
          <w:rFonts w:hint="eastAsia" w:ascii="宋体" w:hAnsi="宋体"/>
          <w:color w:val="auto"/>
          <w:sz w:val="24"/>
          <w:highlight w:val="none"/>
        </w:rPr>
        <w:t xml:space="preserve">                                                    </w:t>
      </w:r>
      <w:r>
        <w:rPr>
          <w:rFonts w:hint="eastAsia" w:ascii="宋体" w:hAnsi="宋体"/>
          <w:b/>
          <w:bCs/>
          <w:color w:val="auto"/>
          <w:szCs w:val="21"/>
          <w:highlight w:val="none"/>
        </w:rPr>
        <w:t>（正、副本）</w:t>
      </w:r>
    </w:p>
    <w:p>
      <w:pPr>
        <w:snapToGrid w:val="0"/>
        <w:spacing w:beforeLines="50" w:after="50" w:line="36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投标文件</w:t>
      </w:r>
    </w:p>
    <w:p>
      <w:pPr>
        <w:snapToGrid w:val="0"/>
        <w:spacing w:beforeLines="50" w:after="50" w:line="360" w:lineRule="exact"/>
        <w:rPr>
          <w:rFonts w:ascii="宋体" w:hAnsi="宋体"/>
          <w:bCs/>
          <w:color w:val="auto"/>
          <w:sz w:val="24"/>
          <w:highlight w:val="none"/>
        </w:rPr>
      </w:pPr>
    </w:p>
    <w:p>
      <w:pPr>
        <w:snapToGrid w:val="0"/>
        <w:spacing w:beforeLines="50" w:after="50" w:line="360" w:lineRule="exact"/>
        <w:ind w:firstLine="630" w:firstLineChars="300"/>
        <w:rPr>
          <w:rFonts w:ascii="宋体" w:hAnsi="宋体"/>
          <w:bCs/>
          <w:color w:val="auto"/>
          <w:szCs w:val="21"/>
          <w:highlight w:val="none"/>
        </w:rPr>
      </w:pPr>
      <w:r>
        <w:rPr>
          <w:rFonts w:hint="eastAsia" w:ascii="宋体" w:hAnsi="宋体"/>
          <w:bCs/>
          <w:color w:val="auto"/>
          <w:szCs w:val="21"/>
          <w:highlight w:val="none"/>
        </w:rPr>
        <w:t xml:space="preserve">项目名称： </w:t>
      </w:r>
    </w:p>
    <w:p>
      <w:pPr>
        <w:snapToGrid w:val="0"/>
        <w:spacing w:beforeLines="50" w:after="50" w:line="360" w:lineRule="exact"/>
        <w:ind w:firstLine="630" w:firstLineChars="300"/>
        <w:rPr>
          <w:rFonts w:ascii="宋体" w:hAnsi="宋体"/>
          <w:bCs/>
          <w:color w:val="auto"/>
          <w:szCs w:val="21"/>
          <w:highlight w:val="none"/>
        </w:rPr>
      </w:pPr>
      <w:r>
        <w:rPr>
          <w:rFonts w:hint="eastAsia" w:ascii="宋体" w:hAnsi="宋体"/>
          <w:bCs/>
          <w:color w:val="auto"/>
          <w:szCs w:val="21"/>
          <w:highlight w:val="none"/>
        </w:rPr>
        <w:t xml:space="preserve">项目编号： </w:t>
      </w:r>
    </w:p>
    <w:p>
      <w:pPr>
        <w:snapToGrid w:val="0"/>
        <w:spacing w:beforeLines="50" w:after="50" w:line="360" w:lineRule="exact"/>
        <w:ind w:firstLine="630" w:firstLineChars="300"/>
        <w:rPr>
          <w:rFonts w:ascii="宋体" w:hAnsi="宋体"/>
          <w:bCs/>
          <w:color w:val="auto"/>
          <w:szCs w:val="21"/>
          <w:highlight w:val="none"/>
        </w:rPr>
      </w:pPr>
      <w:r>
        <w:rPr>
          <w:rFonts w:hint="eastAsia" w:ascii="宋体" w:hAnsi="宋体"/>
          <w:bCs/>
          <w:color w:val="auto"/>
          <w:szCs w:val="21"/>
          <w:highlight w:val="none"/>
        </w:rPr>
        <w:t xml:space="preserve">所投分标：   </w:t>
      </w:r>
      <w:r>
        <w:rPr>
          <w:rFonts w:hint="eastAsia" w:ascii="宋体" w:hAnsi="宋体"/>
          <w:b/>
          <w:bCs/>
          <w:color w:val="auto"/>
          <w:szCs w:val="21"/>
          <w:highlight w:val="none"/>
          <w:u w:val="single"/>
        </w:rPr>
        <w:t>本项目</w:t>
      </w:r>
      <w:r>
        <w:rPr>
          <w:rFonts w:hint="eastAsia" w:ascii="宋体" w:hAnsi="宋体"/>
          <w:bCs/>
          <w:color w:val="auto"/>
          <w:szCs w:val="21"/>
          <w:highlight w:val="none"/>
        </w:rPr>
        <w:t xml:space="preserve">  </w:t>
      </w:r>
    </w:p>
    <w:p>
      <w:pPr>
        <w:snapToGrid w:val="0"/>
        <w:spacing w:beforeLines="50" w:after="50" w:line="360" w:lineRule="exact"/>
        <w:ind w:firstLine="630" w:firstLineChars="300"/>
        <w:rPr>
          <w:rFonts w:ascii="宋体" w:hAnsi="宋体"/>
          <w:bCs/>
          <w:color w:val="auto"/>
          <w:szCs w:val="21"/>
          <w:highlight w:val="none"/>
        </w:rPr>
      </w:pPr>
      <w:r>
        <w:rPr>
          <w:rFonts w:hint="eastAsia" w:ascii="宋体" w:hAnsi="宋体"/>
          <w:bCs/>
          <w:color w:val="auto"/>
          <w:szCs w:val="21"/>
          <w:highlight w:val="none"/>
        </w:rPr>
        <w:t>投标人名称：（盖章）</w:t>
      </w:r>
    </w:p>
    <w:p>
      <w:pPr>
        <w:snapToGrid w:val="0"/>
        <w:spacing w:beforeLines="50" w:after="50" w:line="360" w:lineRule="exact"/>
        <w:ind w:firstLine="630" w:firstLineChars="300"/>
        <w:rPr>
          <w:rFonts w:ascii="宋体" w:hAnsi="宋体"/>
          <w:bCs/>
          <w:color w:val="auto"/>
          <w:szCs w:val="21"/>
          <w:highlight w:val="none"/>
        </w:rPr>
      </w:pPr>
      <w:r>
        <w:rPr>
          <w:rFonts w:hint="eastAsia" w:ascii="宋体" w:hAnsi="宋体"/>
          <w:bCs/>
          <w:color w:val="auto"/>
          <w:szCs w:val="21"/>
          <w:highlight w:val="none"/>
        </w:rPr>
        <w:t>投标人地址：</w:t>
      </w:r>
    </w:p>
    <w:p>
      <w:pPr>
        <w:snapToGrid w:val="0"/>
        <w:spacing w:beforeLines="50" w:after="50" w:line="360" w:lineRule="exact"/>
        <w:jc w:val="center"/>
        <w:outlineLvl w:val="1"/>
        <w:rPr>
          <w:rFonts w:ascii="宋体" w:hAnsi="宋体"/>
          <w:color w:val="auto"/>
          <w:szCs w:val="21"/>
          <w:highlight w:val="none"/>
        </w:rPr>
      </w:pPr>
      <w:r>
        <w:rPr>
          <w:rFonts w:hint="eastAsia" w:ascii="宋体" w:hAnsi="宋体"/>
          <w:color w:val="auto"/>
          <w:sz w:val="24"/>
          <w:highlight w:val="none"/>
        </w:rPr>
        <w:t xml:space="preserve">                        年  月  日</w:t>
      </w:r>
    </w:p>
    <w:p>
      <w:pPr>
        <w:snapToGrid w:val="0"/>
        <w:spacing w:beforeLines="50" w:after="50" w:line="360" w:lineRule="exact"/>
        <w:jc w:val="center"/>
        <w:outlineLvl w:val="1"/>
        <w:rPr>
          <w:rFonts w:ascii="宋体" w:hAnsi="宋体"/>
          <w:bCs/>
          <w:color w:val="auto"/>
          <w:szCs w:val="21"/>
          <w:highlight w:val="none"/>
        </w:rPr>
      </w:pPr>
    </w:p>
    <w:p>
      <w:pPr>
        <w:snapToGrid w:val="0"/>
        <w:spacing w:beforeLines="50" w:after="50" w:line="360" w:lineRule="exact"/>
        <w:outlineLvl w:val="1"/>
        <w:rPr>
          <w:rFonts w:ascii="宋体" w:hAnsi="宋体"/>
          <w:bCs/>
          <w:color w:val="auto"/>
          <w:szCs w:val="21"/>
          <w:highlight w:val="none"/>
        </w:rPr>
      </w:pPr>
      <w:r>
        <w:rPr>
          <w:rFonts w:hint="eastAsia" w:ascii="宋体" w:hAnsi="宋体"/>
          <w:bCs/>
          <w:color w:val="auto"/>
          <w:szCs w:val="21"/>
          <w:highlight w:val="none"/>
        </w:rPr>
        <w:t>[注：</w:t>
      </w:r>
      <w:r>
        <w:rPr>
          <w:rFonts w:hint="eastAsia" w:ascii="宋体"/>
          <w:color w:val="auto"/>
          <w:szCs w:val="21"/>
          <w:highlight w:val="none"/>
        </w:rPr>
        <w:t>投标文件由资格文件、资信及商务文件、技术文件、投标报价文件</w:t>
      </w:r>
      <w:r>
        <w:rPr>
          <w:rFonts w:hint="eastAsia" w:ascii="宋体"/>
          <w:b/>
          <w:color w:val="auto"/>
          <w:szCs w:val="21"/>
          <w:highlight w:val="none"/>
        </w:rPr>
        <w:t>四部份</w:t>
      </w:r>
      <w:r>
        <w:rPr>
          <w:rFonts w:hint="eastAsia" w:ascii="宋体"/>
          <w:color w:val="auto"/>
          <w:szCs w:val="21"/>
          <w:highlight w:val="none"/>
        </w:rPr>
        <w:t>组成（</w:t>
      </w:r>
      <w:r>
        <w:rPr>
          <w:rFonts w:hint="eastAsia" w:ascii="宋体"/>
          <w:b/>
          <w:color w:val="auto"/>
          <w:szCs w:val="21"/>
          <w:highlight w:val="none"/>
        </w:rPr>
        <w:t>要求资格文件装订成一本；资信及商务文件、技术文件、投标报价文件</w:t>
      </w:r>
      <w:r>
        <w:rPr>
          <w:rFonts w:hint="eastAsia" w:ascii="宋体" w:cs="Arial"/>
          <w:b/>
          <w:color w:val="auto"/>
          <w:szCs w:val="21"/>
          <w:highlight w:val="none"/>
        </w:rPr>
        <w:t>装订成一本，</w:t>
      </w:r>
      <w:r>
        <w:rPr>
          <w:rFonts w:hint="eastAsia" w:ascii="宋体" w:hAnsi="宋体"/>
          <w:bCs/>
          <w:color w:val="auto"/>
          <w:szCs w:val="21"/>
          <w:highlight w:val="none"/>
        </w:rPr>
        <w:t>其中资信及商务文件、技术文件、报价文件部分分别用封面标记分隔]</w:t>
      </w:r>
    </w:p>
    <w:p>
      <w:pPr>
        <w:snapToGrid w:val="0"/>
        <w:spacing w:beforeLines="50" w:after="50" w:line="360" w:lineRule="exact"/>
        <w:jc w:val="center"/>
        <w:outlineLvl w:val="0"/>
        <w:rPr>
          <w:rFonts w:ascii="宋体" w:hAnsi="宋体"/>
          <w:bCs/>
          <w:color w:val="auto"/>
          <w:sz w:val="24"/>
          <w:highlight w:val="none"/>
        </w:rPr>
      </w:pPr>
    </w:p>
    <w:p>
      <w:pPr>
        <w:snapToGrid w:val="0"/>
        <w:spacing w:beforeLines="50" w:after="50" w:line="360" w:lineRule="exact"/>
        <w:jc w:val="center"/>
        <w:outlineLvl w:val="0"/>
        <w:rPr>
          <w:rFonts w:ascii="宋体" w:hAnsi="宋体"/>
          <w:bCs/>
          <w:color w:val="auto"/>
          <w:sz w:val="24"/>
          <w:highlight w:val="none"/>
        </w:rPr>
      </w:pPr>
    </w:p>
    <w:p>
      <w:pPr>
        <w:snapToGrid w:val="0"/>
        <w:spacing w:beforeLines="50" w:after="50" w:line="360" w:lineRule="exact"/>
        <w:jc w:val="center"/>
        <w:outlineLvl w:val="0"/>
        <w:rPr>
          <w:rFonts w:ascii="宋体" w:hAnsi="宋体"/>
          <w:bCs/>
          <w:color w:val="auto"/>
          <w:sz w:val="24"/>
          <w:highlight w:val="none"/>
        </w:rPr>
      </w:pPr>
    </w:p>
    <w:p>
      <w:pPr>
        <w:snapToGrid w:val="0"/>
        <w:spacing w:beforeLines="50" w:after="50" w:line="360" w:lineRule="exact"/>
        <w:jc w:val="center"/>
        <w:outlineLvl w:val="0"/>
        <w:rPr>
          <w:rFonts w:ascii="宋体" w:hAnsi="宋体"/>
          <w:bCs/>
          <w:color w:val="auto"/>
          <w:sz w:val="24"/>
          <w:highlight w:val="none"/>
        </w:rPr>
      </w:pPr>
    </w:p>
    <w:p>
      <w:pPr>
        <w:snapToGrid w:val="0"/>
        <w:spacing w:beforeLines="50" w:after="50" w:line="360" w:lineRule="exact"/>
        <w:jc w:val="center"/>
        <w:outlineLvl w:val="0"/>
        <w:rPr>
          <w:rFonts w:ascii="宋体" w:hAnsi="宋体"/>
          <w:bCs/>
          <w:color w:val="auto"/>
          <w:sz w:val="24"/>
          <w:highlight w:val="none"/>
        </w:rPr>
      </w:pPr>
    </w:p>
    <w:p>
      <w:pPr>
        <w:snapToGrid w:val="0"/>
        <w:spacing w:beforeLines="50" w:after="50" w:line="360" w:lineRule="exact"/>
        <w:jc w:val="center"/>
        <w:outlineLvl w:val="0"/>
        <w:rPr>
          <w:rFonts w:ascii="宋体" w:hAnsi="宋体"/>
          <w:bCs/>
          <w:color w:val="auto"/>
          <w:sz w:val="24"/>
          <w:highlight w:val="none"/>
        </w:rPr>
      </w:pPr>
    </w:p>
    <w:p>
      <w:pPr>
        <w:snapToGrid w:val="0"/>
        <w:spacing w:beforeLines="50" w:after="50" w:line="360" w:lineRule="exact"/>
        <w:jc w:val="center"/>
        <w:outlineLvl w:val="0"/>
        <w:rPr>
          <w:rFonts w:ascii="宋体" w:hAnsi="宋体"/>
          <w:bCs/>
          <w:color w:val="auto"/>
          <w:sz w:val="24"/>
          <w:highlight w:val="none"/>
        </w:rPr>
      </w:pPr>
    </w:p>
    <w:p>
      <w:pPr>
        <w:snapToGrid w:val="0"/>
        <w:spacing w:beforeLines="50" w:after="50" w:line="360" w:lineRule="exact"/>
        <w:jc w:val="center"/>
        <w:outlineLvl w:val="0"/>
        <w:rPr>
          <w:rFonts w:ascii="宋体" w:hAnsi="宋体"/>
          <w:bCs/>
          <w:color w:val="auto"/>
          <w:sz w:val="24"/>
          <w:highlight w:val="none"/>
        </w:rPr>
      </w:pPr>
    </w:p>
    <w:p>
      <w:pPr>
        <w:snapToGrid w:val="0"/>
        <w:spacing w:beforeLines="50" w:after="50" w:line="360" w:lineRule="exact"/>
        <w:jc w:val="center"/>
        <w:outlineLvl w:val="0"/>
        <w:rPr>
          <w:rFonts w:ascii="宋体" w:hAnsi="宋体"/>
          <w:bCs/>
          <w:color w:val="auto"/>
          <w:sz w:val="24"/>
          <w:highlight w:val="none"/>
        </w:rPr>
      </w:pPr>
    </w:p>
    <w:p>
      <w:pPr>
        <w:snapToGrid w:val="0"/>
        <w:spacing w:beforeLines="50" w:after="50" w:line="360" w:lineRule="exact"/>
        <w:jc w:val="center"/>
        <w:outlineLvl w:val="0"/>
        <w:rPr>
          <w:rFonts w:ascii="宋体" w:hAnsi="宋体"/>
          <w:bCs/>
          <w:color w:val="auto"/>
          <w:sz w:val="24"/>
          <w:highlight w:val="none"/>
        </w:rPr>
      </w:pPr>
    </w:p>
    <w:p>
      <w:pPr>
        <w:snapToGrid w:val="0"/>
        <w:spacing w:beforeLines="50" w:after="50" w:line="360" w:lineRule="exact"/>
        <w:jc w:val="center"/>
        <w:outlineLvl w:val="0"/>
        <w:rPr>
          <w:rFonts w:ascii="宋体" w:hAnsi="宋体"/>
          <w:bCs/>
          <w:color w:val="auto"/>
          <w:sz w:val="24"/>
          <w:highlight w:val="none"/>
        </w:rPr>
      </w:pPr>
    </w:p>
    <w:p>
      <w:pPr>
        <w:snapToGrid w:val="0"/>
        <w:spacing w:beforeLines="50" w:after="50" w:line="360" w:lineRule="exact"/>
        <w:jc w:val="center"/>
        <w:outlineLvl w:val="0"/>
        <w:rPr>
          <w:rFonts w:ascii="宋体" w:hAnsi="宋体"/>
          <w:bCs/>
          <w:color w:val="auto"/>
          <w:sz w:val="24"/>
          <w:highlight w:val="none"/>
        </w:rPr>
      </w:pPr>
    </w:p>
    <w:p>
      <w:pPr>
        <w:snapToGrid w:val="0"/>
        <w:spacing w:beforeLines="50" w:after="50" w:line="360" w:lineRule="exact"/>
        <w:jc w:val="center"/>
        <w:outlineLvl w:val="0"/>
        <w:rPr>
          <w:rFonts w:ascii="宋体" w:hAnsi="宋体"/>
          <w:bCs/>
          <w:color w:val="auto"/>
          <w:sz w:val="24"/>
          <w:highlight w:val="none"/>
        </w:rPr>
      </w:pPr>
    </w:p>
    <w:p>
      <w:pPr>
        <w:snapToGrid w:val="0"/>
        <w:spacing w:beforeLines="50" w:after="50" w:line="360" w:lineRule="exact"/>
        <w:jc w:val="center"/>
        <w:outlineLvl w:val="0"/>
        <w:rPr>
          <w:rFonts w:ascii="黑体" w:hAnsi="宋体" w:eastAsia="黑体"/>
          <w:bCs/>
          <w:color w:val="auto"/>
          <w:sz w:val="32"/>
          <w:szCs w:val="32"/>
          <w:highlight w:val="none"/>
        </w:rPr>
      </w:pPr>
      <w:r>
        <w:rPr>
          <w:rFonts w:hint="eastAsia" w:ascii="黑体" w:hAnsi="宋体" w:eastAsia="黑体"/>
          <w:bCs/>
          <w:color w:val="auto"/>
          <w:sz w:val="32"/>
          <w:szCs w:val="32"/>
          <w:highlight w:val="none"/>
        </w:rPr>
        <w:t>二、投标文件目录</w:t>
      </w:r>
    </w:p>
    <w:p>
      <w:pPr>
        <w:snapToGrid w:val="0"/>
        <w:spacing w:beforeLines="50" w:after="50" w:line="360" w:lineRule="exact"/>
        <w:jc w:val="center"/>
        <w:outlineLvl w:val="0"/>
        <w:rPr>
          <w:rFonts w:ascii="黑体" w:hAnsi="宋体" w:eastAsia="黑体"/>
          <w:bCs/>
          <w:color w:val="auto"/>
          <w:sz w:val="32"/>
          <w:szCs w:val="32"/>
          <w:highlight w:val="none"/>
        </w:rPr>
      </w:pPr>
    </w:p>
    <w:p>
      <w:pPr>
        <w:snapToGrid w:val="0"/>
        <w:spacing w:beforeLines="50"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1.资格文件：</w:t>
      </w:r>
    </w:p>
    <w:p>
      <w:pPr>
        <w:snapToGrid w:val="0"/>
        <w:spacing w:line="360" w:lineRule="exact"/>
        <w:ind w:firstLine="413" w:firstLineChars="196"/>
        <w:jc w:val="left"/>
        <w:rPr>
          <w:rFonts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有效的营业执照等证明文件复印件；</w:t>
      </w:r>
    </w:p>
    <w:p>
      <w:pPr>
        <w:pStyle w:val="26"/>
        <w:ind w:firstLine="525" w:firstLineChars="250"/>
        <w:rPr>
          <w:rFonts w:hAnsi="宋体"/>
          <w:b/>
          <w:color w:val="auto"/>
          <w:highlight w:val="none"/>
        </w:rPr>
      </w:pPr>
      <w:r>
        <w:rPr>
          <w:rFonts w:hint="eastAsia" w:hAnsi="宋体"/>
          <w:color w:val="auto"/>
          <w:highlight w:val="none"/>
        </w:rPr>
        <w:t>①投标人有效的营业执照等证明文件复印件，同时要加盖单位公章</w:t>
      </w:r>
      <w:r>
        <w:rPr>
          <w:rFonts w:hint="eastAsia" w:hAnsi="宋体"/>
          <w:b/>
          <w:color w:val="auto"/>
          <w:highlight w:val="none"/>
        </w:rPr>
        <w:t>（必须提供，原件备查）</w:t>
      </w:r>
      <w:r>
        <w:rPr>
          <w:rFonts w:hint="eastAsia" w:hAnsi="宋体"/>
          <w:color w:val="auto"/>
          <w:highlight w:val="none"/>
        </w:rPr>
        <w:t>；</w:t>
      </w:r>
    </w:p>
    <w:p>
      <w:pPr>
        <w:pStyle w:val="26"/>
        <w:spacing w:line="440" w:lineRule="exact"/>
        <w:ind w:firstLine="525" w:firstLineChars="250"/>
        <w:rPr>
          <w:rFonts w:hAnsi="宋体"/>
          <w:b/>
          <w:color w:val="auto"/>
          <w:highlight w:val="none"/>
        </w:rPr>
      </w:pPr>
      <w:r>
        <w:rPr>
          <w:rFonts w:hint="eastAsia" w:hAnsi="宋体"/>
          <w:color w:val="auto"/>
          <w:highlight w:val="none"/>
        </w:rPr>
        <w:t>②对于有经营资质要求的，投标人必须提供有效的经营资质证书副本内页复印件，同时要加盖单位公章。</w:t>
      </w:r>
      <w:r>
        <w:rPr>
          <w:rFonts w:hint="eastAsia" w:hAnsi="宋体"/>
          <w:b/>
          <w:color w:val="auto"/>
          <w:highlight w:val="none"/>
        </w:rPr>
        <w:t xml:space="preserve"> </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（2）</w:t>
      </w:r>
      <w:r>
        <w:rPr>
          <w:rFonts w:hint="eastAsia" w:ascii="宋体" w:hAnsi="宋体" w:cs="宋体"/>
          <w:color w:val="auto"/>
          <w:kern w:val="0"/>
          <w:szCs w:val="21"/>
          <w:highlight w:val="none"/>
        </w:rPr>
        <w:t>参加政府采购活动前三年内在经营活动中没有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b/>
          <w:color w:val="auto"/>
          <w:szCs w:val="21"/>
          <w:highlight w:val="none"/>
        </w:rPr>
        <w:t>和信用记录查询方法；</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①</w:t>
      </w:r>
      <w:r>
        <w:rPr>
          <w:rFonts w:hint="eastAsia" w:ascii="宋体" w:hAnsi="宋体" w:cs="宋体"/>
          <w:color w:val="auto"/>
          <w:kern w:val="0"/>
          <w:szCs w:val="21"/>
          <w:highlight w:val="none"/>
        </w:rPr>
        <w:t>参加政府采购活动前三年内在经营活动中没有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color w:val="auto"/>
          <w:szCs w:val="21"/>
          <w:highlight w:val="none"/>
        </w:rPr>
        <w:t>（格式自拟，必须提供）；</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②供应商可在“信用中国”网站（www.creditchina.gov.cn）、中国政府采购网（www.ccgp.gov.cn）查询相关供应商主体信用记录。</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“信用中国”网站查询方法：投标人在本项目投标截止时间前10日内,进入投标人基本信息页面，点击“下载信用报告”后点击“下载”。</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snapToGrid w:val="0"/>
        <w:spacing w:beforeLines="50"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2.</w:t>
      </w:r>
      <w:r>
        <w:rPr>
          <w:rFonts w:hint="eastAsia" w:ascii="宋体"/>
          <w:color w:val="auto"/>
          <w:szCs w:val="21"/>
          <w:highlight w:val="none"/>
        </w:rPr>
        <w:t xml:space="preserve"> </w:t>
      </w:r>
      <w:r>
        <w:rPr>
          <w:rFonts w:hint="eastAsia" w:ascii="宋体"/>
          <w:b/>
          <w:color w:val="auto"/>
          <w:szCs w:val="21"/>
          <w:highlight w:val="none"/>
        </w:rPr>
        <w:t>资信及商务文件</w:t>
      </w:r>
      <w:r>
        <w:rPr>
          <w:rFonts w:hint="eastAsia" w:ascii="宋体" w:hAnsi="宋体"/>
          <w:b/>
          <w:color w:val="auto"/>
          <w:szCs w:val="21"/>
          <w:highlight w:val="none"/>
        </w:rPr>
        <w:t>：</w:t>
      </w:r>
    </w:p>
    <w:p>
      <w:pPr>
        <w:snapToGrid w:val="0"/>
        <w:spacing w:line="360" w:lineRule="exact"/>
        <w:ind w:firstLine="413" w:firstLineChars="196"/>
        <w:jc w:val="left"/>
        <w:rPr>
          <w:rFonts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投标保证金的相关证明 复印件（可单独提交）</w:t>
      </w:r>
      <w:r>
        <w:rPr>
          <w:rFonts w:hint="eastAsia" w:ascii="宋体" w:hAnsi="宋体"/>
          <w:b/>
          <w:color w:val="auto"/>
          <w:szCs w:val="21"/>
          <w:highlight w:val="none"/>
        </w:rPr>
        <w:t>（必须提供）</w:t>
      </w:r>
      <w:r>
        <w:rPr>
          <w:rFonts w:hint="eastAsia" w:ascii="宋体" w:hAnsi="宋体"/>
          <w:color w:val="auto"/>
          <w:szCs w:val="21"/>
          <w:highlight w:val="none"/>
        </w:rPr>
        <w:t>；</w:t>
      </w:r>
    </w:p>
    <w:p>
      <w:pPr>
        <w:snapToGrid w:val="0"/>
        <w:spacing w:line="360" w:lineRule="exact"/>
        <w:ind w:firstLine="413" w:firstLineChars="196"/>
        <w:jc w:val="left"/>
        <w:rPr>
          <w:rFonts w:ascii="宋体" w:hAnsi="宋体"/>
          <w:color w:val="auto"/>
          <w:szCs w:val="21"/>
          <w:highlight w:val="none"/>
        </w:rPr>
      </w:pPr>
      <w:r>
        <w:rPr>
          <w:rFonts w:hint="eastAsia" w:ascii="宋体" w:hAnsi="宋体"/>
          <w:b/>
          <w:color w:val="auto"/>
          <w:szCs w:val="21"/>
          <w:highlight w:val="none"/>
        </w:rPr>
        <w:t>（2）</w:t>
      </w:r>
      <w:r>
        <w:rPr>
          <w:rFonts w:hint="eastAsia" w:ascii="宋体" w:hAnsi="宋体"/>
          <w:color w:val="auto"/>
          <w:szCs w:val="21"/>
          <w:highlight w:val="none"/>
        </w:rPr>
        <w:t>投标声明书 (格式见第六章)</w:t>
      </w:r>
      <w:r>
        <w:rPr>
          <w:rFonts w:hint="eastAsia" w:ascii="宋体" w:hAnsi="宋体"/>
          <w:b/>
          <w:color w:val="auto"/>
          <w:szCs w:val="21"/>
          <w:highlight w:val="none"/>
        </w:rPr>
        <w:t>（必须提供）</w:t>
      </w:r>
      <w:r>
        <w:rPr>
          <w:rFonts w:hint="eastAsia" w:ascii="宋体" w:hAnsi="宋体"/>
          <w:color w:val="auto"/>
          <w:szCs w:val="21"/>
          <w:highlight w:val="none"/>
        </w:rPr>
        <w:t>；</w:t>
      </w:r>
    </w:p>
    <w:p>
      <w:pPr>
        <w:snapToGrid w:val="0"/>
        <w:spacing w:line="360" w:lineRule="exact"/>
        <w:ind w:firstLine="413" w:firstLineChars="196"/>
        <w:jc w:val="left"/>
        <w:rPr>
          <w:rFonts w:ascii="宋体" w:hAnsi="宋体"/>
          <w:color w:val="auto"/>
          <w:szCs w:val="21"/>
          <w:highlight w:val="none"/>
        </w:rPr>
      </w:pPr>
      <w:r>
        <w:rPr>
          <w:rFonts w:hint="eastAsia" w:ascii="宋体" w:hAnsi="宋体"/>
          <w:b/>
          <w:color w:val="auto"/>
          <w:szCs w:val="21"/>
          <w:highlight w:val="none"/>
        </w:rPr>
        <w:t>（3）</w:t>
      </w:r>
      <w:r>
        <w:rPr>
          <w:rFonts w:hint="eastAsia" w:ascii="宋体" w:hAnsi="宋体"/>
          <w:color w:val="auto"/>
          <w:szCs w:val="21"/>
          <w:highlight w:val="none"/>
        </w:rPr>
        <w:t>法定代表人授权委托书和委托代理人身份证复印件（格式见第六章)</w:t>
      </w:r>
      <w:r>
        <w:rPr>
          <w:rFonts w:hint="eastAsia" w:ascii="宋体" w:hAnsi="宋体"/>
          <w:b/>
          <w:color w:val="auto"/>
          <w:szCs w:val="21"/>
          <w:highlight w:val="none"/>
        </w:rPr>
        <w:t>（必须提供）</w:t>
      </w:r>
      <w:r>
        <w:rPr>
          <w:rFonts w:hint="eastAsia" w:ascii="宋体" w:hAnsi="宋体"/>
          <w:color w:val="auto"/>
          <w:szCs w:val="21"/>
          <w:highlight w:val="none"/>
        </w:rPr>
        <w:t>；当法定代表人参加投标时，必须提供法定代表人身份证复印件；</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（4）投标截止之日前半年内投标人连续三个月</w:t>
      </w:r>
      <w:r>
        <w:rPr>
          <w:rFonts w:hint="eastAsia" w:ascii="宋体" w:hAnsi="宋体"/>
          <w:color w:val="auto"/>
          <w:szCs w:val="21"/>
          <w:highlight w:val="none"/>
        </w:rPr>
        <w:t>依法纳税的依法缴纳税费或依法免缴税费的证明</w:t>
      </w:r>
      <w:r>
        <w:rPr>
          <w:rFonts w:hint="eastAsia" w:ascii="宋体" w:hAnsi="宋体"/>
          <w:b/>
          <w:color w:val="auto"/>
          <w:szCs w:val="21"/>
          <w:highlight w:val="none"/>
        </w:rPr>
        <w:t>（复印件，原件备查，格式自拟）（必须提供）；</w:t>
      </w:r>
      <w:r>
        <w:rPr>
          <w:rFonts w:hint="eastAsia" w:ascii="宋体" w:hAnsi="宋体"/>
          <w:color w:val="auto"/>
          <w:szCs w:val="21"/>
          <w:highlight w:val="none"/>
        </w:rPr>
        <w:t>无纳税记录的，应提供由投标人所在地主管国税或地税部门出具的《依法纳税或依法免税证明》（格式自拟，复印件，原件备查）</w:t>
      </w:r>
      <w:r>
        <w:rPr>
          <w:rFonts w:hint="eastAsia" w:ascii="宋体" w:hAnsi="宋体"/>
          <w:b/>
          <w:color w:val="auto"/>
          <w:szCs w:val="21"/>
          <w:highlight w:val="none"/>
        </w:rPr>
        <w:t>。</w:t>
      </w:r>
    </w:p>
    <w:p>
      <w:pPr>
        <w:snapToGrid w:val="0"/>
        <w:spacing w:beforeLines="50" w:after="50" w:line="360" w:lineRule="exact"/>
        <w:rPr>
          <w:rFonts w:ascii="宋体" w:hAnsi="宋体"/>
          <w:color w:val="auto"/>
          <w:szCs w:val="21"/>
          <w:highlight w:val="none"/>
        </w:rPr>
      </w:pPr>
      <w:r>
        <w:rPr>
          <w:rFonts w:hint="eastAsia" w:ascii="宋体" w:hAnsi="宋体"/>
          <w:b/>
          <w:color w:val="auto"/>
          <w:szCs w:val="21"/>
          <w:highlight w:val="none"/>
        </w:rPr>
        <w:t xml:space="preserve">    （5）</w:t>
      </w:r>
      <w:r>
        <w:rPr>
          <w:rFonts w:hint="eastAsia" w:ascii="宋体" w:hAnsi="宋体"/>
          <w:color w:val="auto"/>
          <w:szCs w:val="21"/>
          <w:highlight w:val="none"/>
        </w:rPr>
        <w:t>投标截止之日前半年内投标人连续三个月的依法缴纳社保费的缴费凭证（</w:t>
      </w:r>
      <w:r>
        <w:rPr>
          <w:rFonts w:hint="eastAsia" w:ascii="宋体" w:hAnsi="宋体"/>
          <w:b/>
          <w:color w:val="auto"/>
          <w:szCs w:val="21"/>
          <w:highlight w:val="none"/>
        </w:rPr>
        <w:t>复印件，原件备查，格式自拟）（必须提供）；</w:t>
      </w:r>
      <w:r>
        <w:rPr>
          <w:rFonts w:hint="eastAsia" w:ascii="宋体" w:hAnsi="宋体"/>
          <w:color w:val="auto"/>
          <w:szCs w:val="21"/>
          <w:highlight w:val="none"/>
        </w:rPr>
        <w:t>无缴费记录的，应提供由投标人所在地社保部门出具的《依法缴纳或依法免缴社保费证明》（格式自拟，复印件，原件备查）。</w:t>
      </w:r>
    </w:p>
    <w:p>
      <w:pPr>
        <w:snapToGrid w:val="0"/>
        <w:spacing w:line="360" w:lineRule="exact"/>
        <w:jc w:val="left"/>
        <w:rPr>
          <w:rFonts w:ascii="宋体" w:hAnsi="宋体"/>
          <w:b/>
          <w:color w:val="auto"/>
          <w:szCs w:val="21"/>
          <w:highlight w:val="none"/>
        </w:rPr>
      </w:pPr>
      <w:r>
        <w:rPr>
          <w:rFonts w:hint="eastAsia" w:ascii="宋体" w:hAnsi="宋体"/>
          <w:b/>
          <w:color w:val="auto"/>
          <w:szCs w:val="21"/>
          <w:highlight w:val="none"/>
        </w:rPr>
        <w:t xml:space="preserve">    （6）</w:t>
      </w:r>
      <w:r>
        <w:rPr>
          <w:rFonts w:hint="eastAsia" w:ascii="宋体" w:hAnsi="宋体"/>
          <w:color w:val="auto"/>
          <w:szCs w:val="21"/>
          <w:highlight w:val="none"/>
        </w:rPr>
        <w:t>财务状况报告</w:t>
      </w:r>
      <w:r>
        <w:rPr>
          <w:rFonts w:hint="eastAsia" w:ascii="宋体" w:hAnsi="宋体"/>
          <w:b/>
          <w:color w:val="auto"/>
          <w:szCs w:val="21"/>
          <w:highlight w:val="none"/>
        </w:rPr>
        <w:t>（必须提供）；</w:t>
      </w:r>
    </w:p>
    <w:p>
      <w:pPr>
        <w:snapToGrid w:val="0"/>
        <w:spacing w:line="360" w:lineRule="exact"/>
        <w:ind w:firstLine="413" w:firstLineChars="196"/>
        <w:jc w:val="left"/>
        <w:rPr>
          <w:rFonts w:ascii="宋体" w:hAnsi="宋体" w:cs="宋体"/>
          <w:b/>
          <w:color w:val="auto"/>
          <w:kern w:val="0"/>
          <w:szCs w:val="21"/>
          <w:highlight w:val="none"/>
        </w:rPr>
      </w:pPr>
      <w:r>
        <w:rPr>
          <w:rFonts w:hint="eastAsia" w:ascii="宋体" w:hAnsi="宋体" w:cs="宋体"/>
          <w:b/>
          <w:color w:val="auto"/>
          <w:kern w:val="0"/>
          <w:szCs w:val="21"/>
          <w:highlight w:val="none"/>
        </w:rPr>
        <w:t>（7）</w:t>
      </w:r>
      <w:r>
        <w:rPr>
          <w:rFonts w:hint="eastAsia" w:ascii="宋体" w:hAnsi="宋体"/>
          <w:color w:val="auto"/>
          <w:szCs w:val="21"/>
          <w:highlight w:val="none"/>
        </w:rPr>
        <w:t>具备履行合同所必需的设备和专业技术能力的证明材料</w:t>
      </w:r>
      <w:r>
        <w:rPr>
          <w:rFonts w:hint="eastAsia" w:ascii="宋体" w:hAnsi="宋体"/>
          <w:b/>
          <w:color w:val="auto"/>
          <w:szCs w:val="21"/>
          <w:highlight w:val="none"/>
        </w:rPr>
        <w:t>（格式自拟）</w:t>
      </w:r>
      <w:r>
        <w:rPr>
          <w:rFonts w:hint="eastAsia" w:ascii="宋体" w:hAnsi="宋体" w:cs="宋体"/>
          <w:b/>
          <w:color w:val="auto"/>
          <w:kern w:val="0"/>
          <w:szCs w:val="21"/>
          <w:highlight w:val="none"/>
        </w:rPr>
        <w:t>；</w:t>
      </w:r>
    </w:p>
    <w:p>
      <w:pPr>
        <w:snapToGrid w:val="0"/>
        <w:spacing w:line="360" w:lineRule="exact"/>
        <w:ind w:firstLine="411" w:firstLineChars="196"/>
        <w:jc w:val="left"/>
        <w:rPr>
          <w:rFonts w:ascii="宋体" w:hAnsi="宋体"/>
          <w:color w:val="auto"/>
          <w:szCs w:val="21"/>
          <w:highlight w:val="none"/>
        </w:rPr>
      </w:pPr>
      <w:r>
        <w:rPr>
          <w:rFonts w:hint="eastAsia" w:ascii="宋体" w:hAnsi="宋体" w:cs="宋体"/>
          <w:color w:val="auto"/>
          <w:kern w:val="0"/>
          <w:szCs w:val="21"/>
          <w:highlight w:val="none"/>
        </w:rPr>
        <w:t>（8）税务登记证复印件；</w:t>
      </w:r>
    </w:p>
    <w:p>
      <w:pPr>
        <w:snapToGrid w:val="0"/>
        <w:spacing w:line="360" w:lineRule="exact"/>
        <w:ind w:firstLine="411" w:firstLineChars="196"/>
        <w:jc w:val="left"/>
        <w:rPr>
          <w:rFonts w:ascii="宋体" w:hAnsi="宋体"/>
          <w:b/>
          <w:color w:val="auto"/>
          <w:szCs w:val="21"/>
          <w:highlight w:val="none"/>
        </w:rPr>
      </w:pPr>
      <w:r>
        <w:rPr>
          <w:rFonts w:hint="eastAsia" w:ascii="宋体" w:hAnsi="宋体"/>
          <w:color w:val="auto"/>
          <w:szCs w:val="21"/>
          <w:highlight w:val="none"/>
        </w:rPr>
        <w:t>（9）商务及其他要求表（格式见第六章）</w:t>
      </w:r>
      <w:r>
        <w:rPr>
          <w:rFonts w:hint="eastAsia" w:ascii="宋体" w:hAnsi="宋体"/>
          <w:b/>
          <w:color w:val="auto"/>
          <w:szCs w:val="21"/>
          <w:highlight w:val="none"/>
        </w:rPr>
        <w:t>（必须提供）；</w:t>
      </w:r>
    </w:p>
    <w:p>
      <w:pPr>
        <w:snapToGrid w:val="0"/>
        <w:spacing w:line="360" w:lineRule="exact"/>
        <w:ind w:firstLine="411" w:firstLineChars="196"/>
        <w:jc w:val="left"/>
        <w:rPr>
          <w:rFonts w:ascii="宋体" w:hAnsi="宋体"/>
          <w:b/>
          <w:color w:val="auto"/>
          <w:szCs w:val="21"/>
          <w:highlight w:val="none"/>
        </w:rPr>
      </w:pPr>
      <w:r>
        <w:rPr>
          <w:rFonts w:hint="eastAsia" w:ascii="宋体" w:hAnsi="宋体"/>
          <w:color w:val="auto"/>
          <w:highlight w:val="none"/>
        </w:rPr>
        <w:t>▲</w:t>
      </w:r>
      <w:r>
        <w:rPr>
          <w:rFonts w:hint="eastAsia" w:ascii="宋体" w:hAnsi="宋体"/>
          <w:b/>
          <w:color w:val="auto"/>
          <w:szCs w:val="21"/>
          <w:highlight w:val="none"/>
        </w:rPr>
        <w:t>（10）招标项目采购需求中要求必须提供的材料等；</w:t>
      </w:r>
    </w:p>
    <w:p>
      <w:pPr>
        <w:snapToGrid w:val="0"/>
        <w:spacing w:line="360" w:lineRule="exact"/>
        <w:ind w:firstLine="411" w:firstLineChars="196"/>
        <w:jc w:val="left"/>
        <w:rPr>
          <w:rFonts w:ascii="宋体" w:hAnsi="宋体"/>
          <w:b/>
          <w:color w:val="auto"/>
          <w:szCs w:val="21"/>
          <w:highlight w:val="none"/>
        </w:rPr>
      </w:pPr>
      <w:r>
        <w:rPr>
          <w:rFonts w:hint="eastAsia" w:ascii="宋体" w:hAnsi="宋体"/>
          <w:color w:val="auto"/>
          <w:szCs w:val="21"/>
          <w:highlight w:val="none"/>
        </w:rPr>
        <w:t>（11）具备法律、行政法规规定的其他条件的证明材料</w:t>
      </w:r>
      <w:r>
        <w:rPr>
          <w:rFonts w:hint="eastAsia" w:ascii="宋体" w:hAnsi="宋体"/>
          <w:b/>
          <w:color w:val="auto"/>
          <w:szCs w:val="21"/>
          <w:highlight w:val="none"/>
        </w:rPr>
        <w:t>(如有规定,则必须提供)。</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bCs/>
          <w:color w:val="auto"/>
          <w:szCs w:val="21"/>
          <w:highlight w:val="none"/>
        </w:rPr>
        <w:t xml:space="preserve">可作为投标人资信评分的资质证明材料（可选）  </w:t>
      </w:r>
    </w:p>
    <w:p>
      <w:pPr>
        <w:snapToGrid w:val="0"/>
        <w:spacing w:line="360" w:lineRule="exact"/>
        <w:ind w:left="937" w:leftChars="196" w:hanging="525" w:hangingChars="250"/>
        <w:jc w:val="left"/>
        <w:rPr>
          <w:rFonts w:ascii="宋体" w:hAnsi="宋体"/>
          <w:color w:val="auto"/>
          <w:szCs w:val="21"/>
          <w:highlight w:val="none"/>
        </w:rPr>
      </w:pPr>
      <w:r>
        <w:rPr>
          <w:rFonts w:hint="eastAsia" w:ascii="宋体" w:hAnsi="宋体"/>
          <w:color w:val="auto"/>
          <w:szCs w:val="21"/>
          <w:highlight w:val="none"/>
        </w:rPr>
        <w:t>（12）类似案例成功的业绩；</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（13）其他特殊资质证书（如本地化服务能力等）；</w:t>
      </w:r>
    </w:p>
    <w:p>
      <w:pPr>
        <w:snapToGrid w:val="0"/>
        <w:spacing w:line="360" w:lineRule="exact"/>
        <w:ind w:firstLine="413" w:firstLineChars="196"/>
        <w:jc w:val="left"/>
        <w:rPr>
          <w:rFonts w:ascii="宋体" w:hAnsi="宋体"/>
          <w:color w:val="auto"/>
          <w:szCs w:val="21"/>
          <w:highlight w:val="none"/>
        </w:rPr>
      </w:pPr>
      <w:r>
        <w:rPr>
          <w:rFonts w:hint="eastAsia" w:ascii="宋体" w:hAnsi="宋体"/>
          <w:b/>
          <w:color w:val="auto"/>
          <w:szCs w:val="21"/>
          <w:highlight w:val="none"/>
        </w:rPr>
        <w:t>（</w:t>
      </w:r>
      <w:r>
        <w:rPr>
          <w:rFonts w:hint="eastAsia" w:ascii="宋体" w:hAnsi="宋体"/>
          <w:color w:val="auto"/>
          <w:szCs w:val="21"/>
          <w:highlight w:val="none"/>
        </w:rPr>
        <w:t>14</w:t>
      </w:r>
      <w:r>
        <w:rPr>
          <w:rFonts w:hint="eastAsia" w:ascii="宋体" w:hAnsi="宋体"/>
          <w:b/>
          <w:color w:val="auto"/>
          <w:szCs w:val="21"/>
          <w:highlight w:val="none"/>
        </w:rPr>
        <w:t>）</w:t>
      </w:r>
      <w:r>
        <w:rPr>
          <w:rFonts w:hint="eastAsia" w:ascii="宋体" w:hAnsi="宋体"/>
          <w:color w:val="auto"/>
          <w:szCs w:val="21"/>
          <w:highlight w:val="none"/>
        </w:rPr>
        <w:t>投标人质量管理和质量保证体系等方面的认证证书；</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（15）投标人认为可以证明其能力或业绩的其他材料；</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（16）投标人关于服务升级及本单位债务纠纷、违法违规记录等方面的情况（内容见投标声明书）；</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（17）投标人情况介绍。</w:t>
      </w:r>
    </w:p>
    <w:p>
      <w:pPr>
        <w:snapToGrid w:val="0"/>
        <w:spacing w:line="440" w:lineRule="exact"/>
        <w:ind w:firstLine="413" w:firstLineChars="196"/>
        <w:jc w:val="left"/>
        <w:rPr>
          <w:rFonts w:ascii="宋体" w:hAnsi="宋体"/>
          <w:b/>
          <w:bCs/>
          <w:color w:val="auto"/>
          <w:szCs w:val="21"/>
          <w:highlight w:val="none"/>
        </w:rPr>
      </w:pPr>
      <w:r>
        <w:rPr>
          <w:rFonts w:hint="eastAsia" w:ascii="宋体" w:hAnsi="宋体"/>
          <w:b/>
          <w:bCs/>
          <w:color w:val="auto"/>
          <w:szCs w:val="21"/>
          <w:highlight w:val="none"/>
        </w:rPr>
        <w:t>3.技术文件</w:t>
      </w:r>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（1）对本项目服务要求的理解；</w:t>
      </w:r>
    </w:p>
    <w:p>
      <w:pPr>
        <w:snapToGrid w:val="0"/>
        <w:spacing w:line="44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（2）服务响应表；（必须提供）</w:t>
      </w:r>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（3）服务清单（均不含报价）；</w:t>
      </w:r>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hint="eastAsia"/>
          <w:color w:val="auto"/>
          <w:szCs w:val="21"/>
          <w:highlight w:val="none"/>
        </w:rPr>
        <w:t>服务方案</w:t>
      </w:r>
      <w:r>
        <w:rPr>
          <w:color w:val="auto"/>
          <w:szCs w:val="21"/>
          <w:highlight w:val="none"/>
        </w:rPr>
        <w:t>(</w:t>
      </w:r>
      <w:r>
        <w:rPr>
          <w:rFonts w:hint="eastAsia"/>
          <w:color w:val="auto"/>
          <w:szCs w:val="21"/>
          <w:highlight w:val="none"/>
        </w:rPr>
        <w:t>含服务承诺</w:t>
      </w:r>
      <w:r>
        <w:rPr>
          <w:color w:val="auto"/>
          <w:szCs w:val="21"/>
          <w:highlight w:val="none"/>
        </w:rPr>
        <w:t>)</w:t>
      </w:r>
      <w:r>
        <w:rPr>
          <w:rFonts w:hint="eastAsia"/>
          <w:color w:val="auto"/>
          <w:szCs w:val="21"/>
          <w:highlight w:val="none"/>
        </w:rPr>
        <w:t>（应据项目实际要求描述如：</w:t>
      </w:r>
      <w:r>
        <w:rPr>
          <w:rFonts w:hint="eastAsia" w:ascii="宋体" w:hAnsi="宋体"/>
          <w:color w:val="auto"/>
          <w:szCs w:val="21"/>
          <w:highlight w:val="none"/>
        </w:rPr>
        <w:t>投标人建议的技术服务、服务的内容和措施等）；</w:t>
      </w:r>
      <w:r>
        <w:rPr>
          <w:rFonts w:hint="eastAsia" w:ascii="宋体" w:hAnsi="宋体"/>
          <w:b/>
          <w:color w:val="auto"/>
          <w:szCs w:val="21"/>
          <w:highlight w:val="none"/>
        </w:rPr>
        <w:t>（</w:t>
      </w:r>
      <w:r>
        <w:rPr>
          <w:rFonts w:hint="eastAsia" w:ascii="宋体" w:hAnsi="宋体"/>
          <w:color w:val="auto"/>
          <w:szCs w:val="21"/>
          <w:highlight w:val="none"/>
        </w:rPr>
        <w:t>格式自拟，</w:t>
      </w:r>
      <w:r>
        <w:rPr>
          <w:rFonts w:hint="eastAsia" w:ascii="宋体" w:hAnsi="宋体"/>
          <w:b/>
          <w:color w:val="auto"/>
          <w:szCs w:val="21"/>
          <w:highlight w:val="none"/>
        </w:rPr>
        <w:t>必须提供）</w:t>
      </w:r>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（5）投标人拥有主要服务设施的情况和现状（格式自拟）及项目实施人员一览表； </w:t>
      </w:r>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（6）优惠条件：投标人承诺给予招标人的各种优惠条件；</w:t>
      </w:r>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（7）投标人对本项目的合理化建议和改进措施；</w:t>
      </w:r>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（8）投标人需要说明的其他文件和说明（格式略）；</w:t>
      </w:r>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▲（9）招标项目采购需求中要求必须提供的材料。</w:t>
      </w:r>
    </w:p>
    <w:p>
      <w:pPr>
        <w:snapToGrid w:val="0"/>
        <w:spacing w:line="44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4.报价文件：</w:t>
      </w:r>
    </w:p>
    <w:p>
      <w:pPr>
        <w:tabs>
          <w:tab w:val="left" w:pos="3870"/>
          <w:tab w:val="left" w:pos="4085"/>
        </w:tabs>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（1）投标函（格式见第六章）； </w:t>
      </w:r>
    </w:p>
    <w:p>
      <w:pPr>
        <w:tabs>
          <w:tab w:val="left" w:pos="3870"/>
          <w:tab w:val="left" w:pos="4085"/>
        </w:tabs>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（2）投标报价明细表（格式见第六章）；</w:t>
      </w:r>
    </w:p>
    <w:p>
      <w:pPr>
        <w:tabs>
          <w:tab w:val="left" w:pos="3870"/>
          <w:tab w:val="left" w:pos="4085"/>
        </w:tabs>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（3）投标人针对报价需要说明的其他文件和说明；（格式自拟）</w:t>
      </w:r>
    </w:p>
    <w:p>
      <w:pPr>
        <w:tabs>
          <w:tab w:val="left" w:pos="3870"/>
          <w:tab w:val="left" w:pos="4085"/>
        </w:tabs>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（4）开标一览表（单独封装递交，格式见第六章）。</w:t>
      </w:r>
    </w:p>
    <w:p>
      <w:pPr>
        <w:pStyle w:val="43"/>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b/>
          <w:bCs/>
          <w:color w:val="auto"/>
          <w:szCs w:val="21"/>
          <w:highlight w:val="none"/>
        </w:rPr>
        <w:t>注：法定代表人授权委托书、投标声明书、投标函、开标一览表必须招标文件格式要求签署和加盖单位公章。</w:t>
      </w:r>
    </w:p>
    <w:p>
      <w:pPr>
        <w:snapToGrid w:val="0"/>
        <w:spacing w:before="50" w:afterLines="50" w:line="360" w:lineRule="exact"/>
        <w:ind w:firstLine="3896" w:firstLineChars="1617"/>
        <w:jc w:val="left"/>
        <w:rPr>
          <w:rFonts w:ascii="宋体" w:hAnsi="宋体"/>
          <w:b/>
          <w:color w:val="auto"/>
          <w:sz w:val="24"/>
          <w:highlight w:val="none"/>
        </w:rPr>
      </w:pPr>
    </w:p>
    <w:p>
      <w:pPr>
        <w:snapToGrid w:val="0"/>
        <w:spacing w:before="50" w:afterLines="50" w:line="360" w:lineRule="exact"/>
        <w:ind w:firstLine="3896" w:firstLineChars="1617"/>
        <w:jc w:val="left"/>
        <w:rPr>
          <w:rFonts w:ascii="宋体" w:hAnsi="宋体"/>
          <w:b/>
          <w:color w:val="auto"/>
          <w:sz w:val="24"/>
          <w:highlight w:val="none"/>
        </w:rPr>
      </w:pPr>
    </w:p>
    <w:p>
      <w:pPr>
        <w:snapToGrid w:val="0"/>
        <w:spacing w:before="50" w:afterLines="50" w:line="360" w:lineRule="exact"/>
        <w:ind w:firstLine="3896" w:firstLineChars="1617"/>
        <w:jc w:val="left"/>
        <w:rPr>
          <w:rFonts w:ascii="宋体" w:hAnsi="宋体"/>
          <w:b/>
          <w:color w:val="auto"/>
          <w:sz w:val="24"/>
          <w:highlight w:val="none"/>
        </w:rPr>
      </w:pPr>
    </w:p>
    <w:p>
      <w:pPr>
        <w:snapToGrid w:val="0"/>
        <w:spacing w:before="50" w:afterLines="50" w:line="360" w:lineRule="exact"/>
        <w:ind w:firstLine="3896" w:firstLineChars="1617"/>
        <w:jc w:val="left"/>
        <w:rPr>
          <w:rFonts w:ascii="宋体" w:hAnsi="宋体"/>
          <w:b/>
          <w:color w:val="auto"/>
          <w:sz w:val="24"/>
          <w:highlight w:val="none"/>
        </w:rPr>
      </w:pPr>
    </w:p>
    <w:p>
      <w:pPr>
        <w:snapToGrid w:val="0"/>
        <w:spacing w:before="50" w:afterLines="50" w:line="360" w:lineRule="exact"/>
        <w:ind w:firstLine="3896" w:firstLineChars="1617"/>
        <w:jc w:val="left"/>
        <w:rPr>
          <w:rFonts w:ascii="宋体" w:hAnsi="宋体"/>
          <w:b/>
          <w:color w:val="auto"/>
          <w:sz w:val="24"/>
          <w:highlight w:val="none"/>
        </w:rPr>
      </w:pPr>
    </w:p>
    <w:p>
      <w:pPr>
        <w:snapToGrid w:val="0"/>
        <w:spacing w:before="50" w:afterLines="50" w:line="360" w:lineRule="exact"/>
        <w:ind w:firstLine="3896" w:firstLineChars="1617"/>
        <w:jc w:val="left"/>
        <w:rPr>
          <w:rFonts w:ascii="宋体" w:hAnsi="宋体"/>
          <w:b/>
          <w:color w:val="auto"/>
          <w:sz w:val="24"/>
          <w:highlight w:val="none"/>
        </w:rPr>
      </w:pPr>
    </w:p>
    <w:p>
      <w:pPr>
        <w:snapToGrid w:val="0"/>
        <w:spacing w:before="50" w:afterLines="50" w:line="360" w:lineRule="exact"/>
        <w:ind w:firstLine="3896" w:firstLineChars="1617"/>
        <w:jc w:val="left"/>
        <w:rPr>
          <w:rFonts w:ascii="宋体" w:hAnsi="宋体"/>
          <w:b/>
          <w:color w:val="auto"/>
          <w:sz w:val="24"/>
          <w:highlight w:val="none"/>
        </w:rPr>
      </w:pPr>
    </w:p>
    <w:p>
      <w:pPr>
        <w:snapToGrid w:val="0"/>
        <w:spacing w:before="50" w:afterLines="50" w:line="360" w:lineRule="exact"/>
        <w:ind w:firstLine="3896" w:firstLineChars="1617"/>
        <w:jc w:val="left"/>
        <w:rPr>
          <w:rFonts w:ascii="宋体" w:hAnsi="宋体"/>
          <w:b/>
          <w:color w:val="auto"/>
          <w:sz w:val="24"/>
          <w:highlight w:val="none"/>
        </w:rPr>
      </w:pPr>
    </w:p>
    <w:p>
      <w:pPr>
        <w:snapToGrid w:val="0"/>
        <w:spacing w:before="50" w:afterLines="50" w:line="360" w:lineRule="exact"/>
        <w:ind w:firstLine="3896" w:firstLineChars="1617"/>
        <w:jc w:val="left"/>
        <w:rPr>
          <w:rFonts w:ascii="宋体" w:hAnsi="宋体"/>
          <w:b/>
          <w:color w:val="auto"/>
          <w:sz w:val="24"/>
          <w:highlight w:val="none"/>
        </w:rPr>
      </w:pPr>
    </w:p>
    <w:p>
      <w:pPr>
        <w:snapToGrid w:val="0"/>
        <w:spacing w:before="50" w:afterLines="50" w:line="360" w:lineRule="exact"/>
        <w:ind w:firstLine="3896" w:firstLineChars="1617"/>
        <w:jc w:val="left"/>
        <w:outlineLvl w:val="0"/>
        <w:rPr>
          <w:rFonts w:ascii="宋体" w:hAnsi="宋体"/>
          <w:b/>
          <w:color w:val="auto"/>
          <w:sz w:val="24"/>
          <w:highlight w:val="none"/>
        </w:rPr>
      </w:pPr>
      <w:r>
        <w:rPr>
          <w:rFonts w:hint="eastAsia" w:ascii="宋体" w:hAnsi="宋体"/>
          <w:b/>
          <w:color w:val="auto"/>
          <w:sz w:val="24"/>
          <w:highlight w:val="none"/>
        </w:rPr>
        <w:t>三、投标文件格式</w:t>
      </w:r>
    </w:p>
    <w:p>
      <w:pPr>
        <w:snapToGrid w:val="0"/>
        <w:spacing w:before="50" w:afterLines="50" w:line="360" w:lineRule="exact"/>
        <w:jc w:val="left"/>
        <w:outlineLvl w:val="0"/>
        <w:rPr>
          <w:rFonts w:ascii="宋体" w:hAnsi="宋体"/>
          <w:b/>
          <w:bCs/>
          <w:color w:val="auto"/>
          <w:szCs w:val="21"/>
          <w:highlight w:val="none"/>
        </w:rPr>
      </w:pPr>
      <w:r>
        <w:rPr>
          <w:rFonts w:hint="eastAsia" w:ascii="宋体" w:hAnsi="宋体"/>
          <w:b/>
          <w:color w:val="auto"/>
          <w:szCs w:val="21"/>
          <w:highlight w:val="none"/>
        </w:rPr>
        <w:t>一）</w:t>
      </w:r>
      <w:r>
        <w:rPr>
          <w:rFonts w:hint="eastAsia" w:ascii="宋体" w:hAnsi="宋体"/>
          <w:b/>
          <w:bCs/>
          <w:color w:val="auto"/>
          <w:szCs w:val="21"/>
          <w:highlight w:val="none"/>
        </w:rPr>
        <w:t>资格文件部分（格式）</w:t>
      </w:r>
    </w:p>
    <w:p>
      <w:pPr>
        <w:snapToGrid w:val="0"/>
        <w:spacing w:line="360" w:lineRule="exact"/>
        <w:ind w:firstLine="413" w:firstLineChars="196"/>
        <w:jc w:val="left"/>
        <w:rPr>
          <w:rFonts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有效的营业执照等证明文件复印件；</w:t>
      </w:r>
    </w:p>
    <w:p>
      <w:pPr>
        <w:pStyle w:val="26"/>
        <w:ind w:firstLine="525" w:firstLineChars="250"/>
        <w:rPr>
          <w:rFonts w:hAnsi="宋体"/>
          <w:b/>
          <w:color w:val="auto"/>
          <w:highlight w:val="none"/>
        </w:rPr>
      </w:pPr>
      <w:r>
        <w:rPr>
          <w:rFonts w:hint="eastAsia" w:hAnsi="宋体"/>
          <w:color w:val="auto"/>
          <w:highlight w:val="none"/>
        </w:rPr>
        <w:t>①投标人有效的营业执照等证明文件复印件，同时要加盖单位公章</w:t>
      </w:r>
      <w:r>
        <w:rPr>
          <w:rFonts w:hint="eastAsia" w:hAnsi="宋体"/>
          <w:b/>
          <w:color w:val="auto"/>
          <w:highlight w:val="none"/>
        </w:rPr>
        <w:t>（必须提供，原件备查）</w:t>
      </w:r>
      <w:r>
        <w:rPr>
          <w:rFonts w:hint="eastAsia" w:hAnsi="宋体"/>
          <w:color w:val="auto"/>
          <w:highlight w:val="none"/>
        </w:rPr>
        <w:t>；</w:t>
      </w:r>
    </w:p>
    <w:p>
      <w:pPr>
        <w:pStyle w:val="26"/>
        <w:spacing w:line="440" w:lineRule="exact"/>
        <w:ind w:firstLine="525" w:firstLineChars="250"/>
        <w:rPr>
          <w:rFonts w:hAnsi="宋体"/>
          <w:b/>
          <w:color w:val="auto"/>
          <w:highlight w:val="none"/>
        </w:rPr>
      </w:pPr>
      <w:r>
        <w:rPr>
          <w:rFonts w:hint="eastAsia" w:hAnsi="宋体"/>
          <w:color w:val="auto"/>
          <w:highlight w:val="none"/>
        </w:rPr>
        <w:t>②对于有经营资质要求的，投标人必须提供有效的经营资质证书副本内页复印件，同时要加盖单位公章。</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（2）</w:t>
      </w:r>
      <w:r>
        <w:rPr>
          <w:rFonts w:hint="eastAsia" w:ascii="宋体" w:hAnsi="宋体" w:cs="宋体"/>
          <w:color w:val="auto"/>
          <w:kern w:val="0"/>
          <w:szCs w:val="21"/>
          <w:highlight w:val="none"/>
        </w:rPr>
        <w:t>参加政府采购活动前三年内在经营活动中没有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b/>
          <w:color w:val="auto"/>
          <w:szCs w:val="21"/>
          <w:highlight w:val="none"/>
        </w:rPr>
        <w:t>和信用记录查询方法；</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①</w:t>
      </w:r>
      <w:r>
        <w:rPr>
          <w:rFonts w:hint="eastAsia" w:ascii="宋体" w:hAnsi="宋体" w:cs="宋体"/>
          <w:color w:val="auto"/>
          <w:kern w:val="0"/>
          <w:szCs w:val="21"/>
          <w:highlight w:val="none"/>
        </w:rPr>
        <w:t>参加政府采购活动前三年内在经营活动中没有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color w:val="auto"/>
          <w:szCs w:val="21"/>
          <w:highlight w:val="none"/>
        </w:rPr>
        <w:t>（格式自拟，必须提供）；</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②供应商可在“信用中国”网站（www.creditchina.gov.cn）、中国政府采购网（www.ccgp.gov.cn）查询相关供应商主体信用记录。</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“信用中国”网站查询方法：投标人在本项目投标截止时间前10日内,进入投标人基本信息页面，点击“下载信用报告”后点击“下载”。</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snapToGrid w:val="0"/>
        <w:spacing w:before="50" w:afterLines="50" w:line="360" w:lineRule="exact"/>
        <w:jc w:val="left"/>
        <w:outlineLvl w:val="0"/>
        <w:rPr>
          <w:rFonts w:ascii="宋体" w:hAnsi="宋体"/>
          <w:b/>
          <w:color w:val="auto"/>
          <w:szCs w:val="21"/>
          <w:highlight w:val="none"/>
        </w:rPr>
      </w:pPr>
    </w:p>
    <w:p>
      <w:pPr>
        <w:snapToGrid w:val="0"/>
        <w:spacing w:before="50" w:afterLines="50" w:line="360" w:lineRule="exact"/>
        <w:jc w:val="left"/>
        <w:outlineLvl w:val="0"/>
        <w:rPr>
          <w:rFonts w:ascii="宋体" w:hAnsi="宋体"/>
          <w:b/>
          <w:color w:val="auto"/>
          <w:szCs w:val="21"/>
          <w:highlight w:val="none"/>
        </w:rPr>
      </w:pPr>
    </w:p>
    <w:p>
      <w:pPr>
        <w:snapToGrid w:val="0"/>
        <w:spacing w:before="50" w:afterLines="50" w:line="360" w:lineRule="exact"/>
        <w:jc w:val="left"/>
        <w:outlineLvl w:val="0"/>
        <w:rPr>
          <w:rFonts w:ascii="宋体" w:hAnsi="宋体"/>
          <w:b/>
          <w:color w:val="auto"/>
          <w:szCs w:val="21"/>
          <w:highlight w:val="none"/>
        </w:rPr>
      </w:pPr>
    </w:p>
    <w:p>
      <w:pPr>
        <w:snapToGrid w:val="0"/>
        <w:spacing w:before="50" w:afterLines="50" w:line="360" w:lineRule="exact"/>
        <w:jc w:val="left"/>
        <w:outlineLvl w:val="0"/>
        <w:rPr>
          <w:rFonts w:ascii="宋体" w:hAnsi="宋体"/>
          <w:b/>
          <w:color w:val="auto"/>
          <w:szCs w:val="21"/>
          <w:highlight w:val="none"/>
        </w:rPr>
      </w:pPr>
    </w:p>
    <w:p>
      <w:pPr>
        <w:snapToGrid w:val="0"/>
        <w:spacing w:before="50" w:afterLines="50" w:line="360" w:lineRule="exact"/>
        <w:jc w:val="left"/>
        <w:outlineLvl w:val="0"/>
        <w:rPr>
          <w:rFonts w:ascii="宋体" w:hAnsi="宋体"/>
          <w:b/>
          <w:color w:val="auto"/>
          <w:szCs w:val="21"/>
          <w:highlight w:val="none"/>
        </w:rPr>
      </w:pPr>
    </w:p>
    <w:p>
      <w:pPr>
        <w:snapToGrid w:val="0"/>
        <w:spacing w:before="50" w:afterLines="50" w:line="360" w:lineRule="exact"/>
        <w:jc w:val="left"/>
        <w:outlineLvl w:val="0"/>
        <w:rPr>
          <w:rFonts w:ascii="宋体" w:hAnsi="宋体"/>
          <w:b/>
          <w:color w:val="auto"/>
          <w:szCs w:val="21"/>
          <w:highlight w:val="none"/>
        </w:rPr>
      </w:pPr>
    </w:p>
    <w:p>
      <w:pPr>
        <w:snapToGrid w:val="0"/>
        <w:spacing w:before="50" w:afterLines="50" w:line="360" w:lineRule="exact"/>
        <w:jc w:val="left"/>
        <w:outlineLvl w:val="0"/>
        <w:rPr>
          <w:rFonts w:ascii="宋体" w:hAnsi="宋体"/>
          <w:b/>
          <w:color w:val="auto"/>
          <w:szCs w:val="21"/>
          <w:highlight w:val="none"/>
        </w:rPr>
      </w:pPr>
    </w:p>
    <w:p>
      <w:pPr>
        <w:snapToGrid w:val="0"/>
        <w:spacing w:before="50" w:afterLines="50" w:line="360" w:lineRule="exact"/>
        <w:jc w:val="left"/>
        <w:outlineLvl w:val="0"/>
        <w:rPr>
          <w:rFonts w:ascii="宋体" w:hAnsi="宋体"/>
          <w:b/>
          <w:color w:val="auto"/>
          <w:szCs w:val="21"/>
          <w:highlight w:val="none"/>
        </w:rPr>
      </w:pPr>
    </w:p>
    <w:p>
      <w:pPr>
        <w:snapToGrid w:val="0"/>
        <w:spacing w:before="50" w:afterLines="50" w:line="360" w:lineRule="exact"/>
        <w:jc w:val="left"/>
        <w:outlineLvl w:val="0"/>
        <w:rPr>
          <w:rFonts w:ascii="宋体" w:hAnsi="宋体"/>
          <w:b/>
          <w:color w:val="auto"/>
          <w:szCs w:val="21"/>
          <w:highlight w:val="none"/>
        </w:rPr>
      </w:pPr>
    </w:p>
    <w:p>
      <w:pPr>
        <w:snapToGrid w:val="0"/>
        <w:spacing w:before="50" w:afterLines="50" w:line="360" w:lineRule="exact"/>
        <w:jc w:val="left"/>
        <w:outlineLvl w:val="0"/>
        <w:rPr>
          <w:rFonts w:ascii="宋体" w:hAnsi="宋体"/>
          <w:b/>
          <w:color w:val="auto"/>
          <w:szCs w:val="21"/>
          <w:highlight w:val="none"/>
        </w:rPr>
      </w:pPr>
    </w:p>
    <w:p>
      <w:pPr>
        <w:snapToGrid w:val="0"/>
        <w:spacing w:before="50" w:afterLines="50" w:line="360" w:lineRule="exact"/>
        <w:jc w:val="left"/>
        <w:outlineLvl w:val="0"/>
        <w:rPr>
          <w:rFonts w:ascii="宋体" w:hAnsi="宋体"/>
          <w:b/>
          <w:color w:val="auto"/>
          <w:szCs w:val="21"/>
          <w:highlight w:val="none"/>
        </w:rPr>
      </w:pPr>
    </w:p>
    <w:p>
      <w:pPr>
        <w:snapToGrid w:val="0"/>
        <w:spacing w:before="50" w:afterLines="50" w:line="360" w:lineRule="exact"/>
        <w:jc w:val="left"/>
        <w:outlineLvl w:val="0"/>
        <w:rPr>
          <w:rFonts w:ascii="宋体" w:hAnsi="宋体"/>
          <w:b/>
          <w:color w:val="auto"/>
          <w:szCs w:val="21"/>
          <w:highlight w:val="none"/>
        </w:rPr>
      </w:pPr>
    </w:p>
    <w:p>
      <w:pPr>
        <w:snapToGrid w:val="0"/>
        <w:spacing w:before="50" w:afterLines="50" w:line="360" w:lineRule="exact"/>
        <w:jc w:val="left"/>
        <w:outlineLvl w:val="0"/>
        <w:rPr>
          <w:rFonts w:ascii="宋体" w:hAnsi="宋体"/>
          <w:b/>
          <w:color w:val="auto"/>
          <w:szCs w:val="21"/>
          <w:highlight w:val="none"/>
        </w:rPr>
      </w:pPr>
    </w:p>
    <w:p>
      <w:pPr>
        <w:snapToGrid w:val="0"/>
        <w:spacing w:before="50" w:afterLines="50" w:line="360" w:lineRule="exact"/>
        <w:jc w:val="left"/>
        <w:outlineLvl w:val="0"/>
        <w:rPr>
          <w:rFonts w:ascii="宋体" w:hAnsi="宋体"/>
          <w:b/>
          <w:color w:val="auto"/>
          <w:szCs w:val="21"/>
          <w:highlight w:val="none"/>
        </w:rPr>
      </w:pPr>
    </w:p>
    <w:p>
      <w:pPr>
        <w:snapToGrid w:val="0"/>
        <w:spacing w:before="50" w:afterLines="50" w:line="360" w:lineRule="exact"/>
        <w:jc w:val="left"/>
        <w:outlineLvl w:val="0"/>
        <w:rPr>
          <w:rFonts w:ascii="宋体" w:hAnsi="宋体"/>
          <w:b/>
          <w:color w:val="auto"/>
          <w:szCs w:val="21"/>
          <w:highlight w:val="none"/>
        </w:rPr>
      </w:pPr>
    </w:p>
    <w:p>
      <w:pPr>
        <w:snapToGrid w:val="0"/>
        <w:spacing w:before="50" w:afterLines="50" w:line="360" w:lineRule="exact"/>
        <w:jc w:val="left"/>
        <w:outlineLvl w:val="0"/>
        <w:rPr>
          <w:rFonts w:ascii="宋体" w:hAnsi="宋体"/>
          <w:b/>
          <w:color w:val="auto"/>
          <w:szCs w:val="21"/>
          <w:highlight w:val="none"/>
        </w:rPr>
      </w:pPr>
    </w:p>
    <w:p>
      <w:pPr>
        <w:snapToGrid w:val="0"/>
        <w:spacing w:line="360" w:lineRule="exact"/>
        <w:jc w:val="center"/>
        <w:rPr>
          <w:rFonts w:ascii="宋体" w:hAnsi="宋体" w:cs="宋体"/>
          <w:b/>
          <w:color w:val="auto"/>
          <w:kern w:val="0"/>
          <w:sz w:val="28"/>
          <w:szCs w:val="28"/>
          <w:highlight w:val="none"/>
        </w:rPr>
      </w:pPr>
      <w:r>
        <w:rPr>
          <w:rFonts w:hint="eastAsia" w:ascii="宋体" w:hAnsi="宋体" w:cs="宋体"/>
          <w:color w:val="auto"/>
          <w:kern w:val="0"/>
          <w:sz w:val="28"/>
          <w:szCs w:val="28"/>
          <w:highlight w:val="none"/>
        </w:rPr>
        <w:t>参加政府采购活动前三年内在经营活动中没有</w:t>
      </w:r>
      <w:r>
        <w:rPr>
          <w:rFonts w:hint="eastAsia" w:ascii="宋体" w:hAnsi="宋体" w:cs="宋体"/>
          <w:b/>
          <w:color w:val="auto"/>
          <w:kern w:val="0"/>
          <w:sz w:val="28"/>
          <w:szCs w:val="28"/>
          <w:highlight w:val="none"/>
        </w:rPr>
        <w:t>重大违法记录的书面声明</w:t>
      </w:r>
    </w:p>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（格式自拟，必须提供）</w:t>
      </w:r>
    </w:p>
    <w:p>
      <w:pPr>
        <w:snapToGrid w:val="0"/>
        <w:spacing w:line="360" w:lineRule="exact"/>
        <w:ind w:firstLine="411" w:firstLineChars="196"/>
        <w:jc w:val="center"/>
        <w:rPr>
          <w:rFonts w:ascii="宋体" w:hAnsi="宋体"/>
          <w:color w:val="auto"/>
          <w:szCs w:val="21"/>
          <w:highlight w:val="none"/>
        </w:rPr>
      </w:pPr>
    </w:p>
    <w:p>
      <w:pPr>
        <w:pStyle w:val="26"/>
        <w:tabs>
          <w:tab w:val="left" w:pos="5580"/>
        </w:tabs>
        <w:spacing w:line="360" w:lineRule="auto"/>
        <w:ind w:left="1080" w:leftChars="257" w:hanging="540"/>
        <w:rPr>
          <w:rFonts w:ascii="仿宋_GB2312" w:hAnsi="宋体" w:eastAsia="仿宋_GB2312"/>
          <w:color w:val="auto"/>
          <w:sz w:val="24"/>
          <w:highlight w:val="none"/>
        </w:rPr>
      </w:pPr>
    </w:p>
    <w:p>
      <w:pPr>
        <w:snapToGrid w:val="0"/>
        <w:spacing w:line="360" w:lineRule="exact"/>
        <w:ind w:firstLine="567" w:firstLineChars="270"/>
        <w:jc w:val="left"/>
        <w:rPr>
          <w:rFonts w:ascii="宋体" w:hAnsi="宋体" w:cs="宋体"/>
          <w:color w:val="auto"/>
          <w:kern w:val="0"/>
          <w:szCs w:val="21"/>
          <w:highlight w:val="none"/>
        </w:rPr>
      </w:pPr>
      <w:r>
        <w:rPr>
          <w:rFonts w:hint="eastAsia" w:ascii="宋体" w:hAnsi="宋体" w:cs="宋体"/>
          <w:color w:val="auto"/>
          <w:kern w:val="0"/>
          <w:szCs w:val="21"/>
          <w:highlight w:val="none"/>
        </w:rPr>
        <w:t>说明：1.投标人应按照相关法规规定如实作出声明。</w:t>
      </w:r>
    </w:p>
    <w:p>
      <w:pPr>
        <w:snapToGrid w:val="0"/>
        <w:spacing w:line="360" w:lineRule="exact"/>
        <w:ind w:firstLine="1134" w:firstLineChars="540"/>
        <w:jc w:val="left"/>
        <w:rPr>
          <w:rFonts w:ascii="宋体" w:hAnsi="宋体" w:cs="宋体"/>
          <w:color w:val="auto"/>
          <w:kern w:val="0"/>
          <w:szCs w:val="21"/>
          <w:highlight w:val="none"/>
        </w:rPr>
      </w:pPr>
      <w:r>
        <w:rPr>
          <w:rFonts w:hint="eastAsia" w:ascii="宋体" w:hAnsi="宋体" w:cs="宋体"/>
          <w:color w:val="auto"/>
          <w:kern w:val="0"/>
          <w:szCs w:val="21"/>
          <w:highlight w:val="none"/>
        </w:rPr>
        <w:t>2．按照采购文件的规定盖章（自然人投标的无需盖章，需要签字）。</w:t>
      </w:r>
    </w:p>
    <w:p>
      <w:pPr>
        <w:snapToGrid w:val="0"/>
        <w:spacing w:before="50" w:afterLines="50" w:line="360" w:lineRule="exact"/>
        <w:jc w:val="left"/>
        <w:outlineLvl w:val="0"/>
        <w:rPr>
          <w:rFonts w:ascii="宋体" w:hAnsi="宋体"/>
          <w:b/>
          <w:color w:val="auto"/>
          <w:szCs w:val="21"/>
          <w:highlight w:val="none"/>
        </w:rPr>
      </w:pPr>
    </w:p>
    <w:p>
      <w:pPr>
        <w:snapToGrid w:val="0"/>
        <w:spacing w:before="50" w:afterLines="50" w:line="360" w:lineRule="exact"/>
        <w:jc w:val="left"/>
        <w:outlineLvl w:val="0"/>
        <w:rPr>
          <w:rFonts w:ascii="宋体" w:hAnsi="宋体"/>
          <w:b/>
          <w:color w:val="auto"/>
          <w:szCs w:val="21"/>
          <w:highlight w:val="none"/>
        </w:rPr>
      </w:pPr>
    </w:p>
    <w:p>
      <w:pPr>
        <w:snapToGrid w:val="0"/>
        <w:spacing w:before="50" w:afterLines="50" w:line="360" w:lineRule="exact"/>
        <w:jc w:val="left"/>
        <w:outlineLvl w:val="0"/>
        <w:rPr>
          <w:rFonts w:ascii="宋体" w:hAnsi="宋体"/>
          <w:b/>
          <w:color w:val="auto"/>
          <w:szCs w:val="21"/>
          <w:highlight w:val="none"/>
        </w:rPr>
      </w:pPr>
    </w:p>
    <w:p>
      <w:pPr>
        <w:snapToGrid w:val="0"/>
        <w:spacing w:before="50" w:afterLines="50" w:line="360" w:lineRule="exact"/>
        <w:jc w:val="left"/>
        <w:outlineLvl w:val="0"/>
        <w:rPr>
          <w:rFonts w:ascii="宋体" w:hAnsi="宋体"/>
          <w:b/>
          <w:color w:val="auto"/>
          <w:szCs w:val="21"/>
          <w:highlight w:val="none"/>
        </w:rPr>
      </w:pPr>
    </w:p>
    <w:p>
      <w:pPr>
        <w:snapToGrid w:val="0"/>
        <w:spacing w:before="50" w:afterLines="50" w:line="360" w:lineRule="exact"/>
        <w:jc w:val="left"/>
        <w:outlineLvl w:val="0"/>
        <w:rPr>
          <w:rFonts w:ascii="宋体" w:hAnsi="宋体"/>
          <w:b/>
          <w:color w:val="auto"/>
          <w:szCs w:val="21"/>
          <w:highlight w:val="none"/>
        </w:rPr>
      </w:pPr>
    </w:p>
    <w:p>
      <w:pPr>
        <w:snapToGrid w:val="0"/>
        <w:spacing w:before="50" w:afterLines="50" w:line="360" w:lineRule="exact"/>
        <w:jc w:val="left"/>
        <w:outlineLvl w:val="0"/>
        <w:rPr>
          <w:rFonts w:ascii="宋体" w:hAnsi="宋体"/>
          <w:b/>
          <w:color w:val="auto"/>
          <w:szCs w:val="21"/>
          <w:highlight w:val="none"/>
        </w:rPr>
      </w:pPr>
    </w:p>
    <w:p>
      <w:pPr>
        <w:snapToGrid w:val="0"/>
        <w:spacing w:before="50" w:afterLines="50" w:line="360" w:lineRule="exact"/>
        <w:jc w:val="left"/>
        <w:outlineLvl w:val="0"/>
        <w:rPr>
          <w:rFonts w:ascii="宋体" w:hAnsi="宋体"/>
          <w:b/>
          <w:color w:val="auto"/>
          <w:szCs w:val="21"/>
          <w:highlight w:val="none"/>
        </w:rPr>
      </w:pPr>
    </w:p>
    <w:p>
      <w:pPr>
        <w:snapToGrid w:val="0"/>
        <w:spacing w:before="50" w:afterLines="50" w:line="360" w:lineRule="exact"/>
        <w:jc w:val="left"/>
        <w:outlineLvl w:val="0"/>
        <w:rPr>
          <w:rFonts w:ascii="宋体" w:hAnsi="宋体"/>
          <w:b/>
          <w:color w:val="auto"/>
          <w:szCs w:val="21"/>
          <w:highlight w:val="none"/>
        </w:rPr>
      </w:pPr>
    </w:p>
    <w:p>
      <w:pPr>
        <w:snapToGrid w:val="0"/>
        <w:spacing w:before="50" w:afterLines="50" w:line="360" w:lineRule="exact"/>
        <w:jc w:val="left"/>
        <w:outlineLvl w:val="0"/>
        <w:rPr>
          <w:rFonts w:ascii="宋体" w:hAnsi="宋体"/>
          <w:b/>
          <w:color w:val="auto"/>
          <w:szCs w:val="21"/>
          <w:highlight w:val="none"/>
        </w:rPr>
      </w:pPr>
    </w:p>
    <w:p>
      <w:pPr>
        <w:snapToGrid w:val="0"/>
        <w:spacing w:before="50" w:afterLines="50" w:line="360" w:lineRule="exact"/>
        <w:jc w:val="left"/>
        <w:outlineLvl w:val="0"/>
        <w:rPr>
          <w:rFonts w:ascii="宋体" w:hAnsi="宋体"/>
          <w:b/>
          <w:color w:val="auto"/>
          <w:szCs w:val="21"/>
          <w:highlight w:val="none"/>
        </w:rPr>
      </w:pPr>
    </w:p>
    <w:p>
      <w:pPr>
        <w:snapToGrid w:val="0"/>
        <w:spacing w:before="50" w:afterLines="50" w:line="360" w:lineRule="exact"/>
        <w:jc w:val="left"/>
        <w:outlineLvl w:val="0"/>
        <w:rPr>
          <w:rFonts w:ascii="宋体" w:hAnsi="宋体"/>
          <w:b/>
          <w:color w:val="auto"/>
          <w:szCs w:val="21"/>
          <w:highlight w:val="none"/>
        </w:rPr>
      </w:pPr>
    </w:p>
    <w:p>
      <w:pPr>
        <w:snapToGrid w:val="0"/>
        <w:spacing w:before="50" w:afterLines="50" w:line="360" w:lineRule="exact"/>
        <w:jc w:val="left"/>
        <w:outlineLvl w:val="0"/>
        <w:rPr>
          <w:rFonts w:ascii="宋体" w:hAnsi="宋体"/>
          <w:b/>
          <w:color w:val="auto"/>
          <w:szCs w:val="21"/>
          <w:highlight w:val="none"/>
        </w:rPr>
      </w:pPr>
    </w:p>
    <w:p>
      <w:pPr>
        <w:snapToGrid w:val="0"/>
        <w:spacing w:before="50" w:afterLines="50" w:line="360" w:lineRule="exact"/>
        <w:jc w:val="left"/>
        <w:outlineLvl w:val="0"/>
        <w:rPr>
          <w:rFonts w:ascii="宋体" w:hAnsi="宋体"/>
          <w:b/>
          <w:color w:val="auto"/>
          <w:szCs w:val="21"/>
          <w:highlight w:val="none"/>
        </w:rPr>
      </w:pPr>
    </w:p>
    <w:p>
      <w:pPr>
        <w:snapToGrid w:val="0"/>
        <w:spacing w:before="50" w:afterLines="50" w:line="360" w:lineRule="exact"/>
        <w:jc w:val="left"/>
        <w:outlineLvl w:val="0"/>
        <w:rPr>
          <w:rFonts w:ascii="宋体" w:hAnsi="宋体"/>
          <w:b/>
          <w:color w:val="auto"/>
          <w:szCs w:val="21"/>
          <w:highlight w:val="none"/>
        </w:rPr>
      </w:pPr>
    </w:p>
    <w:p>
      <w:pPr>
        <w:snapToGrid w:val="0"/>
        <w:spacing w:before="50" w:afterLines="50" w:line="360" w:lineRule="exact"/>
        <w:jc w:val="left"/>
        <w:outlineLvl w:val="0"/>
        <w:rPr>
          <w:rFonts w:ascii="宋体" w:hAnsi="宋体"/>
          <w:b/>
          <w:color w:val="auto"/>
          <w:szCs w:val="21"/>
          <w:highlight w:val="none"/>
        </w:rPr>
      </w:pPr>
    </w:p>
    <w:p>
      <w:pPr>
        <w:snapToGrid w:val="0"/>
        <w:spacing w:before="50" w:afterLines="50" w:line="360" w:lineRule="exact"/>
        <w:jc w:val="left"/>
        <w:outlineLvl w:val="0"/>
        <w:rPr>
          <w:rFonts w:ascii="宋体" w:hAnsi="宋体"/>
          <w:b/>
          <w:color w:val="auto"/>
          <w:szCs w:val="21"/>
          <w:highlight w:val="none"/>
        </w:rPr>
      </w:pPr>
    </w:p>
    <w:p>
      <w:pPr>
        <w:snapToGrid w:val="0"/>
        <w:spacing w:before="50" w:afterLines="50" w:line="360" w:lineRule="exact"/>
        <w:jc w:val="left"/>
        <w:outlineLvl w:val="0"/>
        <w:rPr>
          <w:rFonts w:ascii="宋体" w:hAnsi="宋体"/>
          <w:b/>
          <w:color w:val="auto"/>
          <w:szCs w:val="21"/>
          <w:highlight w:val="none"/>
        </w:rPr>
      </w:pPr>
    </w:p>
    <w:p>
      <w:pPr>
        <w:snapToGrid w:val="0"/>
        <w:spacing w:before="50" w:afterLines="50" w:line="360" w:lineRule="exact"/>
        <w:jc w:val="left"/>
        <w:outlineLvl w:val="0"/>
        <w:rPr>
          <w:rFonts w:ascii="宋体" w:hAnsi="宋体"/>
          <w:b/>
          <w:color w:val="auto"/>
          <w:szCs w:val="21"/>
          <w:highlight w:val="none"/>
        </w:rPr>
      </w:pPr>
    </w:p>
    <w:p>
      <w:pPr>
        <w:snapToGrid w:val="0"/>
        <w:spacing w:before="50" w:afterLines="50" w:line="360" w:lineRule="exact"/>
        <w:jc w:val="left"/>
        <w:outlineLvl w:val="0"/>
        <w:rPr>
          <w:rFonts w:ascii="宋体" w:hAnsi="宋体"/>
          <w:b/>
          <w:color w:val="auto"/>
          <w:szCs w:val="21"/>
          <w:highlight w:val="none"/>
        </w:rPr>
      </w:pPr>
    </w:p>
    <w:p>
      <w:pPr>
        <w:snapToGrid w:val="0"/>
        <w:spacing w:before="50" w:afterLines="50" w:line="360" w:lineRule="exact"/>
        <w:jc w:val="left"/>
        <w:outlineLvl w:val="0"/>
        <w:rPr>
          <w:rFonts w:ascii="宋体" w:hAnsi="宋体"/>
          <w:b/>
          <w:color w:val="auto"/>
          <w:szCs w:val="21"/>
          <w:highlight w:val="none"/>
        </w:rPr>
      </w:pPr>
    </w:p>
    <w:p>
      <w:pPr>
        <w:snapToGrid w:val="0"/>
        <w:spacing w:before="50" w:afterLines="50" w:line="360" w:lineRule="exact"/>
        <w:jc w:val="left"/>
        <w:outlineLvl w:val="0"/>
        <w:rPr>
          <w:rFonts w:ascii="宋体" w:hAnsi="宋体"/>
          <w:b/>
          <w:color w:val="auto"/>
          <w:szCs w:val="21"/>
          <w:highlight w:val="none"/>
        </w:rPr>
      </w:pPr>
    </w:p>
    <w:p>
      <w:pPr>
        <w:snapToGrid w:val="0"/>
        <w:spacing w:before="50" w:afterLines="50" w:line="360" w:lineRule="exact"/>
        <w:jc w:val="left"/>
        <w:outlineLvl w:val="0"/>
        <w:rPr>
          <w:rFonts w:ascii="宋体" w:hAnsi="宋体"/>
          <w:b/>
          <w:color w:val="auto"/>
          <w:szCs w:val="21"/>
          <w:highlight w:val="none"/>
        </w:rPr>
      </w:pPr>
    </w:p>
    <w:p>
      <w:pPr>
        <w:snapToGrid w:val="0"/>
        <w:spacing w:before="50" w:afterLines="50" w:line="360" w:lineRule="exact"/>
        <w:jc w:val="left"/>
        <w:outlineLvl w:val="0"/>
        <w:rPr>
          <w:rFonts w:ascii="宋体" w:hAnsi="宋体"/>
          <w:b/>
          <w:color w:val="auto"/>
          <w:szCs w:val="21"/>
          <w:highlight w:val="none"/>
        </w:rPr>
      </w:pPr>
    </w:p>
    <w:p>
      <w:pPr>
        <w:snapToGrid w:val="0"/>
        <w:spacing w:before="50" w:afterLines="50" w:line="360" w:lineRule="exact"/>
        <w:jc w:val="left"/>
        <w:outlineLvl w:val="0"/>
        <w:rPr>
          <w:rFonts w:ascii="宋体" w:hAnsi="宋体"/>
          <w:b/>
          <w:color w:val="auto"/>
          <w:szCs w:val="21"/>
          <w:highlight w:val="none"/>
        </w:rPr>
      </w:pPr>
      <w:r>
        <w:rPr>
          <w:rFonts w:hint="eastAsia" w:ascii="宋体" w:hAnsi="宋体"/>
          <w:b/>
          <w:color w:val="auto"/>
          <w:szCs w:val="21"/>
          <w:highlight w:val="none"/>
        </w:rPr>
        <w:t>二）</w:t>
      </w:r>
      <w:r>
        <w:rPr>
          <w:rFonts w:hint="eastAsia" w:ascii="宋体" w:hAnsi="宋体"/>
          <w:b/>
          <w:bCs/>
          <w:color w:val="auto"/>
          <w:szCs w:val="21"/>
          <w:highlight w:val="none"/>
        </w:rPr>
        <w:t>资信及商务文件部分（格式）</w:t>
      </w:r>
    </w:p>
    <w:p>
      <w:pPr>
        <w:snapToGrid w:val="0"/>
        <w:spacing w:before="50" w:afterLines="50" w:line="360" w:lineRule="exact"/>
        <w:ind w:firstLine="204" w:firstLineChars="97"/>
        <w:jc w:val="left"/>
        <w:rPr>
          <w:rFonts w:ascii="宋体" w:hAnsi="宋体"/>
          <w:b/>
          <w:color w:val="auto"/>
          <w:szCs w:val="21"/>
          <w:highlight w:val="none"/>
        </w:rPr>
      </w:pPr>
      <w:r>
        <w:rPr>
          <w:rFonts w:hint="eastAsia" w:ascii="宋体" w:hAnsi="宋体"/>
          <w:b/>
          <w:bCs/>
          <w:color w:val="auto"/>
          <w:szCs w:val="21"/>
          <w:highlight w:val="none"/>
        </w:rPr>
        <w:t>（1）</w:t>
      </w:r>
      <w:r>
        <w:rPr>
          <w:rFonts w:hint="eastAsia" w:ascii="宋体" w:hAnsi="宋体"/>
          <w:color w:val="auto"/>
          <w:szCs w:val="21"/>
          <w:highlight w:val="none"/>
        </w:rPr>
        <w:t>投标保证金的相关证明 复印件（可单独提交）</w:t>
      </w:r>
    </w:p>
    <w:p>
      <w:pPr>
        <w:snapToGrid w:val="0"/>
        <w:spacing w:before="50" w:afterLines="50" w:line="360" w:lineRule="exact"/>
        <w:ind w:firstLine="204" w:firstLineChars="97"/>
        <w:jc w:val="left"/>
        <w:rPr>
          <w:rFonts w:ascii="宋体" w:hAnsi="宋体"/>
          <w:b/>
          <w:color w:val="auto"/>
          <w:szCs w:val="21"/>
          <w:highlight w:val="none"/>
        </w:rPr>
      </w:pPr>
      <w:r>
        <w:rPr>
          <w:rFonts w:hint="eastAsia" w:ascii="宋体" w:hAnsi="宋体"/>
          <w:b/>
          <w:color w:val="auto"/>
          <w:szCs w:val="21"/>
          <w:highlight w:val="none"/>
        </w:rPr>
        <w:t>（2）投标声明书格式：</w:t>
      </w:r>
    </w:p>
    <w:p>
      <w:pPr>
        <w:snapToGrid w:val="0"/>
        <w:spacing w:beforeLines="50" w:after="50" w:line="360" w:lineRule="exact"/>
        <w:jc w:val="center"/>
        <w:rPr>
          <w:rFonts w:ascii="宋体" w:hAnsi="宋体"/>
          <w:b/>
          <w:color w:val="auto"/>
          <w:sz w:val="30"/>
          <w:szCs w:val="30"/>
          <w:highlight w:val="none"/>
        </w:rPr>
      </w:pPr>
      <w:r>
        <w:rPr>
          <w:rFonts w:hint="eastAsia" w:ascii="宋体" w:hAnsi="宋体"/>
          <w:b/>
          <w:color w:val="auto"/>
          <w:sz w:val="30"/>
          <w:szCs w:val="30"/>
          <w:highlight w:val="none"/>
        </w:rPr>
        <w:t>投标声明书</w:t>
      </w:r>
    </w:p>
    <w:p>
      <w:pPr>
        <w:snapToGrid w:val="0"/>
        <w:spacing w:beforeLines="50" w:after="50" w:line="340" w:lineRule="exact"/>
        <w:rPr>
          <w:rFonts w:ascii="宋体" w:hAnsi="宋体"/>
          <w:color w:val="auto"/>
          <w:szCs w:val="21"/>
          <w:highlight w:val="none"/>
        </w:rPr>
      </w:pPr>
      <w:r>
        <w:rPr>
          <w:rFonts w:hint="eastAsia" w:ascii="宋体" w:hAnsi="宋体"/>
          <w:color w:val="auto"/>
          <w:szCs w:val="21"/>
          <w:highlight w:val="none"/>
        </w:rPr>
        <w:t>致：_</w:t>
      </w:r>
      <w:r>
        <w:rPr>
          <w:rFonts w:hint="eastAsia" w:ascii="宋体" w:hAnsi="宋体"/>
          <w:color w:val="auto"/>
          <w:highlight w:val="none"/>
          <w:u w:val="single"/>
        </w:rPr>
        <w:t>广西国栋招标有限公司</w:t>
      </w:r>
      <w:r>
        <w:rPr>
          <w:rFonts w:hint="eastAsia" w:ascii="宋体" w:hAnsi="宋体"/>
          <w:color w:val="auto"/>
          <w:szCs w:val="21"/>
          <w:highlight w:val="none"/>
        </w:rPr>
        <w:t>：</w:t>
      </w:r>
    </w:p>
    <w:p>
      <w:pPr>
        <w:snapToGrid w:val="0"/>
        <w:spacing w:beforeLines="50" w:after="50" w:line="340" w:lineRule="exact"/>
        <w:ind w:firstLine="630" w:firstLineChars="300"/>
        <w:rPr>
          <w:rFonts w:ascii="宋体" w:hAnsi="宋体"/>
          <w:color w:val="auto"/>
          <w:szCs w:val="21"/>
          <w:highlight w:val="none"/>
        </w:rPr>
      </w:pPr>
      <w:r>
        <w:rPr>
          <w:rFonts w:hint="eastAsia" w:ascii="宋体" w:hAnsi="宋体"/>
          <w:color w:val="auto"/>
          <w:szCs w:val="21"/>
          <w:highlight w:val="none"/>
        </w:rPr>
        <w:t>______</w:t>
      </w:r>
      <w:r>
        <w:rPr>
          <w:rFonts w:hint="eastAsia" w:ascii="宋体" w:hAnsi="宋体"/>
          <w:color w:val="auto"/>
          <w:szCs w:val="21"/>
          <w:highlight w:val="none"/>
          <w:u w:val="single"/>
        </w:rPr>
        <w:t>_     _</w:t>
      </w:r>
      <w:r>
        <w:rPr>
          <w:rFonts w:hint="eastAsia" w:ascii="宋体" w:hAnsi="宋体"/>
          <w:color w:val="auto"/>
          <w:szCs w:val="21"/>
          <w:highlight w:val="none"/>
        </w:rPr>
        <w:t>_（投标人名称）系中华人民共和国合法企业，经营地址</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napToGrid w:val="0"/>
        <w:spacing w:beforeLines="50" w:after="50" w:line="340" w:lineRule="exact"/>
        <w:ind w:firstLine="645"/>
        <w:rPr>
          <w:rFonts w:ascii="宋体" w:hAnsi="宋体"/>
          <w:color w:val="auto"/>
          <w:szCs w:val="21"/>
          <w:highlight w:val="none"/>
        </w:rPr>
      </w:pPr>
      <w:r>
        <w:rPr>
          <w:rFonts w:hint="eastAsia" w:ascii="宋体" w:hAnsi="宋体"/>
          <w:color w:val="auto"/>
          <w:szCs w:val="21"/>
          <w:highlight w:val="none"/>
        </w:rPr>
        <w:t>我___</w:t>
      </w:r>
      <w:r>
        <w:rPr>
          <w:rFonts w:hint="eastAsia" w:ascii="宋体" w:hAnsi="宋体"/>
          <w:color w:val="auto"/>
          <w:szCs w:val="21"/>
          <w:highlight w:val="none"/>
          <w:u w:val="single"/>
        </w:rPr>
        <w:t xml:space="preserve">    _</w:t>
      </w:r>
      <w:r>
        <w:rPr>
          <w:rFonts w:hint="eastAsia" w:ascii="宋体" w:hAnsi="宋体"/>
          <w:color w:val="auto"/>
          <w:szCs w:val="21"/>
          <w:highlight w:val="none"/>
        </w:rPr>
        <w:t>_（姓名）系______</w:t>
      </w:r>
      <w:r>
        <w:rPr>
          <w:rFonts w:hint="eastAsia" w:ascii="宋体" w:hAnsi="宋体"/>
          <w:color w:val="auto"/>
          <w:szCs w:val="21"/>
          <w:highlight w:val="none"/>
          <w:u w:val="single"/>
        </w:rPr>
        <w:t>_     _</w:t>
      </w:r>
      <w:r>
        <w:rPr>
          <w:rFonts w:hint="eastAsia" w:ascii="宋体" w:hAnsi="宋体"/>
          <w:color w:val="auto"/>
          <w:szCs w:val="21"/>
          <w:highlight w:val="none"/>
        </w:rPr>
        <w:t>_（投标人名称）的法定代表人，我方愿意参加贵方组织的_____</w:t>
      </w:r>
      <w:r>
        <w:rPr>
          <w:rFonts w:hint="eastAsia" w:ascii="宋体" w:hAnsi="宋体"/>
          <w:color w:val="auto"/>
          <w:szCs w:val="21"/>
          <w:highlight w:val="none"/>
          <w:u w:val="single"/>
        </w:rPr>
        <w:t>_              _     _</w:t>
      </w:r>
      <w:r>
        <w:rPr>
          <w:rFonts w:hint="eastAsia" w:ascii="宋体" w:hAnsi="宋体"/>
          <w:color w:val="auto"/>
          <w:szCs w:val="21"/>
          <w:highlight w:val="none"/>
        </w:rPr>
        <w:t>_项目的投标，为便于贵方公正、择优地确定中标人及其投标产品和服务，我方就本次投标有关事项郑重声明如下：</w:t>
      </w:r>
    </w:p>
    <w:p>
      <w:pPr>
        <w:snapToGrid w:val="0"/>
        <w:spacing w:line="340" w:lineRule="exact"/>
        <w:ind w:firstLine="420" w:firstLineChars="200"/>
        <w:rPr>
          <w:rFonts w:ascii="宋体" w:hAnsi="宋体"/>
          <w:color w:val="auto"/>
          <w:szCs w:val="21"/>
          <w:highlight w:val="none"/>
        </w:rPr>
      </w:pPr>
      <w:r>
        <w:rPr>
          <w:rFonts w:hint="eastAsia" w:ascii="宋体" w:hAnsi="宋体"/>
          <w:color w:val="auto"/>
          <w:szCs w:val="21"/>
          <w:highlight w:val="none"/>
        </w:rPr>
        <w:t>1.我方向贵方提交的所有投标文件、资料都是准确的和真实的。</w:t>
      </w:r>
    </w:p>
    <w:p>
      <w:pPr>
        <w:snapToGrid w:val="0"/>
        <w:spacing w:beforeLines="50" w:line="340" w:lineRule="exact"/>
        <w:ind w:firstLine="420" w:firstLineChars="200"/>
        <w:rPr>
          <w:rFonts w:ascii="宋体" w:hAnsi="宋体"/>
          <w:color w:val="auto"/>
          <w:szCs w:val="21"/>
          <w:highlight w:val="none"/>
        </w:rPr>
      </w:pPr>
      <w:r>
        <w:rPr>
          <w:rFonts w:hint="eastAsia" w:ascii="宋体" w:hAnsi="宋体"/>
          <w:color w:val="auto"/>
          <w:szCs w:val="21"/>
          <w:highlight w:val="none"/>
        </w:rPr>
        <w:t>2.我方不是采购人的附属机构；在获知本项目采购信息后，与采购人聘请的为此项目提供咨询服务的公司及其附属机构没有任何联系。</w:t>
      </w:r>
    </w:p>
    <w:p>
      <w:pPr>
        <w:snapToGrid w:val="0"/>
        <w:spacing w:beforeLines="50" w:line="340" w:lineRule="exact"/>
        <w:ind w:firstLine="420" w:firstLineChars="200"/>
        <w:rPr>
          <w:rFonts w:ascii="宋体" w:hAnsi="宋体"/>
          <w:color w:val="auto"/>
          <w:szCs w:val="21"/>
          <w:highlight w:val="none"/>
        </w:rPr>
      </w:pPr>
      <w:r>
        <w:rPr>
          <w:rFonts w:hint="eastAsia" w:ascii="宋体" w:hAnsi="宋体"/>
          <w:color w:val="auto"/>
          <w:szCs w:val="21"/>
          <w:highlight w:val="none"/>
        </w:rPr>
        <w:t>3.我方诚意提请贵方关注：近期有关该型号产品的生产、供货、售后服务以及性能等方面的重大决策和事项有：</w:t>
      </w:r>
    </w:p>
    <w:p>
      <w:pPr>
        <w:snapToGrid w:val="0"/>
        <w:spacing w:beforeLines="50" w:line="34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　　　　　　　　　　　　　　　　　　　　　　　　　　　</w:t>
      </w:r>
    </w:p>
    <w:p>
      <w:pPr>
        <w:snapToGrid w:val="0"/>
        <w:spacing w:beforeLines="50" w:line="340" w:lineRule="exact"/>
        <w:ind w:firstLine="420" w:firstLineChars="200"/>
        <w:rPr>
          <w:rFonts w:ascii="宋体" w:hAnsi="宋体"/>
          <w:color w:val="auto"/>
          <w:szCs w:val="21"/>
          <w:highlight w:val="none"/>
        </w:rPr>
      </w:pPr>
      <w:r>
        <w:rPr>
          <w:rFonts w:hint="eastAsia" w:ascii="宋体" w:hAnsi="宋体"/>
          <w:color w:val="auto"/>
          <w:szCs w:val="21"/>
          <w:highlight w:val="none"/>
          <w:u w:val="single"/>
        </w:rPr>
        <w:t>　　　　　　　　　　　　　　　　　　　　　　　　　　　</w:t>
      </w:r>
    </w:p>
    <w:p>
      <w:pPr>
        <w:pStyle w:val="20"/>
        <w:snapToGrid w:val="0"/>
        <w:spacing w:line="340" w:lineRule="exact"/>
        <w:ind w:left="630" w:leftChars="200" w:hanging="210" w:hangingChars="100"/>
        <w:rPr>
          <w:rFonts w:ascii="宋体" w:hAnsi="宋体" w:eastAsia="宋体"/>
          <w:b/>
          <w:color w:val="auto"/>
          <w:sz w:val="21"/>
          <w:szCs w:val="21"/>
          <w:highlight w:val="none"/>
        </w:rPr>
      </w:pPr>
      <w:r>
        <w:rPr>
          <w:rFonts w:hint="eastAsia" w:ascii="宋体" w:hAnsi="宋体" w:eastAsia="宋体"/>
          <w:color w:val="auto"/>
          <w:sz w:val="21"/>
          <w:szCs w:val="21"/>
          <w:highlight w:val="none"/>
        </w:rPr>
        <w:t>4.</w:t>
      </w:r>
      <w:r>
        <w:rPr>
          <w:rFonts w:hint="eastAsia"/>
          <w:color w:val="auto"/>
          <w:highlight w:val="none"/>
        </w:rPr>
        <w:t xml:space="preserve"> </w:t>
      </w:r>
      <w:r>
        <w:rPr>
          <w:rFonts w:hint="eastAsia" w:ascii="宋体" w:hAnsi="宋体" w:eastAsia="宋体"/>
          <w:color w:val="auto"/>
          <w:sz w:val="21"/>
          <w:szCs w:val="21"/>
          <w:highlight w:val="none"/>
        </w:rPr>
        <w:t>我方参加政府采购活动前三年内在经营活动中重大违法记录和不良信用记录情况：</w:t>
      </w:r>
    </w:p>
    <w:p>
      <w:pPr>
        <w:snapToGrid w:val="0"/>
        <w:spacing w:beforeLines="50" w:line="340" w:lineRule="exact"/>
        <w:ind w:firstLine="422" w:firstLineChars="200"/>
        <w:rPr>
          <w:rFonts w:ascii="宋体" w:hAnsi="宋体"/>
          <w:color w:val="auto"/>
          <w:szCs w:val="21"/>
          <w:highlight w:val="none"/>
          <w:u w:val="single"/>
        </w:rPr>
      </w:pPr>
      <w:r>
        <w:rPr>
          <w:rFonts w:hint="eastAsia" w:ascii="宋体" w:hAnsi="宋体"/>
          <w:b/>
          <w:color w:val="auto"/>
          <w:szCs w:val="21"/>
          <w:highlight w:val="none"/>
          <w:u w:val="single"/>
        </w:rPr>
        <w:t>　　　　　　</w:t>
      </w:r>
      <w:r>
        <w:rPr>
          <w:rFonts w:hint="eastAsia" w:ascii="宋体" w:hAnsi="宋体"/>
          <w:color w:val="auto"/>
          <w:szCs w:val="21"/>
          <w:highlight w:val="none"/>
          <w:u w:val="single"/>
        </w:rPr>
        <w:t>　　　　　　　　　　　　　　　　　　　　　</w:t>
      </w:r>
    </w:p>
    <w:p>
      <w:pPr>
        <w:snapToGrid w:val="0"/>
        <w:spacing w:beforeLines="50" w:line="340" w:lineRule="exact"/>
        <w:ind w:firstLine="420" w:firstLineChars="200"/>
        <w:rPr>
          <w:rFonts w:ascii="宋体" w:hAnsi="宋体"/>
          <w:color w:val="auto"/>
          <w:szCs w:val="21"/>
          <w:highlight w:val="none"/>
        </w:rPr>
      </w:pPr>
      <w:r>
        <w:rPr>
          <w:rFonts w:hint="eastAsia" w:ascii="宋体" w:hAnsi="宋体"/>
          <w:color w:val="auto"/>
          <w:szCs w:val="21"/>
          <w:highlight w:val="none"/>
        </w:rPr>
        <w:t>5.以上事项如有虚假或隐瞒，我方愿意承担一切后果。</w:t>
      </w:r>
    </w:p>
    <w:p>
      <w:pPr>
        <w:snapToGrid w:val="0"/>
        <w:spacing w:beforeLines="50" w:line="340" w:lineRule="exact"/>
        <w:ind w:firstLine="3523" w:firstLineChars="1671"/>
        <w:rPr>
          <w:rFonts w:ascii="宋体" w:hAnsi="宋体"/>
          <w:color w:val="auto"/>
          <w:szCs w:val="21"/>
          <w:highlight w:val="none"/>
          <w:u w:val="single"/>
        </w:rPr>
      </w:pPr>
      <w:r>
        <w:rPr>
          <w:rFonts w:hint="eastAsia" w:ascii="宋体" w:hAnsi="宋体"/>
          <w:b/>
          <w:color w:val="auto"/>
          <w:szCs w:val="21"/>
          <w:highlight w:val="none"/>
        </w:rPr>
        <w:t>法定代表人签字</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pPr>
        <w:snapToGrid w:val="0"/>
        <w:spacing w:beforeLines="50" w:after="50" w:line="340" w:lineRule="exact"/>
        <w:ind w:firstLine="3570" w:firstLineChars="1700"/>
        <w:rPr>
          <w:rFonts w:ascii="宋体" w:hAnsi="宋体"/>
          <w:color w:val="auto"/>
          <w:szCs w:val="21"/>
          <w:highlight w:val="none"/>
        </w:rPr>
      </w:pPr>
      <w:r>
        <w:rPr>
          <w:rFonts w:hint="eastAsia" w:ascii="宋体" w:hAnsi="宋体"/>
          <w:color w:val="auto"/>
          <w:szCs w:val="21"/>
          <w:highlight w:val="none"/>
        </w:rPr>
        <w:t>投标人公章：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napToGrid w:val="0"/>
        <w:spacing w:beforeLines="50" w:after="50" w:line="340" w:lineRule="exact"/>
        <w:ind w:firstLine="210" w:firstLineChars="100"/>
        <w:rPr>
          <w:rFonts w:ascii="宋体" w:hAnsi="宋体"/>
          <w:color w:val="auto"/>
          <w:szCs w:val="21"/>
          <w:highlight w:val="none"/>
        </w:rPr>
      </w:pPr>
      <w:r>
        <w:rPr>
          <w:rFonts w:hint="eastAsia" w:ascii="宋体" w:hAnsi="宋体"/>
          <w:color w:val="auto"/>
          <w:szCs w:val="21"/>
          <w:highlight w:val="none"/>
        </w:rPr>
        <w:t xml:space="preserve">                                          年    月    日</w:t>
      </w:r>
    </w:p>
    <w:p>
      <w:pPr>
        <w:widowControl/>
        <w:spacing w:before="100" w:beforeAutospacing="1" w:after="100" w:afterAutospacing="1" w:line="432" w:lineRule="auto"/>
        <w:jc w:val="left"/>
        <w:rPr>
          <w:rFonts w:ascii="宋体" w:hAnsi="宋体"/>
          <w:b/>
          <w:color w:val="auto"/>
          <w:szCs w:val="21"/>
          <w:highlight w:val="none"/>
        </w:rPr>
      </w:pPr>
      <w:r>
        <w:rPr>
          <w:rFonts w:hint="eastAsia" w:ascii="宋体" w:hAnsi="宋体"/>
          <w:b/>
          <w:color w:val="auto"/>
          <w:szCs w:val="21"/>
          <w:highlight w:val="none"/>
        </w:rPr>
        <w:t>※重大违法记录，是指供应商因违法经营受到刑事处罚或者责令停产停业、吊销许可证或者执照、较大数额罚款等行政处罚。</w:t>
      </w:r>
    </w:p>
    <w:p>
      <w:pPr>
        <w:widowControl/>
        <w:spacing w:before="100" w:beforeAutospacing="1" w:after="100" w:afterAutospacing="1" w:line="432" w:lineRule="auto"/>
        <w:jc w:val="left"/>
        <w:rPr>
          <w:rFonts w:ascii="宋体" w:hAnsi="宋体"/>
          <w:b/>
          <w:color w:val="auto"/>
          <w:szCs w:val="21"/>
          <w:highlight w:val="none"/>
        </w:rPr>
      </w:pPr>
    </w:p>
    <w:p>
      <w:pPr>
        <w:widowControl/>
        <w:spacing w:before="100" w:beforeAutospacing="1" w:after="100" w:afterAutospacing="1" w:line="432" w:lineRule="auto"/>
        <w:jc w:val="left"/>
        <w:rPr>
          <w:rFonts w:ascii="宋体" w:hAnsi="宋体"/>
          <w:b/>
          <w:color w:val="auto"/>
          <w:szCs w:val="21"/>
          <w:highlight w:val="none"/>
        </w:rPr>
      </w:pPr>
    </w:p>
    <w:p>
      <w:pPr>
        <w:snapToGrid w:val="0"/>
        <w:spacing w:before="50" w:afterLines="50" w:line="340" w:lineRule="exact"/>
        <w:jc w:val="left"/>
        <w:rPr>
          <w:rFonts w:ascii="宋体" w:hAnsi="宋体"/>
          <w:b/>
          <w:color w:val="auto"/>
          <w:szCs w:val="21"/>
          <w:highlight w:val="none"/>
        </w:rPr>
      </w:pPr>
    </w:p>
    <w:p>
      <w:pPr>
        <w:snapToGrid w:val="0"/>
        <w:spacing w:before="50" w:afterLines="50" w:line="340" w:lineRule="exact"/>
        <w:jc w:val="left"/>
        <w:rPr>
          <w:rFonts w:ascii="宋体" w:hAnsi="宋体"/>
          <w:b/>
          <w:color w:val="auto"/>
          <w:szCs w:val="21"/>
          <w:highlight w:val="none"/>
        </w:rPr>
      </w:pPr>
      <w:r>
        <w:rPr>
          <w:rFonts w:hint="eastAsia" w:ascii="宋体" w:hAnsi="宋体"/>
          <w:b/>
          <w:color w:val="auto"/>
          <w:szCs w:val="21"/>
          <w:highlight w:val="none"/>
        </w:rPr>
        <w:t>（3）法定代表人授权委托书格式：</w:t>
      </w:r>
    </w:p>
    <w:p>
      <w:pPr>
        <w:snapToGrid w:val="0"/>
        <w:spacing w:beforeLines="50" w:after="50" w:line="340" w:lineRule="exact"/>
        <w:jc w:val="center"/>
        <w:rPr>
          <w:rFonts w:ascii="宋体" w:hAnsi="宋体"/>
          <w:b/>
          <w:color w:val="auto"/>
          <w:sz w:val="30"/>
          <w:szCs w:val="30"/>
          <w:highlight w:val="none"/>
        </w:rPr>
      </w:pPr>
      <w:r>
        <w:rPr>
          <w:rFonts w:hint="eastAsia" w:ascii="宋体" w:hAnsi="宋体"/>
          <w:b/>
          <w:color w:val="auto"/>
          <w:sz w:val="30"/>
          <w:szCs w:val="30"/>
          <w:highlight w:val="none"/>
        </w:rPr>
        <w:t>法定代表人授权委托书</w:t>
      </w:r>
    </w:p>
    <w:p>
      <w:pPr>
        <w:snapToGrid w:val="0"/>
        <w:spacing w:beforeLines="50" w:after="50" w:line="340" w:lineRule="exact"/>
        <w:rPr>
          <w:rFonts w:ascii="宋体" w:hAnsi="宋体"/>
          <w:b/>
          <w:bCs/>
          <w:color w:val="auto"/>
          <w:szCs w:val="21"/>
          <w:highlight w:val="none"/>
        </w:rPr>
      </w:pPr>
      <w:r>
        <w:rPr>
          <w:rFonts w:hint="eastAsia" w:ascii="宋体" w:hAnsi="宋体"/>
          <w:bCs/>
          <w:color w:val="auto"/>
          <w:szCs w:val="21"/>
          <w:highlight w:val="none"/>
        </w:rPr>
        <w:t>致：</w:t>
      </w:r>
      <w:r>
        <w:rPr>
          <w:rFonts w:hint="eastAsia" w:ascii="宋体" w:hAnsi="宋体"/>
          <w:color w:val="auto"/>
          <w:szCs w:val="21"/>
          <w:highlight w:val="none"/>
        </w:rPr>
        <w:t>_</w:t>
      </w:r>
      <w:r>
        <w:rPr>
          <w:rFonts w:hint="eastAsia" w:ascii="宋体" w:hAnsi="宋体"/>
          <w:color w:val="auto"/>
          <w:highlight w:val="none"/>
          <w:u w:val="single"/>
        </w:rPr>
        <w:t>广西国栋招标有限公司</w:t>
      </w:r>
      <w:r>
        <w:rPr>
          <w:rFonts w:hint="eastAsia" w:ascii="宋体" w:hAnsi="宋体"/>
          <w:color w:val="auto"/>
          <w:szCs w:val="21"/>
          <w:highlight w:val="none"/>
        </w:rPr>
        <w:t>：</w:t>
      </w:r>
    </w:p>
    <w:p>
      <w:pPr>
        <w:snapToGrid w:val="0"/>
        <w:spacing w:beforeLines="50" w:after="50" w:line="340" w:lineRule="exact"/>
        <w:ind w:firstLine="630" w:firstLineChars="300"/>
        <w:rPr>
          <w:rFonts w:ascii="宋体" w:hAnsi="宋体"/>
          <w:color w:val="auto"/>
          <w:szCs w:val="21"/>
          <w:highlight w:val="none"/>
        </w:rPr>
      </w:pPr>
      <w:r>
        <w:rPr>
          <w:rFonts w:hint="eastAsia" w:ascii="宋体" w:hAnsi="宋体"/>
          <w:color w:val="auto"/>
          <w:szCs w:val="21"/>
          <w:highlight w:val="none"/>
        </w:rPr>
        <w:t>我______</w:t>
      </w:r>
      <w:r>
        <w:rPr>
          <w:rFonts w:hint="eastAsia" w:ascii="宋体" w:hAnsi="宋体"/>
          <w:color w:val="auto"/>
          <w:szCs w:val="21"/>
          <w:highlight w:val="none"/>
          <w:u w:val="single"/>
        </w:rPr>
        <w:t>_     _</w:t>
      </w:r>
      <w:r>
        <w:rPr>
          <w:rFonts w:hint="eastAsia" w:ascii="宋体" w:hAnsi="宋体"/>
          <w:color w:val="auto"/>
          <w:szCs w:val="21"/>
          <w:highlight w:val="none"/>
        </w:rPr>
        <w:t>_（姓名）系______</w:t>
      </w:r>
      <w:r>
        <w:rPr>
          <w:rFonts w:hint="eastAsia" w:ascii="宋体" w:hAnsi="宋体"/>
          <w:color w:val="auto"/>
          <w:szCs w:val="21"/>
          <w:highlight w:val="none"/>
          <w:u w:val="single"/>
        </w:rPr>
        <w:t>_     _</w:t>
      </w:r>
      <w:r>
        <w:rPr>
          <w:rFonts w:hint="eastAsia" w:ascii="宋体" w:hAnsi="宋体"/>
          <w:color w:val="auto"/>
          <w:szCs w:val="21"/>
          <w:highlight w:val="none"/>
        </w:rPr>
        <w:t xml:space="preserve">_（投标人名称）的法定代表人，现授权委托本单位在职职工 </w:t>
      </w:r>
      <w:r>
        <w:rPr>
          <w:rFonts w:hint="eastAsia" w:ascii="宋体" w:hAnsi="宋体"/>
          <w:color w:val="auto"/>
          <w:szCs w:val="21"/>
          <w:highlight w:val="none"/>
          <w:u w:val="single"/>
        </w:rPr>
        <w:t xml:space="preserve">              </w:t>
      </w:r>
      <w:r>
        <w:rPr>
          <w:rFonts w:hint="eastAsia" w:ascii="宋体" w:hAnsi="宋体"/>
          <w:color w:val="auto"/>
          <w:szCs w:val="21"/>
          <w:highlight w:val="none"/>
        </w:rPr>
        <w:t>（姓名）以我方的名义参加</w:t>
      </w:r>
      <w:r>
        <w:rPr>
          <w:rFonts w:hint="eastAsia" w:ascii="宋体" w:hAnsi="宋体"/>
          <w:color w:val="auto"/>
          <w:szCs w:val="21"/>
          <w:highlight w:val="none"/>
          <w:u w:val="single"/>
        </w:rPr>
        <w:t xml:space="preserve">             </w:t>
      </w:r>
      <w:r>
        <w:rPr>
          <w:rFonts w:hint="eastAsia" w:ascii="宋体" w:hAnsi="宋体"/>
          <w:color w:val="auto"/>
          <w:szCs w:val="21"/>
          <w:highlight w:val="none"/>
        </w:rPr>
        <w:t>项目的投标活动，并代表我方全权办理针对上述项目的投标、开标、评标、签约等具体事务和签署相关文件。</w:t>
      </w:r>
    </w:p>
    <w:p>
      <w:pPr>
        <w:snapToGrid w:val="0"/>
        <w:spacing w:beforeLines="50" w:after="50" w:line="340" w:lineRule="exact"/>
        <w:rPr>
          <w:rFonts w:ascii="宋体" w:hAnsi="宋体"/>
          <w:color w:val="auto"/>
          <w:szCs w:val="21"/>
          <w:highlight w:val="none"/>
        </w:rPr>
      </w:pPr>
      <w:r>
        <w:rPr>
          <w:rFonts w:hint="eastAsia" w:ascii="宋体" w:hAnsi="宋体"/>
          <w:color w:val="auto"/>
          <w:szCs w:val="21"/>
          <w:highlight w:val="none"/>
        </w:rPr>
        <w:t xml:space="preserve">    我方对被授权人的签字事项负全部责任。</w:t>
      </w:r>
    </w:p>
    <w:p>
      <w:pPr>
        <w:snapToGrid w:val="0"/>
        <w:spacing w:beforeLines="50" w:after="50" w:line="340" w:lineRule="exact"/>
        <w:ind w:firstLine="480"/>
        <w:rPr>
          <w:rFonts w:ascii="宋体" w:hAnsi="宋体"/>
          <w:color w:val="auto"/>
          <w:szCs w:val="21"/>
          <w:highlight w:val="none"/>
        </w:rPr>
      </w:pPr>
      <w:r>
        <w:rPr>
          <w:rFonts w:hint="eastAsia" w:ascii="宋体" w:hAnsi="宋体"/>
          <w:color w:val="auto"/>
          <w:szCs w:val="21"/>
          <w:highlight w:val="none"/>
          <w:u w:val="single"/>
        </w:rPr>
        <w:t>在撤销授权的书面通知以前，本授权书一直有效。</w:t>
      </w:r>
      <w:r>
        <w:rPr>
          <w:rFonts w:hint="eastAsia" w:ascii="宋体" w:hAnsi="宋体"/>
          <w:color w:val="auto"/>
          <w:szCs w:val="21"/>
          <w:highlight w:val="none"/>
        </w:rPr>
        <w:t>被授权人在授权书有效期内签署的所有文件不因授权的撤销而失效。</w:t>
      </w:r>
    </w:p>
    <w:p>
      <w:pPr>
        <w:snapToGrid w:val="0"/>
        <w:spacing w:beforeLines="50" w:after="50" w:line="340" w:lineRule="exact"/>
        <w:ind w:firstLine="480"/>
        <w:rPr>
          <w:rFonts w:ascii="宋体" w:hAnsi="宋体"/>
          <w:color w:val="auto"/>
          <w:szCs w:val="21"/>
          <w:highlight w:val="none"/>
        </w:rPr>
      </w:pPr>
      <w:r>
        <w:rPr>
          <w:rFonts w:hint="eastAsia" w:ascii="宋体" w:hAnsi="宋体"/>
          <w:color w:val="auto"/>
          <w:szCs w:val="21"/>
          <w:highlight w:val="none"/>
        </w:rPr>
        <w:t>被授权人无转委托权，特此委托。</w:t>
      </w:r>
    </w:p>
    <w:p>
      <w:pPr>
        <w:snapToGrid w:val="0"/>
        <w:spacing w:beforeLines="50" w:after="50" w:line="340" w:lineRule="exact"/>
        <w:rPr>
          <w:rFonts w:ascii="宋体" w:hAnsi="宋体"/>
          <w:color w:val="auto"/>
          <w:szCs w:val="21"/>
          <w:highlight w:val="none"/>
          <w:u w:val="single"/>
        </w:rPr>
      </w:pPr>
      <w:r>
        <w:rPr>
          <w:rFonts w:hint="eastAsia" w:ascii="宋体" w:hAnsi="宋体"/>
          <w:color w:val="auto"/>
          <w:szCs w:val="21"/>
          <w:highlight w:val="none"/>
        </w:rPr>
        <w:t>被授权人签字：</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法定代表人签字：</w:t>
      </w:r>
      <w:r>
        <w:rPr>
          <w:rFonts w:hint="eastAsia" w:ascii="宋体" w:hAnsi="宋体"/>
          <w:color w:val="auto"/>
          <w:szCs w:val="21"/>
          <w:highlight w:val="none"/>
          <w:u w:val="single"/>
        </w:rPr>
        <w:t xml:space="preserve">          </w:t>
      </w:r>
    </w:p>
    <w:p>
      <w:pPr>
        <w:snapToGrid w:val="0"/>
        <w:spacing w:beforeLines="50" w:after="50" w:line="340" w:lineRule="exact"/>
        <w:rPr>
          <w:rFonts w:ascii="宋体" w:hAnsi="宋体"/>
          <w:color w:val="auto"/>
          <w:szCs w:val="21"/>
          <w:highlight w:val="none"/>
        </w:rPr>
      </w:pPr>
      <w:r>
        <w:rPr>
          <w:rFonts w:hint="eastAsia" w:ascii="宋体" w:hAnsi="宋体"/>
          <w:color w:val="auto"/>
          <w:szCs w:val="21"/>
          <w:highlight w:val="none"/>
        </w:rPr>
        <w:t>所在部门职务：</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职务：</w:t>
      </w:r>
      <w:r>
        <w:rPr>
          <w:rFonts w:hint="eastAsia" w:ascii="宋体" w:hAnsi="宋体"/>
          <w:color w:val="auto"/>
          <w:szCs w:val="21"/>
          <w:highlight w:val="none"/>
          <w:u w:val="single"/>
        </w:rPr>
        <w:t xml:space="preserve">           </w:t>
      </w:r>
    </w:p>
    <w:p>
      <w:pPr>
        <w:snapToGrid w:val="0"/>
        <w:spacing w:beforeLines="50" w:after="50" w:line="340" w:lineRule="exact"/>
        <w:rPr>
          <w:rFonts w:ascii="宋体" w:hAnsi="宋体"/>
          <w:color w:val="auto"/>
          <w:szCs w:val="21"/>
          <w:highlight w:val="none"/>
        </w:rPr>
      </w:pPr>
      <w:r>
        <w:rPr>
          <w:rFonts w:hint="eastAsia" w:ascii="宋体" w:hAnsi="宋体"/>
          <w:color w:val="auto"/>
          <w:szCs w:val="21"/>
          <w:highlight w:val="none"/>
        </w:rPr>
        <w:t>被授权人身份证号码：</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49"/>
        <w:tblW w:w="4245" w:type="dxa"/>
        <w:tblInd w:w="0" w:type="dxa"/>
        <w:tblLayout w:type="fixed"/>
        <w:tblCellMar>
          <w:top w:w="0" w:type="dxa"/>
          <w:left w:w="108" w:type="dxa"/>
          <w:bottom w:w="0" w:type="dxa"/>
          <w:right w:w="108" w:type="dxa"/>
        </w:tblCellMar>
      </w:tblPr>
      <w:tblGrid>
        <w:gridCol w:w="4245"/>
      </w:tblGrid>
      <w:tr>
        <w:tblPrEx>
          <w:tblCellMar>
            <w:top w:w="0" w:type="dxa"/>
            <w:left w:w="108" w:type="dxa"/>
            <w:bottom w:w="0" w:type="dxa"/>
            <w:right w:w="108" w:type="dxa"/>
          </w:tblCellMar>
        </w:tblPrEx>
        <w:tc>
          <w:tcPr>
            <w:tcW w:w="4245" w:type="dxa"/>
          </w:tcPr>
          <w:p>
            <w:pPr>
              <w:snapToGrid w:val="0"/>
              <w:spacing w:beforeLines="50" w:after="50" w:line="340" w:lineRule="exact"/>
              <w:rPr>
                <w:rFonts w:ascii="宋体" w:hAnsi="宋体"/>
                <w:color w:val="auto"/>
                <w:szCs w:val="21"/>
                <w:highlight w:val="none"/>
              </w:rPr>
            </w:pPr>
            <w:r>
              <w:rPr>
                <w:rFonts w:hint="eastAsia" w:ascii="宋体" w:hAnsi="宋体"/>
                <w:color w:val="auto"/>
                <w:szCs w:val="21"/>
                <w:highlight w:val="none"/>
              </w:rPr>
              <w:t>贴附“</w:t>
            </w:r>
            <w:r>
              <w:rPr>
                <w:rFonts w:hint="eastAsia" w:ascii="宋体" w:hAnsi="宋体"/>
                <w:color w:val="auto"/>
                <w:highlight w:val="none"/>
              </w:rPr>
              <w:t>委托代理人身份证复印件”（正反两面）</w:t>
            </w:r>
          </w:p>
        </w:tc>
      </w:tr>
    </w:tbl>
    <w:p>
      <w:pPr>
        <w:snapToGrid w:val="0"/>
        <w:spacing w:beforeLines="50" w:after="50" w:line="340" w:lineRule="exact"/>
        <w:ind w:firstLine="4620" w:firstLineChars="2200"/>
        <w:rPr>
          <w:rFonts w:ascii="宋体" w:hAnsi="宋体"/>
          <w:color w:val="auto"/>
          <w:szCs w:val="21"/>
          <w:highlight w:val="none"/>
        </w:rPr>
      </w:pPr>
      <w:r>
        <w:rPr>
          <w:rFonts w:hint="eastAsia" w:ascii="宋体" w:hAnsi="宋体"/>
          <w:color w:val="auto"/>
          <w:szCs w:val="21"/>
          <w:highlight w:val="none"/>
        </w:rPr>
        <w:t xml:space="preserve">  投标人公章：</w:t>
      </w:r>
    </w:p>
    <w:p>
      <w:pPr>
        <w:snapToGrid w:val="0"/>
        <w:spacing w:beforeLines="50" w:after="50" w:line="340" w:lineRule="exact"/>
        <w:jc w:val="center"/>
        <w:rPr>
          <w:rFonts w:ascii="宋体" w:hAnsi="宋体"/>
          <w:color w:val="auto"/>
          <w:szCs w:val="21"/>
          <w:highlight w:val="none"/>
        </w:rPr>
      </w:pPr>
      <w:r>
        <w:rPr>
          <w:rFonts w:hint="eastAsia" w:ascii="宋体" w:hAnsi="宋体"/>
          <w:color w:val="auto"/>
          <w:szCs w:val="21"/>
          <w:highlight w:val="none"/>
        </w:rPr>
        <w:t xml:space="preserve">                                        年    月    日</w:t>
      </w:r>
    </w:p>
    <w:p>
      <w:pPr>
        <w:snapToGrid w:val="0"/>
        <w:spacing w:line="360" w:lineRule="exact"/>
        <w:jc w:val="left"/>
        <w:rPr>
          <w:rFonts w:ascii="宋体" w:hAnsi="宋体"/>
          <w:b/>
          <w:color w:val="auto"/>
          <w:szCs w:val="21"/>
          <w:highlight w:val="none"/>
        </w:rPr>
      </w:pPr>
    </w:p>
    <w:p>
      <w:pPr>
        <w:snapToGrid w:val="0"/>
        <w:spacing w:before="50" w:afterLines="50" w:line="360" w:lineRule="exact"/>
        <w:ind w:firstLine="204" w:firstLineChars="97"/>
        <w:jc w:val="left"/>
        <w:rPr>
          <w:rFonts w:ascii="宋体" w:hAnsi="宋体"/>
          <w:b/>
          <w:color w:val="auto"/>
          <w:szCs w:val="21"/>
          <w:highlight w:val="none"/>
        </w:rPr>
      </w:pPr>
      <w:r>
        <w:rPr>
          <w:rFonts w:hint="eastAsia" w:ascii="宋体" w:hAnsi="宋体"/>
          <w:b/>
          <w:color w:val="auto"/>
          <w:szCs w:val="21"/>
          <w:highlight w:val="none"/>
        </w:rPr>
        <w:t>（4）投标截止之日前半年内投标人连续三个月</w:t>
      </w:r>
      <w:r>
        <w:rPr>
          <w:rFonts w:hint="eastAsia" w:ascii="宋体" w:hAnsi="宋体"/>
          <w:color w:val="auto"/>
          <w:szCs w:val="21"/>
          <w:highlight w:val="none"/>
        </w:rPr>
        <w:t>依法纳税的依法缴纳税费或依法免缴税费的证明</w:t>
      </w:r>
      <w:r>
        <w:rPr>
          <w:rFonts w:hint="eastAsia" w:ascii="宋体" w:hAnsi="宋体"/>
          <w:b/>
          <w:color w:val="auto"/>
          <w:szCs w:val="21"/>
          <w:highlight w:val="none"/>
        </w:rPr>
        <w:t>（复印件，原件备查，格式自拟）（必须提供）；</w:t>
      </w:r>
      <w:r>
        <w:rPr>
          <w:rFonts w:hint="eastAsia" w:ascii="宋体" w:hAnsi="宋体"/>
          <w:color w:val="auto"/>
          <w:szCs w:val="21"/>
          <w:highlight w:val="none"/>
        </w:rPr>
        <w:t>无纳税记录的，应提供由投标人所在地主管国税或地税部门出具的《依法纳税或依法免税证明》（格式自拟，复印件，原件备查）</w:t>
      </w:r>
      <w:r>
        <w:rPr>
          <w:rFonts w:hint="eastAsia" w:ascii="宋体" w:hAnsi="宋体"/>
          <w:b/>
          <w:color w:val="auto"/>
          <w:szCs w:val="21"/>
          <w:highlight w:val="none"/>
        </w:rPr>
        <w:t>。</w:t>
      </w:r>
    </w:p>
    <w:p>
      <w:pPr>
        <w:snapToGrid w:val="0"/>
        <w:spacing w:before="50" w:afterLines="50" w:line="360" w:lineRule="exact"/>
        <w:ind w:firstLine="204" w:firstLineChars="97"/>
        <w:jc w:val="left"/>
        <w:rPr>
          <w:rFonts w:ascii="宋体" w:hAnsi="宋体"/>
          <w:color w:val="auto"/>
          <w:szCs w:val="21"/>
          <w:highlight w:val="none"/>
        </w:rPr>
      </w:pPr>
      <w:r>
        <w:rPr>
          <w:rFonts w:hint="eastAsia" w:ascii="宋体" w:hAnsi="宋体"/>
          <w:b/>
          <w:color w:val="auto"/>
          <w:szCs w:val="21"/>
          <w:highlight w:val="none"/>
        </w:rPr>
        <w:t>（5）</w:t>
      </w:r>
      <w:r>
        <w:rPr>
          <w:rFonts w:hint="eastAsia" w:ascii="宋体" w:hAnsi="宋体"/>
          <w:color w:val="auto"/>
          <w:szCs w:val="21"/>
          <w:highlight w:val="none"/>
        </w:rPr>
        <w:t>投标截止之日前半年内投标人连续三个月的依法缴纳社保费的缴费凭证（</w:t>
      </w:r>
      <w:r>
        <w:rPr>
          <w:rFonts w:hint="eastAsia" w:ascii="宋体" w:hAnsi="宋体"/>
          <w:b/>
          <w:color w:val="auto"/>
          <w:szCs w:val="21"/>
          <w:highlight w:val="none"/>
        </w:rPr>
        <w:t>复印件，原件备查，格式自拟）（必须提供）；</w:t>
      </w:r>
      <w:r>
        <w:rPr>
          <w:rFonts w:hint="eastAsia" w:ascii="宋体" w:hAnsi="宋体"/>
          <w:color w:val="auto"/>
          <w:szCs w:val="21"/>
          <w:highlight w:val="none"/>
        </w:rPr>
        <w:t>无缴费记录的，应提供由投标人所在地社保部门出具的《依法缴纳或依法免缴社保费证明》（格式自拟，复印件，原件备查）。</w:t>
      </w:r>
    </w:p>
    <w:p>
      <w:pPr>
        <w:snapToGrid w:val="0"/>
        <w:spacing w:before="50" w:afterLines="50" w:line="360" w:lineRule="exact"/>
        <w:jc w:val="left"/>
        <w:rPr>
          <w:rFonts w:ascii="宋体" w:hAnsi="宋体"/>
          <w:b/>
          <w:color w:val="auto"/>
          <w:szCs w:val="21"/>
          <w:highlight w:val="none"/>
        </w:rPr>
      </w:pPr>
      <w:r>
        <w:rPr>
          <w:rFonts w:hint="eastAsia" w:ascii="宋体" w:hAnsi="宋体"/>
          <w:b/>
          <w:color w:val="auto"/>
          <w:szCs w:val="21"/>
          <w:highlight w:val="none"/>
        </w:rPr>
        <w:t xml:space="preserve">  （6）</w:t>
      </w:r>
      <w:r>
        <w:rPr>
          <w:rFonts w:hint="eastAsia" w:ascii="宋体" w:hAnsi="宋体"/>
          <w:color w:val="auto"/>
          <w:szCs w:val="21"/>
          <w:highlight w:val="none"/>
        </w:rPr>
        <w:t>财务状况报告</w:t>
      </w:r>
      <w:r>
        <w:rPr>
          <w:rFonts w:hint="eastAsia" w:ascii="宋体" w:hAnsi="宋体"/>
          <w:b/>
          <w:color w:val="auto"/>
          <w:szCs w:val="21"/>
          <w:highlight w:val="none"/>
        </w:rPr>
        <w:t>；（必须提供）</w:t>
      </w:r>
    </w:p>
    <w:p>
      <w:pPr>
        <w:snapToGrid w:val="0"/>
        <w:spacing w:before="50" w:afterLines="50" w:line="360" w:lineRule="exact"/>
        <w:ind w:firstLine="204" w:firstLineChars="97"/>
        <w:jc w:val="left"/>
        <w:rPr>
          <w:rFonts w:ascii="宋体" w:hAnsi="宋体" w:cs="宋体"/>
          <w:b/>
          <w:color w:val="auto"/>
          <w:kern w:val="0"/>
          <w:szCs w:val="21"/>
          <w:highlight w:val="none"/>
        </w:rPr>
      </w:pPr>
      <w:r>
        <w:rPr>
          <w:rFonts w:hint="eastAsia" w:ascii="宋体" w:hAnsi="宋体" w:cs="宋体"/>
          <w:b/>
          <w:color w:val="auto"/>
          <w:kern w:val="0"/>
          <w:szCs w:val="21"/>
          <w:highlight w:val="none"/>
        </w:rPr>
        <w:t>（7）</w:t>
      </w:r>
      <w:r>
        <w:rPr>
          <w:rFonts w:hint="eastAsia" w:ascii="宋体" w:hAnsi="宋体"/>
          <w:color w:val="auto"/>
          <w:szCs w:val="21"/>
          <w:highlight w:val="none"/>
        </w:rPr>
        <w:t>具备履行合同所必需的设备和专业技术能力的证明材料</w:t>
      </w:r>
      <w:r>
        <w:rPr>
          <w:rFonts w:hint="eastAsia" w:ascii="宋体" w:hAnsi="宋体" w:cs="宋体"/>
          <w:b/>
          <w:color w:val="auto"/>
          <w:kern w:val="0"/>
          <w:szCs w:val="21"/>
          <w:highlight w:val="none"/>
        </w:rPr>
        <w:t>；</w:t>
      </w:r>
      <w:r>
        <w:rPr>
          <w:rFonts w:hint="eastAsia" w:ascii="宋体" w:hAnsi="宋体"/>
          <w:b/>
          <w:color w:val="auto"/>
          <w:szCs w:val="21"/>
          <w:highlight w:val="none"/>
        </w:rPr>
        <w:t>（格式自拟）</w:t>
      </w:r>
    </w:p>
    <w:p>
      <w:pPr>
        <w:snapToGrid w:val="0"/>
        <w:spacing w:before="50" w:afterLines="50" w:line="360" w:lineRule="exact"/>
        <w:ind w:firstLine="204" w:firstLineChars="97"/>
        <w:jc w:val="left"/>
        <w:rPr>
          <w:rFonts w:ascii="宋体" w:hAnsi="宋体"/>
          <w:color w:val="auto"/>
          <w:szCs w:val="21"/>
          <w:highlight w:val="none"/>
        </w:rPr>
      </w:pPr>
      <w:r>
        <w:rPr>
          <w:rFonts w:hint="eastAsia" w:ascii="宋体" w:hAnsi="宋体"/>
          <w:b/>
          <w:color w:val="auto"/>
          <w:szCs w:val="21"/>
          <w:highlight w:val="none"/>
        </w:rPr>
        <w:t>（8）</w:t>
      </w:r>
      <w:r>
        <w:rPr>
          <w:rFonts w:hint="eastAsia" w:ascii="宋体" w:hAnsi="宋体"/>
          <w:color w:val="auto"/>
          <w:szCs w:val="21"/>
          <w:highlight w:val="none"/>
        </w:rPr>
        <w:t>税务登记证复印件（副本）（按要求提供）</w:t>
      </w:r>
    </w:p>
    <w:bookmarkEnd w:id="49"/>
    <w:bookmarkEnd w:id="50"/>
    <w:p>
      <w:pPr>
        <w:snapToGrid w:val="0"/>
        <w:spacing w:before="50" w:afterLines="50" w:line="360" w:lineRule="exact"/>
        <w:ind w:firstLine="204" w:firstLineChars="97"/>
        <w:jc w:val="left"/>
        <w:rPr>
          <w:rFonts w:ascii="宋体" w:hAnsi="宋体"/>
          <w:b/>
          <w:color w:val="auto"/>
          <w:szCs w:val="21"/>
          <w:highlight w:val="none"/>
        </w:rPr>
      </w:pPr>
      <w:r>
        <w:rPr>
          <w:rFonts w:hint="eastAsia" w:ascii="宋体" w:hAnsi="宋体"/>
          <w:b/>
          <w:color w:val="auto"/>
          <w:szCs w:val="21"/>
          <w:highlight w:val="none"/>
        </w:rPr>
        <w:t>（9）商务及其他要求表格式：</w:t>
      </w:r>
    </w:p>
    <w:tbl>
      <w:tblPr>
        <w:tblStyle w:val="49"/>
        <w:tblW w:w="94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600"/>
        <w:gridCol w:w="1440"/>
        <w:gridCol w:w="28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Lines="50" w:line="360" w:lineRule="exact"/>
              <w:jc w:val="center"/>
              <w:rPr>
                <w:rFonts w:ascii="宋体" w:hAnsi="宋体"/>
                <w:color w:val="auto"/>
                <w:szCs w:val="21"/>
                <w:highlight w:val="none"/>
              </w:rPr>
            </w:pPr>
            <w:r>
              <w:rPr>
                <w:rFonts w:hint="eastAsia" w:ascii="宋体" w:hAnsi="宋体"/>
                <w:color w:val="auto"/>
                <w:szCs w:val="21"/>
                <w:highlight w:val="none"/>
              </w:rPr>
              <w:t>项目</w:t>
            </w:r>
          </w:p>
        </w:tc>
        <w:tc>
          <w:tcPr>
            <w:tcW w:w="360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jc w:val="center"/>
              <w:rPr>
                <w:rFonts w:ascii="宋体" w:hAnsi="宋体"/>
                <w:color w:val="auto"/>
                <w:szCs w:val="21"/>
                <w:highlight w:val="none"/>
              </w:rPr>
            </w:pPr>
            <w:r>
              <w:rPr>
                <w:rFonts w:hint="eastAsia" w:ascii="宋体" w:hAnsi="宋体"/>
                <w:color w:val="auto"/>
                <w:szCs w:val="21"/>
                <w:highlight w:val="none"/>
              </w:rPr>
              <w:t>招标文件要求</w:t>
            </w: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jc w:val="center"/>
              <w:rPr>
                <w:rFonts w:ascii="宋体" w:hAnsi="宋体"/>
                <w:color w:val="auto"/>
                <w:szCs w:val="21"/>
                <w:highlight w:val="none"/>
              </w:rPr>
            </w:pPr>
            <w:r>
              <w:rPr>
                <w:rFonts w:hint="eastAsia" w:ascii="宋体" w:hAnsi="宋体"/>
                <w:color w:val="auto"/>
                <w:szCs w:val="21"/>
                <w:highlight w:val="none"/>
              </w:rPr>
              <w:t>是否响应</w:t>
            </w:r>
          </w:p>
        </w:tc>
        <w:tc>
          <w:tcPr>
            <w:tcW w:w="288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jc w:val="center"/>
              <w:rPr>
                <w:rFonts w:ascii="宋体" w:hAnsi="宋体"/>
                <w:color w:val="auto"/>
                <w:szCs w:val="21"/>
                <w:highlight w:val="none"/>
              </w:rPr>
            </w:pPr>
            <w:r>
              <w:rPr>
                <w:rFonts w:hint="eastAsia" w:ascii="宋体" w:hAnsi="宋体"/>
                <w:color w:val="auto"/>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olor w:val="auto"/>
                <w:szCs w:val="21"/>
                <w:highlight w:val="none"/>
              </w:rPr>
            </w:pPr>
          </w:p>
        </w:tc>
        <w:tc>
          <w:tcPr>
            <w:tcW w:w="360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rPr>
                <w:rFonts w:ascii="宋体" w:hAnsi="宋体"/>
                <w:color w:val="auto"/>
                <w:szCs w:val="21"/>
                <w:highlight w:val="none"/>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olor w:val="auto"/>
                <w:szCs w:val="21"/>
                <w:highlight w:val="none"/>
              </w:rPr>
            </w:pPr>
          </w:p>
        </w:tc>
        <w:tc>
          <w:tcPr>
            <w:tcW w:w="360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rPr>
                <w:rFonts w:ascii="宋体" w:hAnsi="宋体"/>
                <w:color w:val="auto"/>
                <w:szCs w:val="21"/>
                <w:highlight w:val="none"/>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olor w:val="auto"/>
                <w:szCs w:val="21"/>
                <w:highlight w:val="none"/>
              </w:rPr>
            </w:pPr>
          </w:p>
        </w:tc>
        <w:tc>
          <w:tcPr>
            <w:tcW w:w="360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ind w:left="86"/>
              <w:rPr>
                <w:rFonts w:ascii="宋体" w:hAnsi="宋体"/>
                <w:color w:val="auto"/>
                <w:szCs w:val="21"/>
                <w:highlight w:val="none"/>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ind w:left="86"/>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olor w:val="auto"/>
                <w:szCs w:val="21"/>
                <w:highlight w:val="none"/>
              </w:rPr>
            </w:pPr>
          </w:p>
        </w:tc>
        <w:tc>
          <w:tcPr>
            <w:tcW w:w="360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ind w:left="105" w:hanging="105" w:hangingChars="50"/>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rPr>
                <w:rFonts w:ascii="宋体" w:hAnsi="宋体"/>
                <w:color w:val="auto"/>
                <w:szCs w:val="21"/>
                <w:highlight w:val="none"/>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olor w:val="auto"/>
                <w:szCs w:val="21"/>
                <w:highlight w:val="none"/>
              </w:rPr>
            </w:pPr>
          </w:p>
        </w:tc>
        <w:tc>
          <w:tcPr>
            <w:tcW w:w="360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rPr>
                <w:rFonts w:ascii="宋体" w:hAnsi="宋体"/>
                <w:color w:val="auto"/>
                <w:szCs w:val="21"/>
                <w:highlight w:val="none"/>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pPr>
              <w:snapToGrid w:val="0"/>
              <w:spacing w:beforeLines="50" w:line="360" w:lineRule="exact"/>
              <w:jc w:val="center"/>
              <w:rPr>
                <w:rFonts w:ascii="宋体" w:hAnsi="宋体"/>
                <w:color w:val="auto"/>
                <w:szCs w:val="21"/>
                <w:highlight w:val="none"/>
              </w:rPr>
            </w:pPr>
            <w:r>
              <w:rPr>
                <w:rFonts w:hint="eastAsia" w:ascii="宋体" w:hAnsi="宋体"/>
                <w:color w:val="auto"/>
                <w:szCs w:val="21"/>
                <w:highlight w:val="none"/>
              </w:rPr>
              <w:t>…</w:t>
            </w:r>
          </w:p>
        </w:tc>
        <w:tc>
          <w:tcPr>
            <w:tcW w:w="360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rPr>
                <w:rFonts w:ascii="宋体" w:hAnsi="宋体"/>
                <w:color w:val="auto"/>
                <w:szCs w:val="21"/>
                <w:highlight w:val="none"/>
              </w:rPr>
            </w:pPr>
          </w:p>
        </w:tc>
        <w:tc>
          <w:tcPr>
            <w:tcW w:w="288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rPr>
                <w:rFonts w:ascii="宋体" w:hAnsi="宋体"/>
                <w:color w:val="auto"/>
                <w:szCs w:val="21"/>
                <w:highlight w:val="none"/>
              </w:rPr>
            </w:pPr>
          </w:p>
        </w:tc>
      </w:tr>
    </w:tbl>
    <w:p>
      <w:pPr>
        <w:snapToGrid w:val="0"/>
        <w:spacing w:before="50" w:after="50" w:line="360" w:lineRule="exact"/>
        <w:rPr>
          <w:rFonts w:ascii="宋体" w:hAnsi="宋体"/>
          <w:color w:val="auto"/>
          <w:spacing w:val="20"/>
          <w:szCs w:val="21"/>
          <w:highlight w:val="none"/>
        </w:rPr>
      </w:pPr>
    </w:p>
    <w:p>
      <w:pPr>
        <w:snapToGrid w:val="0"/>
        <w:spacing w:before="50" w:after="50" w:line="360" w:lineRule="exact"/>
        <w:ind w:firstLine="210" w:firstLineChars="100"/>
        <w:rPr>
          <w:rFonts w:ascii="宋体" w:hAnsi="宋体"/>
          <w:color w:val="auto"/>
          <w:spacing w:val="20"/>
          <w:szCs w:val="21"/>
          <w:highlight w:val="none"/>
          <w:u w:val="single"/>
        </w:rPr>
      </w:pPr>
      <w:r>
        <w:rPr>
          <w:rFonts w:hint="eastAsia" w:ascii="宋体" w:hAnsi="宋体"/>
          <w:color w:val="auto"/>
          <w:szCs w:val="21"/>
          <w:highlight w:val="none"/>
        </w:rPr>
        <w:t>法定代表人或委托代理人签字</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w:t>
      </w:r>
    </w:p>
    <w:p>
      <w:pPr>
        <w:snapToGrid w:val="0"/>
        <w:spacing w:line="360" w:lineRule="exact"/>
        <w:ind w:firstLine="245" w:firstLineChars="98"/>
        <w:jc w:val="left"/>
        <w:rPr>
          <w:rFonts w:ascii="宋体" w:hAnsi="宋体"/>
          <w:b/>
          <w:color w:val="auto"/>
          <w:szCs w:val="21"/>
          <w:highlight w:val="none"/>
        </w:rPr>
      </w:pPr>
      <w:r>
        <w:rPr>
          <w:rFonts w:hint="eastAsia" w:ascii="宋体" w:hAnsi="宋体"/>
          <w:color w:val="auto"/>
          <w:spacing w:val="20"/>
          <w:szCs w:val="21"/>
          <w:highlight w:val="none"/>
        </w:rPr>
        <w:t>投标人盖章：</w:t>
      </w:r>
      <w:r>
        <w:rPr>
          <w:rFonts w:hint="eastAsia" w:ascii="宋体" w:hAnsi="宋体"/>
          <w:color w:val="auto"/>
          <w:spacing w:val="20"/>
          <w:szCs w:val="21"/>
          <w:highlight w:val="none"/>
          <w:u w:val="single"/>
        </w:rPr>
        <w:t xml:space="preserve">            </w:t>
      </w:r>
      <w:r>
        <w:rPr>
          <w:rFonts w:hint="eastAsia" w:ascii="宋体" w:hAnsi="宋体"/>
          <w:color w:val="auto"/>
          <w:spacing w:val="20"/>
          <w:szCs w:val="21"/>
          <w:highlight w:val="none"/>
        </w:rPr>
        <w:t xml:space="preserve">              日 期：</w:t>
      </w:r>
      <w:r>
        <w:rPr>
          <w:rFonts w:hint="eastAsia" w:ascii="宋体" w:hAnsi="宋体"/>
          <w:color w:val="auto"/>
          <w:spacing w:val="20"/>
          <w:szCs w:val="21"/>
          <w:highlight w:val="none"/>
          <w:u w:val="single"/>
        </w:rPr>
        <w:t xml:space="preserve">          </w:t>
      </w:r>
    </w:p>
    <w:p>
      <w:pPr>
        <w:snapToGrid w:val="0"/>
        <w:spacing w:line="360" w:lineRule="exact"/>
        <w:ind w:firstLine="207" w:firstLineChars="98"/>
        <w:jc w:val="left"/>
        <w:rPr>
          <w:rFonts w:ascii="宋体" w:hAnsi="宋体"/>
          <w:b/>
          <w:color w:val="auto"/>
          <w:szCs w:val="21"/>
          <w:highlight w:val="none"/>
        </w:rPr>
      </w:pPr>
    </w:p>
    <w:p>
      <w:pPr>
        <w:snapToGrid w:val="0"/>
        <w:spacing w:line="360" w:lineRule="exact"/>
        <w:ind w:left="840" w:hanging="840" w:hangingChars="400"/>
        <w:jc w:val="left"/>
        <w:rPr>
          <w:rFonts w:ascii="宋体" w:hAnsi="宋体"/>
          <w:b/>
          <w:color w:val="auto"/>
          <w:szCs w:val="21"/>
          <w:highlight w:val="none"/>
        </w:rPr>
      </w:pPr>
      <w:r>
        <w:rPr>
          <w:rFonts w:hint="eastAsia" w:ascii="宋体" w:hAnsi="宋体"/>
          <w:color w:val="auto"/>
          <w:highlight w:val="none"/>
        </w:rPr>
        <w:t>▲</w:t>
      </w:r>
      <w:r>
        <w:rPr>
          <w:rFonts w:hint="eastAsia" w:ascii="宋体" w:hAnsi="宋体"/>
          <w:b/>
          <w:color w:val="auto"/>
          <w:szCs w:val="21"/>
          <w:highlight w:val="none"/>
        </w:rPr>
        <w:t>（10）招标项目采购需求中要求必须提供的材料等；</w:t>
      </w:r>
      <w:r>
        <w:rPr>
          <w:rFonts w:hint="eastAsia" w:ascii="宋体" w:hAnsi="宋体"/>
          <w:color w:val="auto"/>
          <w:szCs w:val="21"/>
          <w:highlight w:val="none"/>
        </w:rPr>
        <w:t>（招标项目采购需求中要求必须提供的材料，据实提供）</w:t>
      </w:r>
    </w:p>
    <w:p>
      <w:pPr>
        <w:snapToGrid w:val="0"/>
        <w:spacing w:line="360" w:lineRule="exact"/>
        <w:ind w:firstLine="207" w:firstLineChars="98"/>
        <w:jc w:val="left"/>
        <w:rPr>
          <w:rFonts w:ascii="宋体" w:hAnsi="宋体"/>
          <w:b/>
          <w:color w:val="auto"/>
          <w:szCs w:val="21"/>
          <w:highlight w:val="none"/>
        </w:rPr>
      </w:pPr>
      <w:r>
        <w:rPr>
          <w:rFonts w:hint="eastAsia" w:ascii="宋体" w:hAnsi="宋体"/>
          <w:b/>
          <w:color w:val="auto"/>
          <w:szCs w:val="21"/>
          <w:highlight w:val="none"/>
        </w:rPr>
        <w:t>（11）</w:t>
      </w:r>
      <w:r>
        <w:rPr>
          <w:rFonts w:hint="eastAsia" w:ascii="宋体" w:hAnsi="宋体"/>
          <w:color w:val="auto"/>
          <w:szCs w:val="21"/>
          <w:highlight w:val="none"/>
        </w:rPr>
        <w:t>具备法律、行政法规规定的其他条件的证明材料</w:t>
      </w:r>
      <w:r>
        <w:rPr>
          <w:rFonts w:hint="eastAsia" w:ascii="宋体" w:hAnsi="宋体"/>
          <w:b/>
          <w:color w:val="auto"/>
          <w:szCs w:val="21"/>
          <w:highlight w:val="none"/>
        </w:rPr>
        <w:t>；</w:t>
      </w:r>
      <w:r>
        <w:rPr>
          <w:rFonts w:hint="eastAsia" w:ascii="宋体" w:hAnsi="宋体"/>
          <w:color w:val="auto"/>
          <w:szCs w:val="21"/>
          <w:highlight w:val="none"/>
        </w:rPr>
        <w:t>（格式自拟）</w:t>
      </w:r>
    </w:p>
    <w:p>
      <w:pPr>
        <w:snapToGrid w:val="0"/>
        <w:spacing w:before="50" w:afterLines="50" w:line="360" w:lineRule="exact"/>
        <w:ind w:firstLine="207" w:firstLineChars="98"/>
        <w:jc w:val="left"/>
        <w:rPr>
          <w:rFonts w:ascii="宋体" w:hAnsi="宋体"/>
          <w:b/>
          <w:color w:val="auto"/>
          <w:szCs w:val="21"/>
          <w:highlight w:val="none"/>
        </w:rPr>
      </w:pPr>
      <w:r>
        <w:rPr>
          <w:rFonts w:hint="eastAsia" w:ascii="宋体" w:hAnsi="宋体"/>
          <w:b/>
          <w:color w:val="auto"/>
          <w:szCs w:val="21"/>
          <w:highlight w:val="none"/>
        </w:rPr>
        <w:t>（12）</w:t>
      </w:r>
      <w:r>
        <w:rPr>
          <w:rFonts w:hint="eastAsia" w:ascii="宋体" w:hAnsi="宋体"/>
          <w:color w:val="auto"/>
          <w:szCs w:val="21"/>
          <w:highlight w:val="none"/>
        </w:rPr>
        <w:t>投标人的类似成功案例的业绩证明文件：（格式自拟）</w:t>
      </w:r>
    </w:p>
    <w:p>
      <w:pPr>
        <w:snapToGrid w:val="0"/>
        <w:spacing w:before="50" w:line="360" w:lineRule="exact"/>
        <w:ind w:firstLine="282" w:firstLineChars="134"/>
        <w:jc w:val="left"/>
        <w:rPr>
          <w:rFonts w:ascii="宋体" w:hAnsi="宋体"/>
          <w:color w:val="auto"/>
          <w:szCs w:val="21"/>
          <w:highlight w:val="none"/>
        </w:rPr>
      </w:pPr>
      <w:r>
        <w:rPr>
          <w:rFonts w:hint="eastAsia" w:ascii="宋体" w:hAnsi="宋体"/>
          <w:b/>
          <w:color w:val="auto"/>
          <w:szCs w:val="21"/>
          <w:highlight w:val="none"/>
        </w:rPr>
        <w:t>（13）</w:t>
      </w:r>
      <w:r>
        <w:rPr>
          <w:rFonts w:hint="eastAsia" w:ascii="宋体" w:hAnsi="宋体"/>
          <w:color w:val="auto"/>
          <w:szCs w:val="21"/>
          <w:highlight w:val="none"/>
        </w:rPr>
        <w:t>其他特殊资质证书（如本地化服务能力等）；（按要求提供）</w:t>
      </w:r>
    </w:p>
    <w:p>
      <w:pPr>
        <w:snapToGrid w:val="0"/>
        <w:spacing w:line="360" w:lineRule="exact"/>
        <w:ind w:firstLine="282" w:firstLineChars="134"/>
        <w:jc w:val="left"/>
        <w:rPr>
          <w:rFonts w:ascii="宋体" w:hAnsi="宋体"/>
          <w:color w:val="auto"/>
          <w:szCs w:val="21"/>
          <w:highlight w:val="none"/>
        </w:rPr>
      </w:pPr>
      <w:r>
        <w:rPr>
          <w:rFonts w:hint="eastAsia" w:ascii="宋体" w:hAnsi="宋体"/>
          <w:b/>
          <w:color w:val="auto"/>
          <w:szCs w:val="21"/>
          <w:highlight w:val="none"/>
        </w:rPr>
        <w:t>（14）</w:t>
      </w:r>
      <w:r>
        <w:rPr>
          <w:rFonts w:hint="eastAsia" w:ascii="宋体" w:hAnsi="宋体"/>
          <w:color w:val="auto"/>
          <w:szCs w:val="21"/>
          <w:highlight w:val="none"/>
        </w:rPr>
        <w:t>投标人质量管理和质量保证体系等方面的认证证书；（按要求提供）</w:t>
      </w:r>
    </w:p>
    <w:p>
      <w:pPr>
        <w:snapToGrid w:val="0"/>
        <w:spacing w:line="360" w:lineRule="exact"/>
        <w:ind w:firstLine="281" w:firstLineChars="134"/>
        <w:jc w:val="left"/>
        <w:rPr>
          <w:rFonts w:ascii="宋体" w:hAnsi="宋体"/>
          <w:color w:val="auto"/>
          <w:szCs w:val="21"/>
          <w:highlight w:val="none"/>
        </w:rPr>
      </w:pPr>
      <w:r>
        <w:rPr>
          <w:rFonts w:hint="eastAsia" w:ascii="宋体" w:hAnsi="宋体"/>
          <w:color w:val="auto"/>
          <w:szCs w:val="21"/>
          <w:highlight w:val="none"/>
        </w:rPr>
        <w:t>（15）投标人认为可以证明其能力或业绩的其他材料；格式自拟</w:t>
      </w:r>
    </w:p>
    <w:p>
      <w:pPr>
        <w:snapToGrid w:val="0"/>
        <w:spacing w:line="360" w:lineRule="exact"/>
        <w:ind w:firstLine="281" w:firstLineChars="134"/>
        <w:jc w:val="left"/>
        <w:rPr>
          <w:rFonts w:ascii="宋体" w:hAnsi="宋体"/>
          <w:color w:val="auto"/>
          <w:szCs w:val="21"/>
          <w:highlight w:val="none"/>
        </w:rPr>
      </w:pPr>
      <w:r>
        <w:rPr>
          <w:rFonts w:hint="eastAsia" w:ascii="宋体" w:hAnsi="宋体"/>
          <w:color w:val="auto"/>
          <w:szCs w:val="21"/>
          <w:highlight w:val="none"/>
        </w:rPr>
        <w:t>（16）投标人关于服务升级及本单位债务纠纷、违法违规记录等方面的情况（内容见投标声明书）；</w:t>
      </w:r>
    </w:p>
    <w:p>
      <w:pPr>
        <w:snapToGrid w:val="0"/>
        <w:spacing w:line="360" w:lineRule="exact"/>
        <w:ind w:firstLine="283" w:firstLineChars="135"/>
        <w:jc w:val="left"/>
        <w:rPr>
          <w:rFonts w:ascii="宋体" w:hAnsi="宋体"/>
          <w:b/>
          <w:color w:val="auto"/>
          <w:szCs w:val="21"/>
          <w:highlight w:val="none"/>
        </w:rPr>
      </w:pPr>
      <w:r>
        <w:rPr>
          <w:rFonts w:hint="eastAsia" w:ascii="宋体" w:hAnsi="宋体"/>
          <w:color w:val="auto"/>
          <w:szCs w:val="21"/>
          <w:highlight w:val="none"/>
        </w:rPr>
        <w:t>（17）投标人情况介绍。（主要服务能力、规模、经营业绩等，格式自拟）</w:t>
      </w:r>
    </w:p>
    <w:p>
      <w:pPr>
        <w:snapToGrid w:val="0"/>
        <w:spacing w:beforeLines="50" w:after="50" w:line="360" w:lineRule="exact"/>
        <w:outlineLvl w:val="0"/>
        <w:rPr>
          <w:rFonts w:ascii="宋体" w:hAnsi="宋体"/>
          <w:b/>
          <w:color w:val="auto"/>
          <w:szCs w:val="21"/>
          <w:highlight w:val="none"/>
        </w:rPr>
      </w:pPr>
      <w:r>
        <w:rPr>
          <w:rFonts w:ascii="宋体" w:hAnsi="宋体"/>
          <w:b/>
          <w:color w:val="auto"/>
          <w:szCs w:val="21"/>
          <w:highlight w:val="none"/>
        </w:rPr>
        <w:br w:type="page"/>
      </w:r>
      <w:r>
        <w:rPr>
          <w:rFonts w:hint="eastAsia" w:ascii="宋体" w:hAnsi="宋体"/>
          <w:b/>
          <w:color w:val="auto"/>
          <w:szCs w:val="21"/>
          <w:highlight w:val="none"/>
        </w:rPr>
        <w:t>三）、技术文件部分（格式）</w:t>
      </w:r>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（1）对本项目服务要求的理解；</w:t>
      </w:r>
    </w:p>
    <w:p>
      <w:pPr>
        <w:snapToGrid w:val="0"/>
        <w:spacing w:line="44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（2）服务响应表；（必须提供）</w:t>
      </w:r>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（3）服务清单（均不含报价）；</w:t>
      </w:r>
    </w:p>
    <w:p>
      <w:pPr>
        <w:snapToGrid w:val="0"/>
        <w:spacing w:line="44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（4）</w:t>
      </w:r>
      <w:r>
        <w:rPr>
          <w:rFonts w:hint="eastAsia"/>
          <w:b/>
          <w:color w:val="auto"/>
          <w:szCs w:val="21"/>
          <w:highlight w:val="none"/>
        </w:rPr>
        <w:t>服务方案</w:t>
      </w:r>
      <w:r>
        <w:rPr>
          <w:b/>
          <w:color w:val="auto"/>
          <w:szCs w:val="21"/>
          <w:highlight w:val="none"/>
        </w:rPr>
        <w:t>(</w:t>
      </w:r>
      <w:r>
        <w:rPr>
          <w:rFonts w:hint="eastAsia"/>
          <w:b/>
          <w:color w:val="auto"/>
          <w:szCs w:val="21"/>
          <w:highlight w:val="none"/>
        </w:rPr>
        <w:t>含服务承诺</w:t>
      </w:r>
      <w:r>
        <w:rPr>
          <w:b/>
          <w:color w:val="auto"/>
          <w:szCs w:val="21"/>
          <w:highlight w:val="none"/>
        </w:rPr>
        <w:t>)</w:t>
      </w:r>
      <w:r>
        <w:rPr>
          <w:rFonts w:hint="eastAsia"/>
          <w:b/>
          <w:color w:val="auto"/>
          <w:szCs w:val="21"/>
          <w:highlight w:val="none"/>
        </w:rPr>
        <w:t>（应据项目实际要求描述，如：</w:t>
      </w:r>
      <w:r>
        <w:rPr>
          <w:rFonts w:hint="eastAsia" w:ascii="宋体" w:hAnsi="宋体"/>
          <w:b/>
          <w:color w:val="auto"/>
          <w:szCs w:val="21"/>
          <w:highlight w:val="none"/>
        </w:rPr>
        <w:t>投标人建议的技术服务、服务的内容和措施等）；（格式自拟，必须提供）</w:t>
      </w:r>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（5）投标人拥有主要服务设施的情况和现状（格式自拟）及项目实施人员一览表； </w:t>
      </w:r>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（6）优惠条件：投标人承诺给予招标人的各种优惠条件；</w:t>
      </w:r>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（7）投标人对本项目的合理化建议和改进措施；</w:t>
      </w:r>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（8）投标人需要说明的其他文件和说明（格式略）；</w:t>
      </w:r>
    </w:p>
    <w:p>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▲（9）招标项目采购需求中要求必须提供的材料。</w:t>
      </w:r>
    </w:p>
    <w:p>
      <w:pPr>
        <w:snapToGrid w:val="0"/>
        <w:spacing w:beforeLines="50" w:after="50" w:line="360" w:lineRule="exact"/>
        <w:outlineLvl w:val="0"/>
        <w:rPr>
          <w:rFonts w:ascii="宋体" w:hAnsi="宋体"/>
          <w:b/>
          <w:color w:val="auto"/>
          <w:szCs w:val="21"/>
          <w:highlight w:val="none"/>
        </w:rPr>
      </w:pPr>
      <w:r>
        <w:rPr>
          <w:rFonts w:hint="eastAsia" w:ascii="宋体" w:hAnsi="宋体"/>
          <w:b/>
          <w:color w:val="auto"/>
          <w:szCs w:val="21"/>
          <w:highlight w:val="none"/>
        </w:rPr>
        <w:t>四）报价文件部分 （格式）</w:t>
      </w:r>
    </w:p>
    <w:p>
      <w:pPr>
        <w:tabs>
          <w:tab w:val="left" w:pos="3870"/>
          <w:tab w:val="left" w:pos="4085"/>
        </w:tabs>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（1）投标函（格式见第六章）； </w:t>
      </w:r>
    </w:p>
    <w:p>
      <w:pPr>
        <w:tabs>
          <w:tab w:val="left" w:pos="3870"/>
          <w:tab w:val="left" w:pos="4085"/>
        </w:tabs>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（2）投标报价明细表（格式见第六章）；</w:t>
      </w:r>
    </w:p>
    <w:p>
      <w:pPr>
        <w:tabs>
          <w:tab w:val="left" w:pos="3870"/>
          <w:tab w:val="left" w:pos="4085"/>
        </w:tabs>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（3）投标人针对报价需要说明的其他文件和说明；（格式自拟）</w:t>
      </w:r>
    </w:p>
    <w:p>
      <w:pPr>
        <w:tabs>
          <w:tab w:val="left" w:pos="3870"/>
          <w:tab w:val="left" w:pos="4085"/>
        </w:tabs>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（4）开标一览表（单独封装递交，格式见第六章）。</w:t>
      </w:r>
    </w:p>
    <w:p>
      <w:pPr>
        <w:snapToGrid w:val="0"/>
        <w:spacing w:beforeLines="50" w:after="50" w:line="360" w:lineRule="exact"/>
        <w:outlineLvl w:val="0"/>
        <w:rPr>
          <w:rFonts w:ascii="宋体" w:hAnsi="宋体"/>
          <w:b/>
          <w:color w:val="auto"/>
          <w:szCs w:val="21"/>
          <w:highlight w:val="none"/>
        </w:rPr>
      </w:pPr>
    </w:p>
    <w:p>
      <w:pPr>
        <w:snapToGrid w:val="0"/>
        <w:spacing w:beforeLines="50" w:after="50" w:line="360" w:lineRule="exact"/>
        <w:outlineLvl w:val="0"/>
        <w:rPr>
          <w:rFonts w:ascii="宋体" w:hAnsi="宋体"/>
          <w:b/>
          <w:color w:val="auto"/>
          <w:szCs w:val="21"/>
          <w:highlight w:val="none"/>
        </w:rPr>
      </w:pPr>
    </w:p>
    <w:p>
      <w:pPr>
        <w:snapToGrid w:val="0"/>
        <w:spacing w:beforeLines="50" w:after="50" w:line="360" w:lineRule="exact"/>
        <w:outlineLvl w:val="0"/>
        <w:rPr>
          <w:rFonts w:ascii="宋体" w:hAnsi="宋体"/>
          <w:b/>
          <w:color w:val="auto"/>
          <w:szCs w:val="21"/>
          <w:highlight w:val="none"/>
        </w:rPr>
      </w:pPr>
    </w:p>
    <w:p>
      <w:pPr>
        <w:snapToGrid w:val="0"/>
        <w:spacing w:beforeLines="50" w:after="50" w:line="360" w:lineRule="exact"/>
        <w:outlineLvl w:val="0"/>
        <w:rPr>
          <w:rFonts w:ascii="宋体" w:hAnsi="宋体"/>
          <w:b/>
          <w:color w:val="auto"/>
          <w:szCs w:val="21"/>
          <w:highlight w:val="none"/>
        </w:rPr>
      </w:pPr>
    </w:p>
    <w:p>
      <w:pPr>
        <w:snapToGrid w:val="0"/>
        <w:spacing w:beforeLines="50" w:after="50" w:line="360" w:lineRule="exact"/>
        <w:outlineLvl w:val="0"/>
        <w:rPr>
          <w:rFonts w:ascii="宋体" w:hAnsi="宋体"/>
          <w:b/>
          <w:color w:val="auto"/>
          <w:szCs w:val="21"/>
          <w:highlight w:val="none"/>
        </w:rPr>
      </w:pPr>
    </w:p>
    <w:p>
      <w:pPr>
        <w:snapToGrid w:val="0"/>
        <w:spacing w:beforeLines="50" w:after="50" w:line="360" w:lineRule="exact"/>
        <w:outlineLvl w:val="0"/>
        <w:rPr>
          <w:rFonts w:ascii="宋体" w:hAnsi="宋体"/>
          <w:b/>
          <w:color w:val="auto"/>
          <w:szCs w:val="21"/>
          <w:highlight w:val="none"/>
        </w:rPr>
      </w:pPr>
    </w:p>
    <w:p>
      <w:pPr>
        <w:snapToGrid w:val="0"/>
        <w:spacing w:beforeLines="50" w:after="50" w:line="360" w:lineRule="exact"/>
        <w:outlineLvl w:val="0"/>
        <w:rPr>
          <w:rFonts w:ascii="宋体" w:hAnsi="宋体"/>
          <w:b/>
          <w:color w:val="auto"/>
          <w:szCs w:val="21"/>
          <w:highlight w:val="none"/>
        </w:rPr>
      </w:pPr>
    </w:p>
    <w:p>
      <w:pPr>
        <w:snapToGrid w:val="0"/>
        <w:spacing w:beforeLines="50" w:after="50" w:line="360" w:lineRule="exact"/>
        <w:outlineLvl w:val="0"/>
        <w:rPr>
          <w:rFonts w:ascii="宋体" w:hAnsi="宋体"/>
          <w:b/>
          <w:color w:val="auto"/>
          <w:szCs w:val="21"/>
          <w:highlight w:val="none"/>
        </w:rPr>
      </w:pPr>
    </w:p>
    <w:p>
      <w:pPr>
        <w:snapToGrid w:val="0"/>
        <w:spacing w:beforeLines="50" w:after="50" w:line="360" w:lineRule="exact"/>
        <w:outlineLvl w:val="0"/>
        <w:rPr>
          <w:rFonts w:ascii="宋体" w:hAnsi="宋体"/>
          <w:b/>
          <w:color w:val="auto"/>
          <w:szCs w:val="21"/>
          <w:highlight w:val="none"/>
        </w:rPr>
      </w:pPr>
    </w:p>
    <w:p>
      <w:pPr>
        <w:snapToGrid w:val="0"/>
        <w:spacing w:beforeLines="50" w:after="50" w:line="360" w:lineRule="exact"/>
        <w:outlineLvl w:val="0"/>
        <w:rPr>
          <w:rFonts w:ascii="宋体" w:hAnsi="宋体"/>
          <w:b/>
          <w:color w:val="auto"/>
          <w:szCs w:val="21"/>
          <w:highlight w:val="none"/>
        </w:rPr>
      </w:pPr>
    </w:p>
    <w:p>
      <w:pPr>
        <w:snapToGrid w:val="0"/>
        <w:spacing w:beforeLines="50" w:after="50" w:line="360" w:lineRule="exact"/>
        <w:outlineLvl w:val="0"/>
        <w:rPr>
          <w:rFonts w:ascii="宋体" w:hAnsi="宋体"/>
          <w:b/>
          <w:color w:val="auto"/>
          <w:szCs w:val="21"/>
          <w:highlight w:val="none"/>
        </w:rPr>
      </w:pPr>
    </w:p>
    <w:p>
      <w:pPr>
        <w:snapToGrid w:val="0"/>
        <w:spacing w:beforeLines="50" w:after="50" w:line="360" w:lineRule="exact"/>
        <w:outlineLvl w:val="0"/>
        <w:rPr>
          <w:rFonts w:ascii="宋体" w:hAnsi="宋体"/>
          <w:b/>
          <w:color w:val="auto"/>
          <w:szCs w:val="21"/>
          <w:highlight w:val="none"/>
        </w:rPr>
      </w:pPr>
    </w:p>
    <w:p>
      <w:pPr>
        <w:snapToGrid w:val="0"/>
        <w:spacing w:beforeLines="50" w:after="50" w:line="360" w:lineRule="exact"/>
        <w:outlineLvl w:val="0"/>
        <w:rPr>
          <w:rFonts w:ascii="宋体" w:hAnsi="宋体"/>
          <w:b/>
          <w:color w:val="auto"/>
          <w:szCs w:val="21"/>
          <w:highlight w:val="none"/>
        </w:rPr>
      </w:pPr>
    </w:p>
    <w:p>
      <w:pPr>
        <w:snapToGrid w:val="0"/>
        <w:spacing w:beforeLines="50" w:after="50" w:line="360" w:lineRule="exact"/>
        <w:rPr>
          <w:rFonts w:ascii="宋体" w:hAnsi="宋体"/>
          <w:b/>
          <w:color w:val="auto"/>
          <w:szCs w:val="21"/>
          <w:highlight w:val="none"/>
        </w:rPr>
      </w:pPr>
      <w:r>
        <w:rPr>
          <w:rFonts w:hint="eastAsia" w:ascii="宋体" w:hAnsi="宋体"/>
          <w:b/>
          <w:color w:val="auto"/>
          <w:szCs w:val="21"/>
          <w:highlight w:val="none"/>
        </w:rPr>
        <w:t>（1）投标函格式：</w:t>
      </w:r>
    </w:p>
    <w:p>
      <w:pPr>
        <w:snapToGrid w:val="0"/>
        <w:spacing w:beforeLines="50" w:after="50" w:line="360" w:lineRule="exact"/>
        <w:jc w:val="center"/>
        <w:rPr>
          <w:rFonts w:ascii="宋体" w:hAnsi="宋体"/>
          <w:b/>
          <w:color w:val="auto"/>
          <w:szCs w:val="21"/>
          <w:highlight w:val="none"/>
        </w:rPr>
      </w:pPr>
      <w:r>
        <w:rPr>
          <w:rFonts w:hint="eastAsia" w:ascii="宋体" w:hAnsi="宋体"/>
          <w:b/>
          <w:color w:val="auto"/>
          <w:szCs w:val="21"/>
          <w:highlight w:val="none"/>
        </w:rPr>
        <w:t>投 标 函</w:t>
      </w:r>
    </w:p>
    <w:p>
      <w:pPr>
        <w:snapToGrid w:val="0"/>
        <w:spacing w:line="360" w:lineRule="exact"/>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highlight w:val="none"/>
          <w:u w:val="single"/>
        </w:rPr>
        <w:t>广西国栋招标有限公司</w:t>
      </w:r>
      <w:r>
        <w:rPr>
          <w:rFonts w:hint="eastAsia" w:ascii="宋体" w:hAnsi="宋体"/>
          <w:color w:val="auto"/>
          <w:szCs w:val="21"/>
          <w:highlight w:val="none"/>
        </w:rPr>
        <w:t>：</w:t>
      </w:r>
    </w:p>
    <w:p>
      <w:pPr>
        <w:snapToGrid w:val="0"/>
        <w:spacing w:line="360" w:lineRule="exact"/>
        <w:ind w:firstLine="480"/>
        <w:rPr>
          <w:rFonts w:ascii="宋体" w:hAnsi="宋体"/>
          <w:color w:val="auto"/>
          <w:szCs w:val="21"/>
          <w:highlight w:val="none"/>
        </w:rPr>
      </w:pPr>
      <w:r>
        <w:rPr>
          <w:rFonts w:hint="eastAsia" w:ascii="宋体" w:hAnsi="宋体"/>
          <w:color w:val="auto"/>
          <w:szCs w:val="21"/>
          <w:highlight w:val="none"/>
        </w:rPr>
        <w:t>根据贵方为</w:t>
      </w:r>
      <w:r>
        <w:rPr>
          <w:rFonts w:hint="eastAsia" w:ascii="宋体" w:hAnsi="宋体"/>
          <w:color w:val="auto"/>
          <w:szCs w:val="21"/>
          <w:highlight w:val="none"/>
          <w:u w:val="single"/>
        </w:rPr>
        <w:t xml:space="preserve">                             </w:t>
      </w:r>
      <w:r>
        <w:rPr>
          <w:rFonts w:hint="eastAsia" w:ascii="宋体" w:hAnsi="宋体"/>
          <w:color w:val="auto"/>
          <w:szCs w:val="21"/>
          <w:highlight w:val="none"/>
        </w:rPr>
        <w:t>项目的招标公告（项目编号：____</w:t>
      </w:r>
      <w:r>
        <w:rPr>
          <w:rFonts w:hint="eastAsia" w:ascii="宋体" w:hAnsi="宋体"/>
          <w:color w:val="auto"/>
          <w:szCs w:val="21"/>
          <w:highlight w:val="none"/>
          <w:u w:val="single"/>
        </w:rPr>
        <w:t>_     _</w:t>
      </w:r>
      <w:r>
        <w:rPr>
          <w:rFonts w:hint="eastAsia" w:ascii="宋体" w:hAnsi="宋体"/>
          <w:color w:val="auto"/>
          <w:szCs w:val="21"/>
          <w:highlight w:val="none"/>
        </w:rPr>
        <w:t>_），签字代表______</w:t>
      </w:r>
      <w:r>
        <w:rPr>
          <w:rFonts w:hint="eastAsia" w:ascii="宋体" w:hAnsi="宋体"/>
          <w:color w:val="auto"/>
          <w:szCs w:val="21"/>
          <w:highlight w:val="none"/>
          <w:u w:val="single"/>
        </w:rPr>
        <w:t xml:space="preserve">_     </w:t>
      </w:r>
      <w:r>
        <w:rPr>
          <w:rFonts w:hint="eastAsia" w:ascii="宋体" w:hAnsi="宋体"/>
          <w:color w:val="auto"/>
          <w:szCs w:val="21"/>
          <w:highlight w:val="none"/>
        </w:rPr>
        <w:t>（全名）经正式授权并代表投标人_____</w:t>
      </w:r>
      <w:r>
        <w:rPr>
          <w:rFonts w:hint="eastAsia" w:ascii="宋体" w:hAnsi="宋体"/>
          <w:color w:val="auto"/>
          <w:szCs w:val="21"/>
          <w:highlight w:val="none"/>
          <w:u w:val="single"/>
        </w:rPr>
        <w:t>__                    __</w:t>
      </w:r>
      <w:r>
        <w:rPr>
          <w:rFonts w:hint="eastAsia" w:ascii="宋体" w:hAnsi="宋体"/>
          <w:color w:val="auto"/>
          <w:szCs w:val="21"/>
          <w:highlight w:val="none"/>
        </w:rPr>
        <w:t>（投标人名称）提交投标文件(</w:t>
      </w:r>
      <w:r>
        <w:rPr>
          <w:rFonts w:hint="eastAsia" w:ascii="宋体"/>
          <w:color w:val="auto"/>
          <w:szCs w:val="21"/>
          <w:highlight w:val="none"/>
        </w:rPr>
        <w:t>其中</w:t>
      </w:r>
      <w:r>
        <w:rPr>
          <w:rFonts w:hint="eastAsia" w:ascii="宋体"/>
          <w:b/>
          <w:color w:val="auto"/>
          <w:szCs w:val="21"/>
          <w:highlight w:val="none"/>
        </w:rPr>
        <w:t>资格文件</w:t>
      </w:r>
      <w:r>
        <w:rPr>
          <w:rFonts w:hint="eastAsia" w:ascii="宋体"/>
          <w:color w:val="auto"/>
          <w:szCs w:val="21"/>
          <w:highlight w:val="none"/>
        </w:rPr>
        <w:t>正本</w:t>
      </w:r>
      <w:r>
        <w:rPr>
          <w:rFonts w:hint="eastAsia" w:ascii="宋体"/>
          <w:b/>
          <w:color w:val="auto"/>
          <w:szCs w:val="21"/>
          <w:highlight w:val="none"/>
        </w:rPr>
        <w:t>一份，</w:t>
      </w:r>
      <w:r>
        <w:rPr>
          <w:rFonts w:hint="eastAsia" w:ascii="宋体"/>
          <w:color w:val="auto"/>
          <w:szCs w:val="21"/>
          <w:highlight w:val="none"/>
        </w:rPr>
        <w:t>副本</w:t>
      </w:r>
      <w:r>
        <w:rPr>
          <w:rFonts w:hint="eastAsia" w:ascii="宋体"/>
          <w:b/>
          <w:color w:val="auto"/>
          <w:szCs w:val="21"/>
          <w:highlight w:val="none"/>
        </w:rPr>
        <w:t>二</w:t>
      </w:r>
      <w:r>
        <w:rPr>
          <w:rFonts w:hint="eastAsia" w:ascii="宋体"/>
          <w:color w:val="auto"/>
          <w:szCs w:val="21"/>
          <w:highlight w:val="none"/>
        </w:rPr>
        <w:t>份；</w:t>
      </w:r>
      <w:r>
        <w:rPr>
          <w:rFonts w:hint="eastAsia" w:ascii="宋体"/>
          <w:b/>
          <w:color w:val="auto"/>
          <w:szCs w:val="21"/>
          <w:highlight w:val="none"/>
        </w:rPr>
        <w:t>资信及商务文件、技术文件、投标报价文件</w:t>
      </w:r>
      <w:r>
        <w:rPr>
          <w:rFonts w:hint="eastAsia" w:ascii="宋体"/>
          <w:color w:val="auto"/>
          <w:szCs w:val="21"/>
          <w:highlight w:val="none"/>
        </w:rPr>
        <w:t>正本</w:t>
      </w:r>
      <w:r>
        <w:rPr>
          <w:rFonts w:hint="eastAsia" w:ascii="宋体"/>
          <w:b/>
          <w:color w:val="auto"/>
          <w:szCs w:val="21"/>
          <w:highlight w:val="none"/>
        </w:rPr>
        <w:t>一份，</w:t>
      </w:r>
      <w:r>
        <w:rPr>
          <w:rFonts w:hint="eastAsia" w:ascii="宋体"/>
          <w:color w:val="auto"/>
          <w:szCs w:val="21"/>
          <w:highlight w:val="none"/>
        </w:rPr>
        <w:t>副本</w:t>
      </w:r>
      <w:r>
        <w:rPr>
          <w:rFonts w:hint="eastAsia" w:ascii="宋体"/>
          <w:b/>
          <w:color w:val="auto"/>
          <w:szCs w:val="21"/>
          <w:highlight w:val="none"/>
        </w:rPr>
        <w:t>四</w:t>
      </w:r>
      <w:r>
        <w:rPr>
          <w:rFonts w:hint="eastAsia" w:ascii="宋体"/>
          <w:color w:val="auto"/>
          <w:szCs w:val="21"/>
          <w:highlight w:val="none"/>
        </w:rPr>
        <w:t>份；开标一览表一份)；</w:t>
      </w:r>
      <w:r>
        <w:rPr>
          <w:rFonts w:hint="eastAsia" w:ascii="宋体" w:hAnsi="宋体"/>
          <w:color w:val="auto"/>
          <w:szCs w:val="21"/>
          <w:highlight w:val="none"/>
        </w:rPr>
        <w:t>并附投标文件电子版光盘1份</w:t>
      </w:r>
      <w:r>
        <w:rPr>
          <w:rFonts w:hint="eastAsia" w:ascii="宋体" w:hAnsi="宋体"/>
          <w:b/>
          <w:color w:val="auto"/>
          <w:szCs w:val="21"/>
          <w:highlight w:val="none"/>
          <w:u w:val="single"/>
        </w:rPr>
        <w:t>(光盘封面请注明项目名称、项目编号及投标人名称)</w:t>
      </w:r>
      <w:r>
        <w:rPr>
          <w:rFonts w:hint="eastAsia" w:ascii="宋体" w:hAnsi="宋体"/>
          <w:color w:val="auto"/>
          <w:szCs w:val="21"/>
          <w:highlight w:val="none"/>
        </w:rPr>
        <w:t>。</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据此函，签字代表宣布同意如下：</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2.投标人在投标之前已经与贵方进行了充分的沟通，完全理解并接受招标文件的各项规定和要求，对招标文件的合理性、合法性不再有异议。</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3.本投标有效期自开标日起 ______个</w:t>
      </w:r>
      <w:r>
        <w:rPr>
          <w:rFonts w:hint="eastAsia" w:ascii="宋体" w:hAnsi="宋体"/>
          <w:color w:val="auto"/>
          <w:szCs w:val="21"/>
          <w:highlight w:val="none"/>
          <w:u w:val="single"/>
        </w:rPr>
        <w:t xml:space="preserve">     </w:t>
      </w:r>
      <w:r>
        <w:rPr>
          <w:rFonts w:hint="eastAsia" w:ascii="宋体" w:hAnsi="宋体"/>
          <w:color w:val="auto"/>
          <w:szCs w:val="21"/>
          <w:highlight w:val="none"/>
        </w:rPr>
        <w:t>日（自然日）。</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4.如中标，本投标文件至本项目合同履行完毕止均保持有效，本投标人将按“招标文件”及政府采购法律、法规的规定履行合同责任和义务。</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5.投标人同意按照贵方要求提供与投标有关的一切数据或资料。</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6.与本投标有关的一切正式往来信函请寄：</w:t>
      </w:r>
    </w:p>
    <w:p>
      <w:pPr>
        <w:snapToGrid w:val="0"/>
        <w:spacing w:line="360" w:lineRule="exact"/>
        <w:rPr>
          <w:rFonts w:ascii="宋体" w:hAnsi="宋体"/>
          <w:color w:val="auto"/>
          <w:szCs w:val="21"/>
          <w:highlight w:val="none"/>
        </w:rPr>
      </w:pPr>
      <w:r>
        <w:rPr>
          <w:rFonts w:hint="eastAsia" w:ascii="宋体" w:hAnsi="宋体"/>
          <w:color w:val="auto"/>
          <w:szCs w:val="21"/>
          <w:highlight w:val="none"/>
        </w:rPr>
        <w:t>地址：__________</w:t>
      </w:r>
      <w:r>
        <w:rPr>
          <w:rFonts w:hint="eastAsia" w:ascii="宋体" w:hAnsi="宋体"/>
          <w:color w:val="auto"/>
          <w:szCs w:val="21"/>
          <w:highlight w:val="none"/>
          <w:u w:val="single"/>
        </w:rPr>
        <w:t xml:space="preserve">        _</w:t>
      </w:r>
      <w:r>
        <w:rPr>
          <w:rFonts w:hint="eastAsia" w:ascii="宋体" w:hAnsi="宋体"/>
          <w:color w:val="auto"/>
          <w:szCs w:val="21"/>
          <w:highlight w:val="none"/>
        </w:rPr>
        <w:t>____邮编：__________   电话：______________</w:t>
      </w:r>
    </w:p>
    <w:p>
      <w:pPr>
        <w:snapToGrid w:val="0"/>
        <w:spacing w:line="360" w:lineRule="exact"/>
        <w:rPr>
          <w:rFonts w:ascii="宋体" w:hAnsi="宋体"/>
          <w:color w:val="auto"/>
          <w:szCs w:val="21"/>
          <w:highlight w:val="none"/>
        </w:rPr>
      </w:pPr>
      <w:r>
        <w:rPr>
          <w:rFonts w:hint="eastAsia" w:ascii="宋体" w:hAnsi="宋体"/>
          <w:color w:val="auto"/>
          <w:szCs w:val="21"/>
          <w:highlight w:val="none"/>
        </w:rPr>
        <w:t>传真：______________投标人代表姓名 ___________  职务：______</w:t>
      </w:r>
      <w:r>
        <w:rPr>
          <w:rFonts w:hint="eastAsia" w:ascii="宋体" w:hAnsi="宋体"/>
          <w:color w:val="auto"/>
          <w:szCs w:val="21"/>
          <w:highlight w:val="none"/>
          <w:u w:val="single"/>
        </w:rPr>
        <w:t xml:space="preserve"> </w:t>
      </w:r>
      <w:r>
        <w:rPr>
          <w:rFonts w:hint="eastAsia" w:ascii="宋体" w:hAnsi="宋体"/>
          <w:color w:val="auto"/>
          <w:szCs w:val="21"/>
          <w:highlight w:val="none"/>
        </w:rPr>
        <w:t>_______</w:t>
      </w:r>
    </w:p>
    <w:p>
      <w:pPr>
        <w:snapToGrid w:val="0"/>
        <w:spacing w:line="360" w:lineRule="exact"/>
        <w:rPr>
          <w:rFonts w:ascii="宋体" w:hAnsi="宋体"/>
          <w:color w:val="auto"/>
          <w:szCs w:val="21"/>
          <w:highlight w:val="none"/>
        </w:rPr>
      </w:pPr>
      <w:r>
        <w:rPr>
          <w:rFonts w:hint="eastAsia" w:ascii="宋体" w:hAnsi="宋体"/>
          <w:color w:val="auto"/>
          <w:szCs w:val="21"/>
          <w:highlight w:val="none"/>
        </w:rPr>
        <w:t>投标人名称(公章):___________________</w:t>
      </w:r>
    </w:p>
    <w:p>
      <w:pPr>
        <w:snapToGrid w:val="0"/>
        <w:spacing w:line="360" w:lineRule="exact"/>
        <w:rPr>
          <w:rFonts w:ascii="宋体" w:hAnsi="宋体"/>
          <w:color w:val="auto"/>
          <w:szCs w:val="21"/>
          <w:highlight w:val="none"/>
        </w:rPr>
      </w:pP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银行帐号：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napToGrid w:val="0"/>
        <w:spacing w:line="360" w:lineRule="exact"/>
        <w:rPr>
          <w:rFonts w:ascii="宋体" w:hAnsi="宋体"/>
          <w:color w:val="auto"/>
          <w:szCs w:val="21"/>
          <w:highlight w:val="none"/>
        </w:rPr>
      </w:pPr>
      <w:r>
        <w:rPr>
          <w:rFonts w:hint="eastAsia" w:ascii="宋体" w:hAnsi="宋体"/>
          <w:color w:val="auto"/>
          <w:szCs w:val="21"/>
          <w:highlight w:val="none"/>
        </w:rPr>
        <w:t>法定代表人或委托代理人签字:___________                 日期:_____年___月___日</w:t>
      </w:r>
    </w:p>
    <w:p>
      <w:pPr>
        <w:pStyle w:val="26"/>
        <w:snapToGrid w:val="0"/>
        <w:spacing w:before="295" w:after="295" w:line="360" w:lineRule="exact"/>
        <w:ind w:firstLine="5670" w:firstLineChars="2700"/>
        <w:rPr>
          <w:rFonts w:hAnsi="宋体"/>
          <w:color w:val="auto"/>
          <w:highlight w:val="none"/>
        </w:rPr>
      </w:pPr>
      <w:r>
        <w:rPr>
          <w:rFonts w:hint="eastAsia" w:hAnsi="宋体"/>
          <w:color w:val="auto"/>
          <w:highlight w:val="none"/>
        </w:rPr>
        <w:t>(公章)</w:t>
      </w:r>
    </w:p>
    <w:p>
      <w:pPr>
        <w:pStyle w:val="26"/>
        <w:snapToGrid w:val="0"/>
        <w:spacing w:before="295" w:after="295" w:line="360" w:lineRule="exact"/>
        <w:ind w:firstLine="5565" w:firstLineChars="2650"/>
        <w:rPr>
          <w:rFonts w:hAnsi="宋体"/>
          <w:color w:val="auto"/>
          <w:highlight w:val="none"/>
        </w:rPr>
      </w:pPr>
      <w:r>
        <w:rPr>
          <w:rFonts w:hint="eastAsia" w:hAnsi="宋体"/>
          <w:color w:val="auto"/>
          <w:highlight w:val="none"/>
        </w:rPr>
        <w:t>年</w:t>
      </w:r>
      <w:r>
        <w:rPr>
          <w:rFonts w:hAnsi="宋体"/>
          <w:color w:val="auto"/>
          <w:highlight w:val="none"/>
        </w:rPr>
        <w:t>___</w:t>
      </w:r>
      <w:r>
        <w:rPr>
          <w:rFonts w:hint="eastAsia" w:hAnsi="宋体"/>
          <w:color w:val="auto"/>
          <w:highlight w:val="none"/>
        </w:rPr>
        <w:t>月</w:t>
      </w:r>
      <w:r>
        <w:rPr>
          <w:rFonts w:hAnsi="宋体"/>
          <w:color w:val="auto"/>
          <w:highlight w:val="none"/>
        </w:rPr>
        <w:t>___</w:t>
      </w:r>
      <w:r>
        <w:rPr>
          <w:rFonts w:hint="eastAsia" w:hAnsi="宋体"/>
          <w:color w:val="auto"/>
          <w:highlight w:val="none"/>
        </w:rPr>
        <w:t>日</w:t>
      </w:r>
    </w:p>
    <w:p>
      <w:pPr>
        <w:snapToGrid w:val="0"/>
        <w:spacing w:beforeLines="50" w:after="50" w:line="360" w:lineRule="exact"/>
        <w:rPr>
          <w:rFonts w:ascii="宋体" w:hAnsi="宋体"/>
          <w:b/>
          <w:color w:val="auto"/>
          <w:szCs w:val="21"/>
          <w:highlight w:val="none"/>
        </w:rPr>
      </w:pPr>
    </w:p>
    <w:p>
      <w:pPr>
        <w:snapToGrid w:val="0"/>
        <w:spacing w:beforeLines="50" w:after="50" w:line="360" w:lineRule="exact"/>
        <w:rPr>
          <w:rFonts w:ascii="宋体" w:hAnsi="宋体"/>
          <w:b/>
          <w:color w:val="auto"/>
          <w:szCs w:val="21"/>
          <w:highlight w:val="none"/>
        </w:rPr>
      </w:pPr>
    </w:p>
    <w:p>
      <w:pPr>
        <w:snapToGrid w:val="0"/>
        <w:spacing w:beforeLines="50" w:after="50" w:line="360" w:lineRule="exact"/>
        <w:rPr>
          <w:rFonts w:ascii="宋体" w:hAnsi="宋体"/>
          <w:b/>
          <w:color w:val="auto"/>
          <w:szCs w:val="21"/>
          <w:highlight w:val="none"/>
        </w:rPr>
      </w:pPr>
    </w:p>
    <w:p>
      <w:pPr>
        <w:snapToGrid w:val="0"/>
        <w:spacing w:beforeLines="50" w:after="50" w:line="360" w:lineRule="exact"/>
        <w:rPr>
          <w:rFonts w:ascii="宋体" w:hAnsi="宋体"/>
          <w:b/>
          <w:color w:val="auto"/>
          <w:szCs w:val="21"/>
          <w:highlight w:val="none"/>
        </w:rPr>
      </w:pPr>
    </w:p>
    <w:p>
      <w:pPr>
        <w:snapToGrid w:val="0"/>
        <w:spacing w:beforeLines="50" w:after="50" w:line="360" w:lineRule="exact"/>
        <w:rPr>
          <w:rFonts w:ascii="宋体" w:hAnsi="宋体"/>
          <w:b/>
          <w:color w:val="auto"/>
          <w:szCs w:val="21"/>
          <w:highlight w:val="none"/>
        </w:rPr>
      </w:pPr>
    </w:p>
    <w:p>
      <w:pPr>
        <w:snapToGrid w:val="0"/>
        <w:spacing w:beforeLines="50" w:after="50" w:line="360" w:lineRule="exact"/>
        <w:rPr>
          <w:rFonts w:ascii="宋体" w:hAnsi="宋体"/>
          <w:b/>
          <w:color w:val="auto"/>
          <w:szCs w:val="21"/>
          <w:highlight w:val="none"/>
        </w:rPr>
      </w:pPr>
    </w:p>
    <w:p>
      <w:pPr>
        <w:snapToGrid w:val="0"/>
        <w:spacing w:beforeLines="50" w:after="50" w:line="360" w:lineRule="exact"/>
        <w:rPr>
          <w:rFonts w:ascii="宋体" w:hAnsi="宋体"/>
          <w:b/>
          <w:color w:val="auto"/>
          <w:szCs w:val="21"/>
          <w:highlight w:val="none"/>
        </w:rPr>
      </w:pPr>
    </w:p>
    <w:p>
      <w:pPr>
        <w:snapToGrid w:val="0"/>
        <w:spacing w:beforeLines="50" w:after="50" w:line="360" w:lineRule="exact"/>
        <w:rPr>
          <w:rFonts w:ascii="宋体" w:hAnsi="宋体"/>
          <w:b/>
          <w:color w:val="auto"/>
          <w:szCs w:val="21"/>
          <w:highlight w:val="none"/>
        </w:rPr>
      </w:pPr>
      <w:r>
        <w:rPr>
          <w:rFonts w:ascii="宋体" w:hAnsi="宋体"/>
          <w:b/>
          <w:color w:val="auto"/>
          <w:szCs w:val="21"/>
          <w:highlight w:val="none"/>
        </w:rPr>
        <w:br w:type="page"/>
      </w:r>
    </w:p>
    <w:p>
      <w:pPr>
        <w:snapToGrid w:val="0"/>
        <w:spacing w:beforeLines="50" w:after="50" w:line="360" w:lineRule="exact"/>
        <w:rPr>
          <w:rFonts w:ascii="宋体" w:hAnsi="宋体"/>
          <w:b/>
          <w:color w:val="auto"/>
          <w:szCs w:val="21"/>
          <w:highlight w:val="none"/>
        </w:rPr>
      </w:pPr>
      <w:r>
        <w:rPr>
          <w:rFonts w:hint="eastAsia" w:ascii="宋体" w:hAnsi="宋体"/>
          <w:b/>
          <w:color w:val="auto"/>
          <w:szCs w:val="21"/>
          <w:highlight w:val="none"/>
        </w:rPr>
        <w:t xml:space="preserve"> （2）投标报价明细表格式</w:t>
      </w:r>
    </w:p>
    <w:p>
      <w:pPr>
        <w:pStyle w:val="26"/>
        <w:snapToGrid w:val="0"/>
        <w:spacing w:before="295" w:after="295" w:line="360" w:lineRule="exact"/>
        <w:rPr>
          <w:rFonts w:hAnsi="宋体"/>
          <w:color w:val="auto"/>
          <w:highlight w:val="none"/>
        </w:rPr>
      </w:pPr>
      <w:r>
        <w:rPr>
          <w:rFonts w:hint="eastAsia" w:hAnsi="宋体"/>
          <w:color w:val="auto"/>
          <w:highlight w:val="none"/>
        </w:rPr>
        <w:t xml:space="preserve">                                                              金额单位：人民币（元）</w:t>
      </w: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40"/>
        <w:gridCol w:w="2584"/>
        <w:gridCol w:w="2981"/>
        <w:gridCol w:w="36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color w:val="auto"/>
                <w:sz w:val="24"/>
                <w:highlight w:val="none"/>
              </w:rPr>
            </w:pPr>
            <w:r>
              <w:rPr>
                <w:rFonts w:hint="eastAsia" w:ascii="宋体" w:hAnsi="宋体"/>
                <w:color w:val="auto"/>
                <w:sz w:val="24"/>
                <w:highlight w:val="none"/>
              </w:rPr>
              <w:t>序号</w:t>
            </w:r>
          </w:p>
        </w:tc>
        <w:tc>
          <w:tcPr>
            <w:tcW w:w="259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color w:val="auto"/>
                <w:sz w:val="24"/>
                <w:highlight w:val="none"/>
              </w:rPr>
            </w:pPr>
            <w:r>
              <w:rPr>
                <w:rFonts w:hint="eastAsia" w:hAnsi="宋体"/>
                <w:color w:val="auto"/>
                <w:szCs w:val="21"/>
                <w:highlight w:val="none"/>
              </w:rPr>
              <w:t>中药颗粒剂配方品种</w:t>
            </w:r>
          </w:p>
        </w:tc>
        <w:tc>
          <w:tcPr>
            <w:tcW w:w="300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color w:val="auto"/>
                <w:sz w:val="24"/>
                <w:highlight w:val="none"/>
              </w:rPr>
            </w:pPr>
            <w:r>
              <w:rPr>
                <w:rFonts w:hint="eastAsia" w:hAnsi="宋体"/>
                <w:color w:val="auto"/>
                <w:szCs w:val="21"/>
                <w:highlight w:val="none"/>
              </w:rPr>
              <w:t>投标价</w:t>
            </w:r>
          </w:p>
        </w:tc>
        <w:tc>
          <w:tcPr>
            <w:tcW w:w="371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color w:val="auto"/>
                <w:sz w:val="24"/>
                <w:highlight w:val="none"/>
              </w:rPr>
            </w:pPr>
            <w:r>
              <w:rPr>
                <w:rFonts w:hint="eastAsia"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81" w:type="dxa"/>
            <w:gridSpan w:val="4"/>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ind w:firstLine="2730" w:firstLineChars="1300"/>
              <w:rPr>
                <w:rFonts w:ascii="宋体" w:hAnsi="宋体"/>
                <w:color w:val="auto"/>
                <w:sz w:val="24"/>
                <w:highlight w:val="none"/>
              </w:rPr>
            </w:pPr>
            <w:r>
              <w:rPr>
                <w:rFonts w:hint="eastAsia" w:hAnsi="宋体"/>
                <w:color w:val="auto"/>
                <w:szCs w:val="21"/>
                <w:highlight w:val="none"/>
              </w:rPr>
              <w:t>附件一：常用100种中药配方颗粒目录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r>
              <w:rPr>
                <w:rFonts w:hint="eastAsia" w:ascii="宋体" w:hAnsi="宋体"/>
                <w:color w:val="auto"/>
                <w:spacing w:val="20"/>
                <w:sz w:val="24"/>
                <w:szCs w:val="20"/>
                <w:highlight w:val="none"/>
              </w:rPr>
              <w:t>1</w:t>
            </w:r>
          </w:p>
        </w:tc>
        <w:tc>
          <w:tcPr>
            <w:tcW w:w="25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300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3715" w:type="dxa"/>
            <w:vMerge w:val="restart"/>
            <w:tcBorders>
              <w:top w:val="single" w:color="auto" w:sz="4" w:space="0"/>
              <w:left w:val="single" w:color="auto" w:sz="4" w:space="0"/>
              <w:right w:val="single" w:color="auto" w:sz="4" w:space="0"/>
            </w:tcBorders>
            <w:vAlign w:val="center"/>
          </w:tcPr>
          <w:p>
            <w:pPr>
              <w:tabs>
                <w:tab w:val="left" w:pos="1418"/>
              </w:tabs>
              <w:snapToGrid w:val="0"/>
              <w:spacing w:before="50" w:after="50"/>
              <w:jc w:val="center"/>
              <w:rPr>
                <w:rFonts w:ascii="宋体" w:hAnsi="宋体"/>
                <w:color w:val="auto"/>
                <w:spacing w:val="20"/>
                <w:sz w:val="18"/>
                <w:szCs w:val="18"/>
                <w:highlight w:val="none"/>
              </w:rPr>
            </w:pPr>
            <w:r>
              <w:rPr>
                <w:rFonts w:hint="eastAsia" w:ascii="宋体" w:hAnsi="宋体"/>
                <w:color w:val="auto"/>
                <w:spacing w:val="20"/>
                <w:sz w:val="18"/>
                <w:szCs w:val="18"/>
                <w:highlight w:val="none"/>
              </w:rPr>
              <w:t>统一按折合每克饮片报价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r>
              <w:rPr>
                <w:rFonts w:hint="eastAsia" w:ascii="宋体" w:hAnsi="宋体"/>
                <w:color w:val="auto"/>
                <w:spacing w:val="20"/>
                <w:sz w:val="24"/>
                <w:szCs w:val="20"/>
                <w:highlight w:val="none"/>
              </w:rPr>
              <w:t>2</w:t>
            </w:r>
          </w:p>
        </w:tc>
        <w:tc>
          <w:tcPr>
            <w:tcW w:w="25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300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3715" w:type="dxa"/>
            <w:vMerge w:val="continue"/>
            <w:tcBorders>
              <w:left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0" w:type="auto"/>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r>
              <w:rPr>
                <w:rFonts w:hint="eastAsia" w:ascii="宋体" w:hAnsi="宋体"/>
                <w:color w:val="auto"/>
                <w:spacing w:val="20"/>
                <w:highlight w:val="none"/>
              </w:rPr>
              <w:t>…</w:t>
            </w:r>
          </w:p>
        </w:tc>
        <w:tc>
          <w:tcPr>
            <w:tcW w:w="25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0"/>
                <w:highlight w:val="none"/>
              </w:rPr>
            </w:pPr>
          </w:p>
        </w:tc>
        <w:tc>
          <w:tcPr>
            <w:tcW w:w="300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3715" w:type="dxa"/>
            <w:vMerge w:val="continue"/>
            <w:tcBorders>
              <w:left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0" w:type="auto"/>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r>
              <w:rPr>
                <w:rFonts w:hint="eastAsia" w:ascii="宋体" w:hAnsi="宋体"/>
                <w:color w:val="auto"/>
                <w:spacing w:val="20"/>
                <w:highlight w:val="none"/>
              </w:rPr>
              <w:t>…</w:t>
            </w:r>
          </w:p>
        </w:tc>
        <w:tc>
          <w:tcPr>
            <w:tcW w:w="25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highlight w:val="none"/>
              </w:rPr>
            </w:pPr>
          </w:p>
        </w:tc>
        <w:tc>
          <w:tcPr>
            <w:tcW w:w="300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3715" w:type="dxa"/>
            <w:vMerge w:val="continue"/>
            <w:tcBorders>
              <w:left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0" w:type="auto"/>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highlight w:val="none"/>
              </w:rPr>
            </w:pPr>
            <w:r>
              <w:rPr>
                <w:rFonts w:hint="eastAsia" w:ascii="宋体" w:hAnsi="宋体"/>
                <w:color w:val="auto"/>
                <w:spacing w:val="20"/>
                <w:highlight w:val="none"/>
              </w:rPr>
              <w:t>100</w:t>
            </w:r>
          </w:p>
        </w:tc>
        <w:tc>
          <w:tcPr>
            <w:tcW w:w="25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highlight w:val="none"/>
              </w:rPr>
            </w:pPr>
          </w:p>
        </w:tc>
        <w:tc>
          <w:tcPr>
            <w:tcW w:w="300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3715" w:type="dxa"/>
            <w:vMerge w:val="continue"/>
            <w:tcBorders>
              <w:left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3564"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rPr>
                <w:rFonts w:ascii="宋体" w:hAnsi="宋体"/>
                <w:color w:val="auto"/>
                <w:spacing w:val="20"/>
                <w:highlight w:val="none"/>
              </w:rPr>
            </w:pPr>
            <w:r>
              <w:rPr>
                <w:rFonts w:hint="eastAsia" w:ascii="宋体" w:hAnsi="宋体"/>
                <w:color w:val="auto"/>
                <w:spacing w:val="20"/>
                <w:highlight w:val="none"/>
              </w:rPr>
              <w:t>①投标报价之和</w:t>
            </w:r>
          </w:p>
        </w:tc>
        <w:tc>
          <w:tcPr>
            <w:tcW w:w="300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3715" w:type="dxa"/>
            <w:vMerge w:val="continue"/>
            <w:tcBorders>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10281" w:type="dxa"/>
            <w:gridSpan w:val="4"/>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2625" w:firstLineChars="1050"/>
              <w:rPr>
                <w:rFonts w:ascii="宋体" w:hAnsi="宋体"/>
                <w:color w:val="auto"/>
                <w:spacing w:val="20"/>
                <w:sz w:val="24"/>
                <w:szCs w:val="20"/>
                <w:highlight w:val="none"/>
              </w:rPr>
            </w:pPr>
            <w:r>
              <w:rPr>
                <w:rFonts w:hint="eastAsia" w:ascii="宋体" w:hAnsi="宋体"/>
                <w:color w:val="auto"/>
                <w:spacing w:val="20"/>
                <w:highlight w:val="none"/>
              </w:rPr>
              <w:t>附件二: 319种中药配方颗粒目录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97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highlight w:val="none"/>
              </w:rPr>
            </w:pPr>
          </w:p>
        </w:tc>
        <w:tc>
          <w:tcPr>
            <w:tcW w:w="25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highlight w:val="none"/>
              </w:rPr>
            </w:pPr>
          </w:p>
        </w:tc>
        <w:tc>
          <w:tcPr>
            <w:tcW w:w="300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3715" w:type="dxa"/>
            <w:vMerge w:val="restart"/>
            <w:tcBorders>
              <w:left w:val="single" w:color="auto" w:sz="4" w:space="0"/>
              <w:right w:val="single" w:color="auto" w:sz="4" w:space="0"/>
            </w:tcBorders>
          </w:tcPr>
          <w:p>
            <w:pPr>
              <w:tabs>
                <w:tab w:val="left" w:pos="1418"/>
              </w:tabs>
              <w:snapToGrid w:val="0"/>
              <w:spacing w:before="50" w:after="50"/>
              <w:jc w:val="center"/>
              <w:rPr>
                <w:rFonts w:ascii="宋体" w:hAnsi="宋体"/>
                <w:color w:val="auto"/>
                <w:spacing w:val="20"/>
                <w:sz w:val="18"/>
                <w:szCs w:val="18"/>
                <w:highlight w:val="none"/>
              </w:rPr>
            </w:pPr>
          </w:p>
          <w:p>
            <w:pPr>
              <w:tabs>
                <w:tab w:val="left" w:pos="1418"/>
              </w:tabs>
              <w:snapToGrid w:val="0"/>
              <w:spacing w:before="50" w:after="50"/>
              <w:jc w:val="center"/>
              <w:rPr>
                <w:rFonts w:ascii="宋体" w:hAnsi="宋体"/>
                <w:color w:val="auto"/>
                <w:spacing w:val="20"/>
                <w:sz w:val="18"/>
                <w:szCs w:val="18"/>
                <w:highlight w:val="none"/>
              </w:rPr>
            </w:pPr>
          </w:p>
          <w:p>
            <w:pPr>
              <w:tabs>
                <w:tab w:val="left" w:pos="1418"/>
              </w:tabs>
              <w:snapToGrid w:val="0"/>
              <w:spacing w:before="50" w:after="50"/>
              <w:jc w:val="center"/>
              <w:rPr>
                <w:rFonts w:ascii="宋体" w:hAnsi="宋体"/>
                <w:color w:val="auto"/>
                <w:spacing w:val="20"/>
                <w:sz w:val="18"/>
                <w:szCs w:val="18"/>
                <w:highlight w:val="none"/>
              </w:rPr>
            </w:pPr>
          </w:p>
          <w:p>
            <w:pPr>
              <w:tabs>
                <w:tab w:val="left" w:pos="1418"/>
              </w:tabs>
              <w:snapToGrid w:val="0"/>
              <w:spacing w:before="50" w:after="50"/>
              <w:jc w:val="center"/>
              <w:rPr>
                <w:rFonts w:ascii="宋体" w:hAnsi="宋体"/>
                <w:color w:val="auto"/>
                <w:spacing w:val="20"/>
                <w:sz w:val="18"/>
                <w:szCs w:val="18"/>
                <w:highlight w:val="none"/>
              </w:rPr>
            </w:pPr>
          </w:p>
          <w:p>
            <w:pPr>
              <w:tabs>
                <w:tab w:val="left" w:pos="1418"/>
              </w:tabs>
              <w:snapToGrid w:val="0"/>
              <w:spacing w:before="50" w:after="50"/>
              <w:jc w:val="center"/>
              <w:rPr>
                <w:rFonts w:ascii="宋体" w:hAnsi="宋体"/>
                <w:color w:val="auto"/>
                <w:spacing w:val="20"/>
                <w:sz w:val="18"/>
                <w:szCs w:val="18"/>
                <w:highlight w:val="none"/>
              </w:rPr>
            </w:pPr>
          </w:p>
          <w:p>
            <w:pPr>
              <w:tabs>
                <w:tab w:val="left" w:pos="1418"/>
              </w:tabs>
              <w:snapToGrid w:val="0"/>
              <w:spacing w:before="50" w:after="50"/>
              <w:jc w:val="center"/>
              <w:rPr>
                <w:rFonts w:ascii="宋体" w:hAnsi="宋体"/>
                <w:color w:val="auto"/>
                <w:spacing w:val="20"/>
                <w:sz w:val="24"/>
                <w:szCs w:val="20"/>
                <w:highlight w:val="none"/>
              </w:rPr>
            </w:pPr>
            <w:r>
              <w:rPr>
                <w:rFonts w:hint="eastAsia" w:ascii="宋体" w:hAnsi="宋体"/>
                <w:color w:val="auto"/>
                <w:spacing w:val="20"/>
                <w:sz w:val="18"/>
                <w:szCs w:val="18"/>
                <w:highlight w:val="none"/>
              </w:rPr>
              <w:t>统一按折合每克饮片报价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97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highlight w:val="none"/>
              </w:rPr>
            </w:pPr>
            <w:r>
              <w:rPr>
                <w:rFonts w:hint="eastAsia" w:ascii="宋体" w:hAnsi="宋体"/>
                <w:color w:val="auto"/>
                <w:spacing w:val="20"/>
                <w:highlight w:val="none"/>
              </w:rPr>
              <w:t>1</w:t>
            </w:r>
          </w:p>
        </w:tc>
        <w:tc>
          <w:tcPr>
            <w:tcW w:w="25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highlight w:val="none"/>
              </w:rPr>
            </w:pPr>
          </w:p>
        </w:tc>
        <w:tc>
          <w:tcPr>
            <w:tcW w:w="300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3715" w:type="dxa"/>
            <w:vMerge w:val="continue"/>
            <w:tcBorders>
              <w:left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97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highlight w:val="none"/>
              </w:rPr>
            </w:pPr>
            <w:r>
              <w:rPr>
                <w:rFonts w:hint="eastAsia" w:ascii="宋体" w:hAnsi="宋体"/>
                <w:color w:val="auto"/>
                <w:spacing w:val="20"/>
                <w:highlight w:val="none"/>
              </w:rPr>
              <w:t>2</w:t>
            </w:r>
          </w:p>
        </w:tc>
        <w:tc>
          <w:tcPr>
            <w:tcW w:w="25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highlight w:val="none"/>
              </w:rPr>
            </w:pPr>
          </w:p>
        </w:tc>
        <w:tc>
          <w:tcPr>
            <w:tcW w:w="300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3715" w:type="dxa"/>
            <w:vMerge w:val="continue"/>
            <w:tcBorders>
              <w:left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97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r>
              <w:rPr>
                <w:rFonts w:hint="eastAsia" w:ascii="宋体" w:hAnsi="宋体"/>
                <w:color w:val="auto"/>
                <w:spacing w:val="20"/>
                <w:highlight w:val="none"/>
              </w:rPr>
              <w:t>…</w:t>
            </w:r>
          </w:p>
        </w:tc>
        <w:tc>
          <w:tcPr>
            <w:tcW w:w="25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highlight w:val="none"/>
              </w:rPr>
            </w:pPr>
          </w:p>
        </w:tc>
        <w:tc>
          <w:tcPr>
            <w:tcW w:w="300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3715" w:type="dxa"/>
            <w:vMerge w:val="continue"/>
            <w:tcBorders>
              <w:left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97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r>
              <w:rPr>
                <w:rFonts w:hint="eastAsia" w:ascii="宋体" w:hAnsi="宋体"/>
                <w:color w:val="auto"/>
                <w:spacing w:val="20"/>
                <w:highlight w:val="none"/>
              </w:rPr>
              <w:t>…</w:t>
            </w:r>
          </w:p>
        </w:tc>
        <w:tc>
          <w:tcPr>
            <w:tcW w:w="25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highlight w:val="none"/>
              </w:rPr>
            </w:pPr>
          </w:p>
        </w:tc>
        <w:tc>
          <w:tcPr>
            <w:tcW w:w="300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3715" w:type="dxa"/>
            <w:vMerge w:val="continue"/>
            <w:tcBorders>
              <w:left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97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highlight w:val="none"/>
              </w:rPr>
            </w:pPr>
            <w:r>
              <w:rPr>
                <w:rFonts w:hint="eastAsia" w:ascii="宋体" w:hAnsi="宋体"/>
                <w:color w:val="auto"/>
                <w:spacing w:val="20"/>
                <w:highlight w:val="none"/>
              </w:rPr>
              <w:t>319</w:t>
            </w:r>
          </w:p>
        </w:tc>
        <w:tc>
          <w:tcPr>
            <w:tcW w:w="25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highlight w:val="none"/>
              </w:rPr>
            </w:pPr>
          </w:p>
        </w:tc>
        <w:tc>
          <w:tcPr>
            <w:tcW w:w="300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3715" w:type="dxa"/>
            <w:vMerge w:val="continue"/>
            <w:tcBorders>
              <w:left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3564"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rPr>
                <w:rFonts w:ascii="宋体" w:hAnsi="宋体"/>
                <w:color w:val="auto"/>
                <w:spacing w:val="20"/>
                <w:highlight w:val="none"/>
              </w:rPr>
            </w:pPr>
            <w:r>
              <w:rPr>
                <w:rFonts w:hint="eastAsia" w:ascii="宋体" w:hAnsi="宋体"/>
                <w:color w:val="auto"/>
                <w:spacing w:val="20"/>
                <w:highlight w:val="none"/>
              </w:rPr>
              <w:t>②投标报价之和</w:t>
            </w:r>
          </w:p>
        </w:tc>
        <w:tc>
          <w:tcPr>
            <w:tcW w:w="300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3715" w:type="dxa"/>
            <w:vMerge w:val="continue"/>
            <w:tcBorders>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gridSpan w:val="4"/>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ascii="宋体" w:hAnsi="宋体"/>
                <w:color w:val="auto"/>
                <w:spacing w:val="20"/>
                <w:highlight w:val="none"/>
              </w:rPr>
            </w:pPr>
            <w:r>
              <w:rPr>
                <w:rFonts w:hint="eastAsia" w:ascii="宋体" w:hAnsi="宋体"/>
                <w:color w:val="auto"/>
                <w:spacing w:val="20"/>
                <w:highlight w:val="none"/>
              </w:rPr>
              <w:t>本项目计算价格分的投标价：①×0.6+②×0.4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olor w:val="auto"/>
                <w:spacing w:val="20"/>
                <w:highlight w:val="none"/>
              </w:rPr>
            </w:pPr>
            <w:r>
              <w:rPr>
                <w:rFonts w:hint="eastAsia" w:ascii="宋体" w:hAnsi="宋体"/>
                <w:color w:val="auto"/>
                <w:spacing w:val="20"/>
                <w:highlight w:val="none"/>
              </w:rPr>
              <w:t>投标报价要求及说明：</w:t>
            </w:r>
          </w:p>
          <w:p>
            <w:pPr>
              <w:adjustRightInd w:val="0"/>
              <w:snapToGrid w:val="0"/>
              <w:rPr>
                <w:color w:val="auto"/>
                <w:highlight w:val="none"/>
              </w:rPr>
            </w:pPr>
            <w:r>
              <w:rPr>
                <w:rFonts w:hint="eastAsia"/>
                <w:color w:val="auto"/>
                <w:highlight w:val="none"/>
              </w:rPr>
              <w:t>1、统一按折合每克饮片报价。投标报价必须包含一切相关费用（如包装费、检测费、运费等）。</w:t>
            </w:r>
          </w:p>
          <w:p>
            <w:pPr>
              <w:adjustRightInd w:val="0"/>
              <w:snapToGrid w:val="0"/>
              <w:rPr>
                <w:rFonts w:ascii="宋体" w:hAnsi="宋体" w:cs="宋体"/>
                <w:color w:val="auto"/>
                <w:szCs w:val="21"/>
                <w:highlight w:val="none"/>
              </w:rPr>
            </w:pPr>
            <w:r>
              <w:rPr>
                <w:rFonts w:hint="eastAsia"/>
                <w:color w:val="auto"/>
                <w:highlight w:val="none"/>
              </w:rPr>
              <w:t>2、100种常用</w:t>
            </w:r>
            <w:r>
              <w:rPr>
                <w:rFonts w:hint="eastAsia" w:ascii="宋体" w:hAnsi="宋体" w:cs="宋体"/>
                <w:color w:val="auto"/>
                <w:szCs w:val="21"/>
                <w:highlight w:val="none"/>
              </w:rPr>
              <w:t>中药颗粒品种合计报价采购限价为≤27.187元，超出投标报价无效。</w:t>
            </w:r>
          </w:p>
          <w:p>
            <w:pPr>
              <w:adjustRightInd w:val="0"/>
              <w:snapToGrid w:val="0"/>
              <w:rPr>
                <w:color w:val="auto"/>
                <w:highlight w:val="none"/>
              </w:rPr>
            </w:pPr>
            <w:r>
              <w:rPr>
                <w:rFonts w:hint="eastAsia"/>
                <w:color w:val="auto"/>
                <w:highlight w:val="none"/>
              </w:rPr>
              <w:t>3、</w:t>
            </w:r>
            <w:r>
              <w:rPr>
                <w:rFonts w:hint="eastAsia" w:ascii="宋体" w:hAnsi="宋体" w:cs="宋体"/>
                <w:color w:val="auto"/>
                <w:szCs w:val="21"/>
                <w:highlight w:val="none"/>
              </w:rPr>
              <w:t>319种中药颗粒品种合计报价采购限价为≤86.633元，超出投标报价无效。</w:t>
            </w:r>
          </w:p>
          <w:p>
            <w:pPr>
              <w:snapToGrid w:val="0"/>
              <w:spacing w:before="50" w:after="50"/>
              <w:rPr>
                <w:rFonts w:ascii="宋体" w:hAnsi="宋体" w:cs="宋体"/>
                <w:color w:val="auto"/>
                <w:szCs w:val="21"/>
                <w:highlight w:val="none"/>
              </w:rPr>
            </w:pPr>
            <w:r>
              <w:rPr>
                <w:rFonts w:hint="eastAsia" w:ascii="宋体" w:hAnsi="宋体" w:cs="宋体"/>
                <w:color w:val="auto"/>
                <w:szCs w:val="21"/>
                <w:highlight w:val="none"/>
              </w:rPr>
              <w:t>4、投标人的报价不得高于广西区内三级甲等医院的供应价格。</w:t>
            </w:r>
          </w:p>
          <w:p>
            <w:pPr>
              <w:snapToGrid w:val="0"/>
              <w:spacing w:before="50" w:after="50"/>
              <w:rPr>
                <w:rFonts w:ascii="宋体" w:hAnsi="宋体"/>
                <w:color w:val="auto"/>
                <w:spacing w:val="20"/>
                <w:highlight w:val="none"/>
              </w:rPr>
            </w:pPr>
            <w:r>
              <w:rPr>
                <w:rFonts w:hint="eastAsia" w:ascii="宋体" w:hAnsi="宋体"/>
                <w:color w:val="auto"/>
                <w:spacing w:val="20"/>
                <w:highlight w:val="none"/>
              </w:rPr>
              <w:t>5、该投标报价为</w:t>
            </w:r>
            <w:r>
              <w:rPr>
                <w:rFonts w:hint="eastAsia"/>
                <w:color w:val="auto"/>
                <w:highlight w:val="none"/>
              </w:rPr>
              <w:t>按折合每克饮片的报价，供货时，中标供应商按其</w:t>
            </w:r>
            <w:r>
              <w:rPr>
                <w:rFonts w:hint="eastAsia" w:hAnsi="宋体"/>
                <w:color w:val="auto"/>
                <w:szCs w:val="21"/>
                <w:highlight w:val="none"/>
              </w:rPr>
              <w:t>中药颗粒剂配方品种</w:t>
            </w:r>
            <w:r>
              <w:rPr>
                <w:rFonts w:hint="eastAsia"/>
                <w:color w:val="auto"/>
                <w:highlight w:val="none"/>
              </w:rPr>
              <w:t>的投标价供货及计算供货金额。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gridSpan w:val="4"/>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left"/>
              <w:rPr>
                <w:rFonts w:ascii="宋体" w:hAnsi="宋体"/>
                <w:color w:val="auto"/>
                <w:highlight w:val="none"/>
              </w:rPr>
            </w:pPr>
            <w:r>
              <w:rPr>
                <w:rFonts w:hint="eastAsia" w:ascii="宋体" w:hAnsi="宋体"/>
                <w:color w:val="auto"/>
                <w:szCs w:val="21"/>
                <w:highlight w:val="none"/>
              </w:rPr>
              <w:t>服务期限：</w:t>
            </w:r>
            <w:r>
              <w:rPr>
                <w:rFonts w:hint="eastAsia"/>
                <w:color w:val="auto"/>
                <w:highlight w:val="none"/>
              </w:rPr>
              <w:t>从签订合同之日起服务三年。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gridSpan w:val="4"/>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left"/>
              <w:rPr>
                <w:rFonts w:ascii="宋体" w:hAnsi="宋体"/>
                <w:color w:val="auto"/>
                <w:highlight w:val="none"/>
              </w:rPr>
            </w:pPr>
            <w:r>
              <w:rPr>
                <w:rFonts w:hint="eastAsia" w:ascii="宋体" w:hAnsi="宋体" w:cs="宋体"/>
                <w:color w:val="auto"/>
                <w:kern w:val="0"/>
                <w:szCs w:val="21"/>
                <w:highlight w:val="none"/>
                <w:shd w:val="clear" w:color="auto" w:fill="FFFFFF"/>
              </w:rPr>
              <w:t>服务地点：</w:t>
            </w:r>
            <w:r>
              <w:rPr>
                <w:rFonts w:hint="eastAsia"/>
                <w:color w:val="auto"/>
                <w:highlight w:val="none"/>
              </w:rPr>
              <w:t>采购单位指定地点。</w:t>
            </w:r>
          </w:p>
        </w:tc>
      </w:tr>
    </w:tbl>
    <w:p>
      <w:pPr>
        <w:tabs>
          <w:tab w:val="left" w:pos="1418"/>
        </w:tabs>
        <w:snapToGrid w:val="0"/>
        <w:spacing w:before="50" w:after="50" w:line="360" w:lineRule="exact"/>
        <w:ind w:left="1418" w:hanging="567"/>
        <w:jc w:val="center"/>
        <w:rPr>
          <w:rFonts w:ascii="宋体" w:hAnsi="宋体"/>
          <w:color w:val="auto"/>
          <w:spacing w:val="20"/>
          <w:szCs w:val="21"/>
          <w:highlight w:val="none"/>
          <w:u w:val="single"/>
        </w:rPr>
      </w:pPr>
    </w:p>
    <w:p>
      <w:pPr>
        <w:snapToGrid w:val="0"/>
        <w:spacing w:before="50" w:after="50" w:line="360" w:lineRule="exact"/>
        <w:rPr>
          <w:rFonts w:ascii="宋体" w:hAnsi="宋体"/>
          <w:color w:val="auto"/>
          <w:spacing w:val="20"/>
          <w:szCs w:val="21"/>
          <w:highlight w:val="none"/>
          <w:u w:val="single"/>
        </w:rPr>
      </w:pPr>
      <w:r>
        <w:rPr>
          <w:rFonts w:hint="eastAsia" w:ascii="宋体" w:hAnsi="宋体"/>
          <w:color w:val="auto"/>
          <w:szCs w:val="21"/>
          <w:highlight w:val="none"/>
        </w:rPr>
        <w:t>法定代表人或委托代理人签字</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w:t>
      </w:r>
    </w:p>
    <w:p>
      <w:pPr>
        <w:snapToGrid w:val="0"/>
        <w:spacing w:before="50" w:after="50" w:line="360" w:lineRule="exact"/>
        <w:rPr>
          <w:rFonts w:ascii="宋体" w:hAnsi="宋体"/>
          <w:color w:val="auto"/>
          <w:szCs w:val="21"/>
          <w:highlight w:val="none"/>
        </w:rPr>
      </w:pPr>
      <w:r>
        <w:rPr>
          <w:rFonts w:hint="eastAsia" w:ascii="宋体" w:hAnsi="宋体"/>
          <w:color w:val="auto"/>
          <w:szCs w:val="21"/>
          <w:highlight w:val="none"/>
        </w:rPr>
        <w:t xml:space="preserve">投标人盖章：                                              日  期：         </w:t>
      </w:r>
    </w:p>
    <w:p>
      <w:pPr>
        <w:snapToGrid w:val="0"/>
        <w:spacing w:beforeLines="50" w:after="50" w:line="360" w:lineRule="exact"/>
        <w:rPr>
          <w:rFonts w:ascii="宋体" w:hAnsi="宋体"/>
          <w:b/>
          <w:color w:val="auto"/>
          <w:szCs w:val="21"/>
          <w:highlight w:val="none"/>
        </w:rPr>
      </w:pPr>
    </w:p>
    <w:p>
      <w:pPr>
        <w:snapToGrid w:val="0"/>
        <w:spacing w:beforeLines="50" w:after="50" w:line="360" w:lineRule="exact"/>
        <w:rPr>
          <w:rFonts w:ascii="宋体" w:hAnsi="宋体"/>
          <w:b/>
          <w:color w:val="auto"/>
          <w:szCs w:val="21"/>
          <w:highlight w:val="none"/>
        </w:rPr>
      </w:pPr>
    </w:p>
    <w:p>
      <w:pPr>
        <w:snapToGrid w:val="0"/>
        <w:spacing w:beforeLines="50" w:after="50" w:line="360" w:lineRule="exact"/>
        <w:rPr>
          <w:rFonts w:ascii="宋体" w:hAnsi="宋体"/>
          <w:b/>
          <w:color w:val="auto"/>
          <w:szCs w:val="21"/>
          <w:highlight w:val="none"/>
        </w:rPr>
      </w:pPr>
    </w:p>
    <w:p>
      <w:pPr>
        <w:snapToGrid w:val="0"/>
        <w:spacing w:beforeLines="50" w:after="50" w:line="360" w:lineRule="exact"/>
        <w:rPr>
          <w:rFonts w:ascii="宋体" w:hAnsi="宋体"/>
          <w:color w:val="auto"/>
          <w:szCs w:val="21"/>
          <w:highlight w:val="none"/>
        </w:rPr>
      </w:pPr>
      <w:r>
        <w:rPr>
          <w:rFonts w:hint="eastAsia" w:ascii="宋体" w:hAnsi="宋体"/>
          <w:b/>
          <w:color w:val="auto"/>
          <w:szCs w:val="21"/>
          <w:highlight w:val="none"/>
        </w:rPr>
        <w:t>（3）</w:t>
      </w:r>
      <w:r>
        <w:rPr>
          <w:rFonts w:hint="eastAsia" w:ascii="宋体" w:hAnsi="宋体"/>
          <w:color w:val="auto"/>
          <w:szCs w:val="21"/>
          <w:highlight w:val="none"/>
        </w:rPr>
        <w:t>投标人针对报价需要说明的其他文件和说明（格式自拟）</w:t>
      </w:r>
    </w:p>
    <w:p>
      <w:pPr>
        <w:snapToGrid w:val="0"/>
        <w:spacing w:beforeLines="50" w:after="50" w:line="360" w:lineRule="exact"/>
        <w:rPr>
          <w:rFonts w:ascii="宋体" w:hAnsi="宋体"/>
          <w:b/>
          <w:color w:val="auto"/>
          <w:szCs w:val="21"/>
          <w:highlight w:val="none"/>
        </w:rPr>
      </w:pPr>
      <w:r>
        <w:rPr>
          <w:rFonts w:hint="eastAsia" w:ascii="宋体" w:hAnsi="宋体"/>
          <w:b/>
          <w:color w:val="auto"/>
          <w:szCs w:val="21"/>
          <w:highlight w:val="none"/>
        </w:rPr>
        <w:t>（4）开标一览表信封封面格式（可以手写，密封）</w:t>
      </w:r>
    </w:p>
    <w:p>
      <w:pPr>
        <w:snapToGrid w:val="0"/>
        <w:spacing w:before="50" w:after="50" w:line="360" w:lineRule="exact"/>
        <w:rPr>
          <w:rFonts w:ascii="宋体" w:hAnsi="宋体"/>
          <w:b/>
          <w:color w:val="auto"/>
          <w:szCs w:val="21"/>
          <w:highlight w:val="none"/>
        </w:rPr>
      </w:pPr>
      <w:r>
        <w:rPr>
          <w:rFonts w:hint="eastAsia"/>
          <w:color w:val="auto"/>
          <w:highlight w:val="none"/>
        </w:rPr>
        <w:t xml:space="preserve">                         </w:t>
      </w:r>
      <w:r>
        <w:rPr>
          <w:rFonts w:hint="eastAsia"/>
          <w:b/>
          <w:color w:val="auto"/>
          <w:highlight w:val="none"/>
        </w:rPr>
        <w:t xml:space="preserve"> 开标一览表文件</w:t>
      </w:r>
    </w:p>
    <w:p>
      <w:pPr>
        <w:pStyle w:val="26"/>
        <w:spacing w:line="420" w:lineRule="exact"/>
        <w:ind w:firstLine="420" w:firstLineChars="200"/>
        <w:rPr>
          <w:rFonts w:hAnsi="宋体"/>
          <w:color w:val="auto"/>
          <w:highlight w:val="none"/>
          <w:u w:val="single"/>
        </w:rPr>
      </w:pPr>
      <w:r>
        <w:rPr>
          <w:rFonts w:hint="eastAsia" w:hAnsi="宋体"/>
          <w:color w:val="auto"/>
          <w:highlight w:val="none"/>
        </w:rPr>
        <w:t>（1） 采购项目名称：</w:t>
      </w:r>
      <w:r>
        <w:rPr>
          <w:rFonts w:hint="eastAsia" w:hAnsi="宋体"/>
          <w:color w:val="auto"/>
          <w:highlight w:val="none"/>
          <w:u w:val="single"/>
        </w:rPr>
        <w:t xml:space="preserve">                  </w:t>
      </w:r>
    </w:p>
    <w:p>
      <w:pPr>
        <w:pStyle w:val="26"/>
        <w:spacing w:line="420" w:lineRule="exact"/>
        <w:ind w:firstLine="420" w:firstLineChars="200"/>
        <w:rPr>
          <w:rFonts w:hAnsi="宋体"/>
          <w:color w:val="auto"/>
          <w:highlight w:val="none"/>
          <w:u w:val="single"/>
        </w:rPr>
      </w:pPr>
      <w:r>
        <w:rPr>
          <w:rFonts w:hint="eastAsia" w:hAnsi="宋体"/>
          <w:color w:val="auto"/>
          <w:highlight w:val="none"/>
        </w:rPr>
        <w:t>（2） 采购项目编号：</w:t>
      </w:r>
      <w:r>
        <w:rPr>
          <w:rFonts w:hint="eastAsia" w:hAnsi="宋体"/>
          <w:color w:val="auto"/>
          <w:highlight w:val="none"/>
          <w:u w:val="single"/>
        </w:rPr>
        <w:t xml:space="preserve">                  </w:t>
      </w:r>
    </w:p>
    <w:p>
      <w:pPr>
        <w:snapToGrid w:val="0"/>
        <w:spacing w:beforeLines="50" w:after="50" w:line="360" w:lineRule="exact"/>
        <w:ind w:firstLine="420" w:firstLineChars="200"/>
        <w:rPr>
          <w:rFonts w:ascii="宋体" w:hAnsi="宋体"/>
          <w:bCs/>
          <w:color w:val="auto"/>
          <w:szCs w:val="21"/>
          <w:highlight w:val="none"/>
        </w:rPr>
      </w:pPr>
      <w:r>
        <w:rPr>
          <w:rFonts w:hint="eastAsia" w:ascii="宋体" w:hAnsi="宋体"/>
          <w:bCs/>
          <w:color w:val="auto"/>
          <w:szCs w:val="21"/>
          <w:highlight w:val="none"/>
        </w:rPr>
        <w:t>（3） 所投分标：</w:t>
      </w:r>
    </w:p>
    <w:p>
      <w:pPr>
        <w:pStyle w:val="26"/>
        <w:spacing w:line="420" w:lineRule="exact"/>
        <w:ind w:firstLine="420" w:firstLineChars="200"/>
        <w:rPr>
          <w:rFonts w:hAnsi="宋体"/>
          <w:color w:val="auto"/>
          <w:highlight w:val="none"/>
          <w:u w:val="single"/>
        </w:rPr>
      </w:pPr>
      <w:r>
        <w:rPr>
          <w:rFonts w:hint="eastAsia" w:hAnsi="宋体"/>
          <w:color w:val="auto"/>
          <w:highlight w:val="none"/>
        </w:rPr>
        <w:t>（4） 投标人名称：</w:t>
      </w:r>
      <w:r>
        <w:rPr>
          <w:rFonts w:hint="eastAsia" w:hAnsi="宋体"/>
          <w:color w:val="auto"/>
          <w:highlight w:val="none"/>
          <w:u w:val="single"/>
        </w:rPr>
        <w:t xml:space="preserve">                  </w:t>
      </w:r>
    </w:p>
    <w:p>
      <w:pPr>
        <w:snapToGrid w:val="0"/>
        <w:spacing w:before="50" w:after="50" w:line="360" w:lineRule="exact"/>
        <w:ind w:firstLine="420" w:firstLineChars="200"/>
        <w:rPr>
          <w:rFonts w:ascii="宋体" w:hAnsi="宋体"/>
          <w:color w:val="auto"/>
          <w:szCs w:val="21"/>
          <w:highlight w:val="none"/>
        </w:rPr>
      </w:pPr>
      <w:r>
        <w:rPr>
          <w:rFonts w:hint="eastAsia" w:hAnsi="宋体"/>
          <w:color w:val="auto"/>
          <w:highlight w:val="none"/>
        </w:rPr>
        <w:t>（5） 注明“开标时才能启封”</w:t>
      </w:r>
    </w:p>
    <w:p>
      <w:pPr>
        <w:snapToGrid w:val="0"/>
        <w:spacing w:beforeLines="50" w:after="50" w:line="360" w:lineRule="exact"/>
        <w:rPr>
          <w:rFonts w:ascii="宋体" w:hAnsi="宋体"/>
          <w:color w:val="auto"/>
          <w:szCs w:val="21"/>
          <w:highlight w:val="none"/>
        </w:rPr>
      </w:pPr>
    </w:p>
    <w:p>
      <w:pPr>
        <w:snapToGrid w:val="0"/>
        <w:spacing w:beforeLines="50" w:after="50" w:line="360" w:lineRule="exact"/>
        <w:rPr>
          <w:rFonts w:ascii="宋体" w:hAnsi="宋体"/>
          <w:color w:val="auto"/>
          <w:szCs w:val="21"/>
          <w:highlight w:val="none"/>
        </w:rPr>
      </w:pPr>
    </w:p>
    <w:p>
      <w:pPr>
        <w:snapToGrid w:val="0"/>
        <w:spacing w:beforeLines="50" w:after="50" w:line="360" w:lineRule="exact"/>
        <w:rPr>
          <w:rFonts w:ascii="宋体" w:hAnsi="宋体"/>
          <w:color w:val="auto"/>
          <w:szCs w:val="21"/>
          <w:highlight w:val="none"/>
        </w:rPr>
      </w:pPr>
    </w:p>
    <w:p>
      <w:pPr>
        <w:snapToGrid w:val="0"/>
        <w:spacing w:beforeLines="50" w:after="50" w:line="360" w:lineRule="exact"/>
        <w:rPr>
          <w:rFonts w:ascii="宋体" w:hAnsi="宋体"/>
          <w:color w:val="auto"/>
          <w:szCs w:val="21"/>
          <w:highlight w:val="none"/>
        </w:rPr>
      </w:pPr>
    </w:p>
    <w:p>
      <w:pPr>
        <w:snapToGrid w:val="0"/>
        <w:spacing w:before="50" w:after="50" w:line="360" w:lineRule="exact"/>
        <w:rPr>
          <w:rFonts w:ascii="宋体" w:hAnsi="宋体"/>
          <w:b/>
          <w:color w:val="auto"/>
          <w:szCs w:val="21"/>
          <w:highlight w:val="none"/>
        </w:rPr>
      </w:pPr>
      <w:r>
        <w:rPr>
          <w:rFonts w:ascii="宋体" w:hAnsi="宋体"/>
          <w:b/>
          <w:color w:val="auto"/>
          <w:szCs w:val="21"/>
          <w:highlight w:val="none"/>
        </w:rPr>
        <w:br w:type="page"/>
      </w:r>
      <w:r>
        <w:rPr>
          <w:rFonts w:hint="eastAsia" w:ascii="宋体" w:hAnsi="宋体"/>
          <w:b/>
          <w:color w:val="auto"/>
          <w:szCs w:val="21"/>
          <w:highlight w:val="none"/>
        </w:rPr>
        <w:t>（5）开标一览表</w:t>
      </w:r>
    </w:p>
    <w:p>
      <w:pPr>
        <w:snapToGrid w:val="0"/>
        <w:spacing w:before="50" w:after="50" w:line="360" w:lineRule="exact"/>
        <w:jc w:val="center"/>
        <w:rPr>
          <w:rFonts w:ascii="宋体" w:hAnsi="宋体"/>
          <w:b/>
          <w:color w:val="auto"/>
          <w:szCs w:val="21"/>
          <w:highlight w:val="none"/>
        </w:rPr>
      </w:pPr>
      <w:r>
        <w:rPr>
          <w:rFonts w:hint="eastAsia" w:ascii="宋体" w:hAnsi="宋体"/>
          <w:b/>
          <w:color w:val="auto"/>
          <w:szCs w:val="21"/>
          <w:highlight w:val="none"/>
        </w:rPr>
        <w:t>开标一览表</w:t>
      </w:r>
    </w:p>
    <w:p>
      <w:pPr>
        <w:snapToGrid w:val="0"/>
        <w:spacing w:before="50" w:afterLines="50" w:line="360" w:lineRule="exact"/>
        <w:jc w:val="left"/>
        <w:rPr>
          <w:color w:val="auto"/>
          <w:highlight w:val="none"/>
        </w:rPr>
      </w:pPr>
      <w:r>
        <w:rPr>
          <w:rFonts w:hint="eastAsia" w:hAnsi="宋体"/>
          <w:color w:val="auto"/>
          <w:highlight w:val="none"/>
        </w:rPr>
        <w:t>项目名称：</w:t>
      </w:r>
    </w:p>
    <w:p>
      <w:pPr>
        <w:snapToGrid w:val="0"/>
        <w:spacing w:before="50" w:afterLines="50" w:line="360" w:lineRule="exact"/>
        <w:jc w:val="left"/>
        <w:rPr>
          <w:rFonts w:ascii="宋体" w:hAnsi="宋体"/>
          <w:b/>
          <w:color w:val="auto"/>
          <w:szCs w:val="21"/>
          <w:highlight w:val="none"/>
        </w:rPr>
      </w:pPr>
      <w:r>
        <w:rPr>
          <w:rFonts w:hint="eastAsia"/>
          <w:color w:val="auto"/>
          <w:highlight w:val="none"/>
        </w:rPr>
        <w:t xml:space="preserve">项目编号：                                        </w:t>
      </w:r>
    </w:p>
    <w:p>
      <w:pPr>
        <w:pStyle w:val="26"/>
        <w:snapToGrid w:val="0"/>
        <w:spacing w:before="295" w:after="295" w:line="360" w:lineRule="exact"/>
        <w:rPr>
          <w:rFonts w:hAnsi="宋体"/>
          <w:color w:val="auto"/>
          <w:highlight w:val="none"/>
        </w:rPr>
      </w:pPr>
      <w:r>
        <w:rPr>
          <w:rFonts w:hint="eastAsia" w:hAnsi="宋体"/>
          <w:color w:val="auto"/>
          <w:highlight w:val="none"/>
        </w:rPr>
        <w:t xml:space="preserve">                                                                金额单位：人民币（元）</w:t>
      </w: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40"/>
        <w:gridCol w:w="2584"/>
        <w:gridCol w:w="2981"/>
        <w:gridCol w:w="36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color w:val="auto"/>
                <w:sz w:val="24"/>
                <w:highlight w:val="none"/>
              </w:rPr>
            </w:pPr>
            <w:r>
              <w:rPr>
                <w:rFonts w:hint="eastAsia" w:ascii="宋体" w:hAnsi="宋体"/>
                <w:color w:val="auto"/>
                <w:sz w:val="24"/>
                <w:highlight w:val="none"/>
              </w:rPr>
              <w:t>序号</w:t>
            </w:r>
          </w:p>
        </w:tc>
        <w:tc>
          <w:tcPr>
            <w:tcW w:w="259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color w:val="auto"/>
                <w:sz w:val="24"/>
                <w:highlight w:val="none"/>
              </w:rPr>
            </w:pPr>
            <w:r>
              <w:rPr>
                <w:rFonts w:hint="eastAsia" w:hAnsi="宋体"/>
                <w:color w:val="auto"/>
                <w:szCs w:val="21"/>
                <w:highlight w:val="none"/>
              </w:rPr>
              <w:t>中药颗粒剂配方品种</w:t>
            </w:r>
          </w:p>
        </w:tc>
        <w:tc>
          <w:tcPr>
            <w:tcW w:w="300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color w:val="auto"/>
                <w:sz w:val="24"/>
                <w:highlight w:val="none"/>
              </w:rPr>
            </w:pPr>
            <w:r>
              <w:rPr>
                <w:rFonts w:hint="eastAsia" w:hAnsi="宋体"/>
                <w:color w:val="auto"/>
                <w:szCs w:val="21"/>
                <w:highlight w:val="none"/>
              </w:rPr>
              <w:t>投标价</w:t>
            </w:r>
          </w:p>
        </w:tc>
        <w:tc>
          <w:tcPr>
            <w:tcW w:w="371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hAnsi="宋体"/>
                <w:color w:val="auto"/>
                <w:sz w:val="24"/>
                <w:highlight w:val="none"/>
              </w:rPr>
            </w:pPr>
            <w:r>
              <w:rPr>
                <w:rFonts w:hint="eastAsia"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81" w:type="dxa"/>
            <w:gridSpan w:val="4"/>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ind w:firstLine="2730" w:firstLineChars="1300"/>
              <w:rPr>
                <w:rFonts w:ascii="宋体" w:hAnsi="宋体"/>
                <w:color w:val="auto"/>
                <w:sz w:val="24"/>
                <w:highlight w:val="none"/>
              </w:rPr>
            </w:pPr>
            <w:r>
              <w:rPr>
                <w:rFonts w:hint="eastAsia" w:hAnsi="宋体"/>
                <w:color w:val="auto"/>
                <w:szCs w:val="21"/>
                <w:highlight w:val="none"/>
              </w:rPr>
              <w:t>附件一：常用100种中药配方颗粒目录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r>
              <w:rPr>
                <w:rFonts w:hint="eastAsia" w:ascii="宋体" w:hAnsi="宋体"/>
                <w:color w:val="auto"/>
                <w:spacing w:val="20"/>
                <w:sz w:val="24"/>
                <w:szCs w:val="20"/>
                <w:highlight w:val="none"/>
              </w:rPr>
              <w:t>1</w:t>
            </w:r>
          </w:p>
        </w:tc>
        <w:tc>
          <w:tcPr>
            <w:tcW w:w="25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300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3715" w:type="dxa"/>
            <w:vMerge w:val="restart"/>
            <w:tcBorders>
              <w:top w:val="single" w:color="auto" w:sz="4" w:space="0"/>
              <w:left w:val="single" w:color="auto" w:sz="4" w:space="0"/>
              <w:right w:val="single" w:color="auto" w:sz="4" w:space="0"/>
            </w:tcBorders>
            <w:vAlign w:val="center"/>
          </w:tcPr>
          <w:p>
            <w:pPr>
              <w:tabs>
                <w:tab w:val="left" w:pos="1418"/>
              </w:tabs>
              <w:snapToGrid w:val="0"/>
              <w:spacing w:before="50" w:after="50"/>
              <w:jc w:val="center"/>
              <w:rPr>
                <w:rFonts w:ascii="宋体" w:hAnsi="宋体"/>
                <w:color w:val="auto"/>
                <w:spacing w:val="20"/>
                <w:sz w:val="18"/>
                <w:szCs w:val="18"/>
                <w:highlight w:val="none"/>
              </w:rPr>
            </w:pPr>
            <w:r>
              <w:rPr>
                <w:rFonts w:hint="eastAsia" w:ascii="宋体" w:hAnsi="宋体"/>
                <w:color w:val="auto"/>
                <w:spacing w:val="20"/>
                <w:sz w:val="18"/>
                <w:szCs w:val="18"/>
                <w:highlight w:val="none"/>
              </w:rPr>
              <w:t>统一按折合每克饮片报价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r>
              <w:rPr>
                <w:rFonts w:hint="eastAsia" w:ascii="宋体" w:hAnsi="宋体"/>
                <w:color w:val="auto"/>
                <w:spacing w:val="20"/>
                <w:sz w:val="24"/>
                <w:szCs w:val="20"/>
                <w:highlight w:val="none"/>
              </w:rPr>
              <w:t>2</w:t>
            </w:r>
          </w:p>
        </w:tc>
        <w:tc>
          <w:tcPr>
            <w:tcW w:w="25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300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3715" w:type="dxa"/>
            <w:vMerge w:val="continue"/>
            <w:tcBorders>
              <w:left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0" w:type="auto"/>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r>
              <w:rPr>
                <w:rFonts w:hint="eastAsia" w:ascii="宋体" w:hAnsi="宋体"/>
                <w:color w:val="auto"/>
                <w:spacing w:val="20"/>
                <w:highlight w:val="none"/>
              </w:rPr>
              <w:t>…</w:t>
            </w:r>
          </w:p>
        </w:tc>
        <w:tc>
          <w:tcPr>
            <w:tcW w:w="25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Cs w:val="20"/>
                <w:highlight w:val="none"/>
              </w:rPr>
            </w:pPr>
          </w:p>
        </w:tc>
        <w:tc>
          <w:tcPr>
            <w:tcW w:w="300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3715" w:type="dxa"/>
            <w:vMerge w:val="continue"/>
            <w:tcBorders>
              <w:left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0" w:type="auto"/>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r>
              <w:rPr>
                <w:rFonts w:hint="eastAsia" w:ascii="宋体" w:hAnsi="宋体"/>
                <w:color w:val="auto"/>
                <w:spacing w:val="20"/>
                <w:highlight w:val="none"/>
              </w:rPr>
              <w:t>…</w:t>
            </w:r>
          </w:p>
        </w:tc>
        <w:tc>
          <w:tcPr>
            <w:tcW w:w="25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highlight w:val="none"/>
              </w:rPr>
            </w:pPr>
          </w:p>
        </w:tc>
        <w:tc>
          <w:tcPr>
            <w:tcW w:w="300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3715" w:type="dxa"/>
            <w:vMerge w:val="continue"/>
            <w:tcBorders>
              <w:left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0" w:type="auto"/>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highlight w:val="none"/>
              </w:rPr>
            </w:pPr>
            <w:r>
              <w:rPr>
                <w:rFonts w:hint="eastAsia" w:ascii="宋体" w:hAnsi="宋体"/>
                <w:color w:val="auto"/>
                <w:spacing w:val="20"/>
                <w:highlight w:val="none"/>
              </w:rPr>
              <w:t>100</w:t>
            </w:r>
          </w:p>
        </w:tc>
        <w:tc>
          <w:tcPr>
            <w:tcW w:w="25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highlight w:val="none"/>
              </w:rPr>
            </w:pPr>
          </w:p>
        </w:tc>
        <w:tc>
          <w:tcPr>
            <w:tcW w:w="300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3715" w:type="dxa"/>
            <w:vMerge w:val="continue"/>
            <w:tcBorders>
              <w:left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3564"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rPr>
                <w:rFonts w:ascii="宋体" w:hAnsi="宋体"/>
                <w:color w:val="auto"/>
                <w:spacing w:val="20"/>
                <w:highlight w:val="none"/>
              </w:rPr>
            </w:pPr>
            <w:r>
              <w:rPr>
                <w:rFonts w:hint="eastAsia" w:ascii="宋体" w:hAnsi="宋体"/>
                <w:color w:val="auto"/>
                <w:spacing w:val="20"/>
                <w:highlight w:val="none"/>
              </w:rPr>
              <w:t>①投标报价之和</w:t>
            </w:r>
          </w:p>
        </w:tc>
        <w:tc>
          <w:tcPr>
            <w:tcW w:w="300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3715" w:type="dxa"/>
            <w:vMerge w:val="continue"/>
            <w:tcBorders>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10281" w:type="dxa"/>
            <w:gridSpan w:val="4"/>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firstLine="2625" w:firstLineChars="1050"/>
              <w:rPr>
                <w:rFonts w:ascii="宋体" w:hAnsi="宋体"/>
                <w:color w:val="auto"/>
                <w:spacing w:val="20"/>
                <w:sz w:val="24"/>
                <w:szCs w:val="20"/>
                <w:highlight w:val="none"/>
              </w:rPr>
            </w:pPr>
            <w:r>
              <w:rPr>
                <w:rFonts w:hint="eastAsia" w:ascii="宋体" w:hAnsi="宋体"/>
                <w:color w:val="auto"/>
                <w:spacing w:val="20"/>
                <w:highlight w:val="none"/>
              </w:rPr>
              <w:t>附件二: 319种中药配方颗粒目录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97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highlight w:val="none"/>
              </w:rPr>
            </w:pPr>
          </w:p>
        </w:tc>
        <w:tc>
          <w:tcPr>
            <w:tcW w:w="25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highlight w:val="none"/>
              </w:rPr>
            </w:pPr>
          </w:p>
        </w:tc>
        <w:tc>
          <w:tcPr>
            <w:tcW w:w="300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3715" w:type="dxa"/>
            <w:vMerge w:val="restart"/>
            <w:tcBorders>
              <w:left w:val="single" w:color="auto" w:sz="4" w:space="0"/>
              <w:right w:val="single" w:color="auto" w:sz="4" w:space="0"/>
            </w:tcBorders>
          </w:tcPr>
          <w:p>
            <w:pPr>
              <w:tabs>
                <w:tab w:val="left" w:pos="1418"/>
              </w:tabs>
              <w:snapToGrid w:val="0"/>
              <w:spacing w:before="50" w:after="50"/>
              <w:jc w:val="center"/>
              <w:rPr>
                <w:rFonts w:ascii="宋体" w:hAnsi="宋体"/>
                <w:color w:val="auto"/>
                <w:spacing w:val="20"/>
                <w:sz w:val="18"/>
                <w:szCs w:val="18"/>
                <w:highlight w:val="none"/>
              </w:rPr>
            </w:pPr>
          </w:p>
          <w:p>
            <w:pPr>
              <w:tabs>
                <w:tab w:val="left" w:pos="1418"/>
              </w:tabs>
              <w:snapToGrid w:val="0"/>
              <w:spacing w:before="50" w:after="50"/>
              <w:jc w:val="center"/>
              <w:rPr>
                <w:rFonts w:ascii="宋体" w:hAnsi="宋体"/>
                <w:color w:val="auto"/>
                <w:spacing w:val="20"/>
                <w:sz w:val="18"/>
                <w:szCs w:val="18"/>
                <w:highlight w:val="none"/>
              </w:rPr>
            </w:pPr>
          </w:p>
          <w:p>
            <w:pPr>
              <w:tabs>
                <w:tab w:val="left" w:pos="1418"/>
              </w:tabs>
              <w:snapToGrid w:val="0"/>
              <w:spacing w:before="50" w:after="50"/>
              <w:jc w:val="center"/>
              <w:rPr>
                <w:rFonts w:ascii="宋体" w:hAnsi="宋体"/>
                <w:color w:val="auto"/>
                <w:spacing w:val="20"/>
                <w:sz w:val="18"/>
                <w:szCs w:val="18"/>
                <w:highlight w:val="none"/>
              </w:rPr>
            </w:pPr>
          </w:p>
          <w:p>
            <w:pPr>
              <w:tabs>
                <w:tab w:val="left" w:pos="1418"/>
              </w:tabs>
              <w:snapToGrid w:val="0"/>
              <w:spacing w:before="50" w:after="50"/>
              <w:jc w:val="center"/>
              <w:rPr>
                <w:rFonts w:ascii="宋体" w:hAnsi="宋体"/>
                <w:color w:val="auto"/>
                <w:spacing w:val="20"/>
                <w:sz w:val="18"/>
                <w:szCs w:val="18"/>
                <w:highlight w:val="none"/>
              </w:rPr>
            </w:pPr>
          </w:p>
          <w:p>
            <w:pPr>
              <w:tabs>
                <w:tab w:val="left" w:pos="1418"/>
              </w:tabs>
              <w:snapToGrid w:val="0"/>
              <w:spacing w:before="50" w:after="50"/>
              <w:jc w:val="center"/>
              <w:rPr>
                <w:rFonts w:ascii="宋体" w:hAnsi="宋体"/>
                <w:color w:val="auto"/>
                <w:spacing w:val="20"/>
                <w:sz w:val="18"/>
                <w:szCs w:val="18"/>
                <w:highlight w:val="none"/>
              </w:rPr>
            </w:pPr>
          </w:p>
          <w:p>
            <w:pPr>
              <w:tabs>
                <w:tab w:val="left" w:pos="1418"/>
              </w:tabs>
              <w:snapToGrid w:val="0"/>
              <w:spacing w:before="50" w:after="50"/>
              <w:jc w:val="center"/>
              <w:rPr>
                <w:rFonts w:ascii="宋体" w:hAnsi="宋体"/>
                <w:color w:val="auto"/>
                <w:spacing w:val="20"/>
                <w:sz w:val="24"/>
                <w:szCs w:val="20"/>
                <w:highlight w:val="none"/>
              </w:rPr>
            </w:pPr>
            <w:r>
              <w:rPr>
                <w:rFonts w:hint="eastAsia" w:ascii="宋体" w:hAnsi="宋体"/>
                <w:color w:val="auto"/>
                <w:spacing w:val="20"/>
                <w:sz w:val="18"/>
                <w:szCs w:val="18"/>
                <w:highlight w:val="none"/>
              </w:rPr>
              <w:t>统一按折合每克饮片报价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97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highlight w:val="none"/>
              </w:rPr>
            </w:pPr>
            <w:r>
              <w:rPr>
                <w:rFonts w:hint="eastAsia" w:ascii="宋体" w:hAnsi="宋体"/>
                <w:color w:val="auto"/>
                <w:spacing w:val="20"/>
                <w:highlight w:val="none"/>
              </w:rPr>
              <w:t>1</w:t>
            </w:r>
          </w:p>
        </w:tc>
        <w:tc>
          <w:tcPr>
            <w:tcW w:w="25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highlight w:val="none"/>
              </w:rPr>
            </w:pPr>
          </w:p>
        </w:tc>
        <w:tc>
          <w:tcPr>
            <w:tcW w:w="300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3715" w:type="dxa"/>
            <w:vMerge w:val="continue"/>
            <w:tcBorders>
              <w:left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97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highlight w:val="none"/>
              </w:rPr>
            </w:pPr>
            <w:r>
              <w:rPr>
                <w:rFonts w:hint="eastAsia" w:ascii="宋体" w:hAnsi="宋体"/>
                <w:color w:val="auto"/>
                <w:spacing w:val="20"/>
                <w:highlight w:val="none"/>
              </w:rPr>
              <w:t>2</w:t>
            </w:r>
          </w:p>
        </w:tc>
        <w:tc>
          <w:tcPr>
            <w:tcW w:w="25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highlight w:val="none"/>
              </w:rPr>
            </w:pPr>
          </w:p>
        </w:tc>
        <w:tc>
          <w:tcPr>
            <w:tcW w:w="300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3715" w:type="dxa"/>
            <w:vMerge w:val="continue"/>
            <w:tcBorders>
              <w:left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97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r>
              <w:rPr>
                <w:rFonts w:hint="eastAsia" w:ascii="宋体" w:hAnsi="宋体"/>
                <w:color w:val="auto"/>
                <w:spacing w:val="20"/>
                <w:highlight w:val="none"/>
              </w:rPr>
              <w:t>…</w:t>
            </w:r>
          </w:p>
        </w:tc>
        <w:tc>
          <w:tcPr>
            <w:tcW w:w="25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highlight w:val="none"/>
              </w:rPr>
            </w:pPr>
          </w:p>
        </w:tc>
        <w:tc>
          <w:tcPr>
            <w:tcW w:w="300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3715" w:type="dxa"/>
            <w:vMerge w:val="continue"/>
            <w:tcBorders>
              <w:left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97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r>
              <w:rPr>
                <w:rFonts w:hint="eastAsia" w:ascii="宋体" w:hAnsi="宋体"/>
                <w:color w:val="auto"/>
                <w:spacing w:val="20"/>
                <w:highlight w:val="none"/>
              </w:rPr>
              <w:t>…</w:t>
            </w:r>
          </w:p>
        </w:tc>
        <w:tc>
          <w:tcPr>
            <w:tcW w:w="25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highlight w:val="none"/>
              </w:rPr>
            </w:pPr>
          </w:p>
        </w:tc>
        <w:tc>
          <w:tcPr>
            <w:tcW w:w="300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3715" w:type="dxa"/>
            <w:vMerge w:val="continue"/>
            <w:tcBorders>
              <w:left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97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highlight w:val="none"/>
              </w:rPr>
            </w:pPr>
            <w:r>
              <w:rPr>
                <w:rFonts w:hint="eastAsia" w:ascii="宋体" w:hAnsi="宋体"/>
                <w:color w:val="auto"/>
                <w:spacing w:val="20"/>
                <w:highlight w:val="none"/>
              </w:rPr>
              <w:t>319</w:t>
            </w:r>
          </w:p>
        </w:tc>
        <w:tc>
          <w:tcPr>
            <w:tcW w:w="25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highlight w:val="none"/>
              </w:rPr>
            </w:pPr>
          </w:p>
        </w:tc>
        <w:tc>
          <w:tcPr>
            <w:tcW w:w="300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3715" w:type="dxa"/>
            <w:vMerge w:val="continue"/>
            <w:tcBorders>
              <w:left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3564"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rPr>
                <w:rFonts w:ascii="宋体" w:hAnsi="宋体"/>
                <w:color w:val="auto"/>
                <w:spacing w:val="20"/>
                <w:highlight w:val="none"/>
              </w:rPr>
            </w:pPr>
            <w:r>
              <w:rPr>
                <w:rFonts w:hint="eastAsia" w:ascii="宋体" w:hAnsi="宋体"/>
                <w:color w:val="auto"/>
                <w:spacing w:val="20"/>
                <w:highlight w:val="none"/>
              </w:rPr>
              <w:t>②投标报价之和</w:t>
            </w:r>
          </w:p>
        </w:tc>
        <w:tc>
          <w:tcPr>
            <w:tcW w:w="300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c>
          <w:tcPr>
            <w:tcW w:w="3715" w:type="dxa"/>
            <w:vMerge w:val="continue"/>
            <w:tcBorders>
              <w:left w:val="single" w:color="auto" w:sz="4" w:space="0"/>
              <w:bottom w:val="single" w:color="auto" w:sz="4" w:space="0"/>
              <w:right w:val="single" w:color="auto" w:sz="4" w:space="0"/>
            </w:tcBorders>
          </w:tcPr>
          <w:p>
            <w:pPr>
              <w:tabs>
                <w:tab w:val="left" w:pos="1418"/>
              </w:tabs>
              <w:snapToGrid w:val="0"/>
              <w:spacing w:before="50" w:after="50"/>
              <w:jc w:val="center"/>
              <w:rPr>
                <w:rFonts w:ascii="宋体" w:hAnsi="宋体"/>
                <w:color w:val="auto"/>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gridSpan w:val="4"/>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ascii="宋体" w:hAnsi="宋体"/>
                <w:color w:val="auto"/>
                <w:spacing w:val="20"/>
                <w:highlight w:val="none"/>
              </w:rPr>
            </w:pPr>
            <w:r>
              <w:rPr>
                <w:rFonts w:hint="eastAsia" w:ascii="宋体" w:hAnsi="宋体"/>
                <w:color w:val="auto"/>
                <w:spacing w:val="20"/>
                <w:highlight w:val="none"/>
              </w:rPr>
              <w:t>本项目计算价格分的投标价：①×0.6+②×0.4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olor w:val="auto"/>
                <w:spacing w:val="20"/>
                <w:highlight w:val="none"/>
              </w:rPr>
            </w:pPr>
            <w:r>
              <w:rPr>
                <w:rFonts w:hint="eastAsia" w:ascii="宋体" w:hAnsi="宋体"/>
                <w:color w:val="auto"/>
                <w:spacing w:val="20"/>
                <w:highlight w:val="none"/>
              </w:rPr>
              <w:t>投标报价要求及说明：</w:t>
            </w:r>
          </w:p>
          <w:p>
            <w:pPr>
              <w:adjustRightInd w:val="0"/>
              <w:snapToGrid w:val="0"/>
              <w:rPr>
                <w:color w:val="auto"/>
                <w:highlight w:val="none"/>
              </w:rPr>
            </w:pPr>
            <w:r>
              <w:rPr>
                <w:rFonts w:hint="eastAsia"/>
                <w:color w:val="auto"/>
                <w:highlight w:val="none"/>
              </w:rPr>
              <w:t>1、统一按折合每克饮片报价。投标报价必须包含一切相关费用（如包装费、检测费、运费等）。</w:t>
            </w:r>
          </w:p>
          <w:p>
            <w:pPr>
              <w:adjustRightInd w:val="0"/>
              <w:snapToGrid w:val="0"/>
              <w:rPr>
                <w:rFonts w:ascii="宋体" w:hAnsi="宋体" w:cs="宋体"/>
                <w:color w:val="auto"/>
                <w:szCs w:val="21"/>
                <w:highlight w:val="none"/>
              </w:rPr>
            </w:pPr>
            <w:r>
              <w:rPr>
                <w:rFonts w:hint="eastAsia"/>
                <w:color w:val="auto"/>
                <w:highlight w:val="none"/>
              </w:rPr>
              <w:t>2、100种常用</w:t>
            </w:r>
            <w:r>
              <w:rPr>
                <w:rFonts w:hint="eastAsia" w:ascii="宋体" w:hAnsi="宋体" w:cs="宋体"/>
                <w:color w:val="auto"/>
                <w:szCs w:val="21"/>
                <w:highlight w:val="none"/>
              </w:rPr>
              <w:t>中药颗粒品种合计报价采购限价为≤27.187元，超出投标报价无效。</w:t>
            </w:r>
          </w:p>
          <w:p>
            <w:pPr>
              <w:adjustRightInd w:val="0"/>
              <w:snapToGrid w:val="0"/>
              <w:rPr>
                <w:color w:val="auto"/>
                <w:highlight w:val="none"/>
              </w:rPr>
            </w:pPr>
            <w:r>
              <w:rPr>
                <w:rFonts w:hint="eastAsia"/>
                <w:color w:val="auto"/>
                <w:highlight w:val="none"/>
              </w:rPr>
              <w:t>3、</w:t>
            </w:r>
            <w:r>
              <w:rPr>
                <w:rFonts w:hint="eastAsia" w:ascii="宋体" w:hAnsi="宋体" w:cs="宋体"/>
                <w:color w:val="auto"/>
                <w:szCs w:val="21"/>
                <w:highlight w:val="none"/>
              </w:rPr>
              <w:t>319种中药颗粒品种合计报价采购限价为≤86.633元，超出投标报价无效。</w:t>
            </w:r>
          </w:p>
          <w:p>
            <w:pPr>
              <w:snapToGrid w:val="0"/>
              <w:spacing w:before="50" w:after="50"/>
              <w:rPr>
                <w:rFonts w:ascii="宋体" w:hAnsi="宋体" w:cs="宋体"/>
                <w:color w:val="auto"/>
                <w:szCs w:val="21"/>
                <w:highlight w:val="none"/>
              </w:rPr>
            </w:pPr>
            <w:r>
              <w:rPr>
                <w:rFonts w:hint="eastAsia" w:ascii="宋体" w:hAnsi="宋体" w:cs="宋体"/>
                <w:color w:val="auto"/>
                <w:szCs w:val="21"/>
                <w:highlight w:val="none"/>
              </w:rPr>
              <w:t>4、投标人的报价不得高于广西区内三级甲等医院的供应价格。</w:t>
            </w:r>
          </w:p>
          <w:p>
            <w:pPr>
              <w:snapToGrid w:val="0"/>
              <w:spacing w:before="50" w:after="50"/>
              <w:rPr>
                <w:rFonts w:ascii="宋体" w:hAnsi="宋体"/>
                <w:color w:val="auto"/>
                <w:spacing w:val="20"/>
                <w:highlight w:val="none"/>
              </w:rPr>
            </w:pPr>
            <w:r>
              <w:rPr>
                <w:rFonts w:hint="eastAsia" w:ascii="宋体" w:hAnsi="宋体"/>
                <w:color w:val="auto"/>
                <w:spacing w:val="20"/>
                <w:highlight w:val="none"/>
              </w:rPr>
              <w:t>5、该投标报价为</w:t>
            </w:r>
            <w:r>
              <w:rPr>
                <w:rFonts w:hint="eastAsia"/>
                <w:color w:val="auto"/>
                <w:highlight w:val="none"/>
              </w:rPr>
              <w:t>按折合每克饮片的报价，供货时，中标供应商按其</w:t>
            </w:r>
            <w:r>
              <w:rPr>
                <w:rFonts w:hint="eastAsia" w:hAnsi="宋体"/>
                <w:color w:val="auto"/>
                <w:szCs w:val="21"/>
                <w:highlight w:val="none"/>
              </w:rPr>
              <w:t>中药颗粒剂配方品种</w:t>
            </w:r>
            <w:r>
              <w:rPr>
                <w:rFonts w:hint="eastAsia"/>
                <w:color w:val="auto"/>
                <w:highlight w:val="none"/>
              </w:rPr>
              <w:t>的投标价供货及计算供货金额。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gridSpan w:val="4"/>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left"/>
              <w:rPr>
                <w:rFonts w:ascii="宋体" w:hAnsi="宋体"/>
                <w:color w:val="auto"/>
                <w:highlight w:val="none"/>
              </w:rPr>
            </w:pPr>
            <w:r>
              <w:rPr>
                <w:rFonts w:hint="eastAsia" w:ascii="宋体" w:hAnsi="宋体"/>
                <w:color w:val="auto"/>
                <w:szCs w:val="21"/>
                <w:highlight w:val="none"/>
              </w:rPr>
              <w:t>服务期限：</w:t>
            </w:r>
            <w:r>
              <w:rPr>
                <w:rFonts w:hint="eastAsia"/>
                <w:color w:val="auto"/>
                <w:highlight w:val="none"/>
              </w:rPr>
              <w:t>从签订合同之日起服务三年。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gridSpan w:val="4"/>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left"/>
              <w:rPr>
                <w:rFonts w:ascii="宋体" w:hAnsi="宋体"/>
                <w:color w:val="auto"/>
                <w:highlight w:val="none"/>
              </w:rPr>
            </w:pPr>
            <w:r>
              <w:rPr>
                <w:rFonts w:hint="eastAsia" w:ascii="宋体" w:hAnsi="宋体" w:cs="宋体"/>
                <w:color w:val="auto"/>
                <w:kern w:val="0"/>
                <w:szCs w:val="21"/>
                <w:highlight w:val="none"/>
                <w:shd w:val="clear" w:color="auto" w:fill="FFFFFF"/>
              </w:rPr>
              <w:t>服务地点：</w:t>
            </w:r>
            <w:r>
              <w:rPr>
                <w:rFonts w:hint="eastAsia"/>
                <w:color w:val="auto"/>
                <w:highlight w:val="none"/>
              </w:rPr>
              <w:t>采购单位指定地点。</w:t>
            </w:r>
          </w:p>
        </w:tc>
      </w:tr>
    </w:tbl>
    <w:p>
      <w:pPr>
        <w:snapToGrid w:val="0"/>
        <w:spacing w:before="50" w:after="50" w:line="360" w:lineRule="exact"/>
        <w:jc w:val="left"/>
        <w:rPr>
          <w:rFonts w:ascii="宋体" w:hAnsi="宋体"/>
          <w:color w:val="auto"/>
          <w:szCs w:val="21"/>
          <w:highlight w:val="none"/>
        </w:rPr>
      </w:pPr>
      <w:r>
        <w:rPr>
          <w:rFonts w:hint="eastAsia" w:ascii="宋体" w:hAnsi="宋体"/>
          <w:color w:val="auto"/>
          <w:szCs w:val="21"/>
          <w:highlight w:val="none"/>
        </w:rPr>
        <w:t>注: 1、报价一经涂改，应在涂改处加盖单位公章或者由法定代表人或授权委托人签字，否则其投标作无效标处理。</w:t>
      </w:r>
    </w:p>
    <w:p>
      <w:pPr>
        <w:snapToGrid w:val="0"/>
        <w:spacing w:before="50" w:after="50"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2、投标费用包括项目实施所需的人工费、运输费、安装调试费、购买标书费用、制作投标文件费、税费及其他一切费用。</w:t>
      </w:r>
    </w:p>
    <w:p>
      <w:pPr>
        <w:snapToGrid w:val="0"/>
        <w:spacing w:before="50" w:after="50"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3、以上报价应与“</w:t>
      </w:r>
      <w:r>
        <w:rPr>
          <w:rFonts w:hint="eastAsia" w:ascii="宋体" w:hAnsi="宋体"/>
          <w:b/>
          <w:color w:val="auto"/>
          <w:szCs w:val="21"/>
          <w:highlight w:val="none"/>
        </w:rPr>
        <w:t>投标报价明细表</w:t>
      </w:r>
      <w:r>
        <w:rPr>
          <w:rFonts w:hint="eastAsia" w:ascii="宋体" w:hAnsi="宋体"/>
          <w:color w:val="auto"/>
          <w:szCs w:val="21"/>
          <w:highlight w:val="none"/>
        </w:rPr>
        <w:t>”中的“投标总价”相一致。</w:t>
      </w:r>
    </w:p>
    <w:p>
      <w:pPr>
        <w:snapToGrid w:val="0"/>
        <w:spacing w:before="50" w:after="50" w:line="360" w:lineRule="exact"/>
        <w:ind w:firstLine="420" w:firstLineChars="200"/>
        <w:rPr>
          <w:rFonts w:ascii="宋体" w:hAnsi="宋体"/>
          <w:color w:val="auto"/>
          <w:szCs w:val="21"/>
          <w:highlight w:val="none"/>
        </w:rPr>
      </w:pPr>
      <w:r>
        <w:rPr>
          <w:rFonts w:hint="eastAsia" w:ascii="宋体" w:hAnsi="宋体"/>
          <w:color w:val="auto"/>
          <w:szCs w:val="21"/>
          <w:highlight w:val="none"/>
        </w:rPr>
        <w:t>4、此表要求单独包装、密封、递交，信封封面请注明采购项目名称、采购项目编号、所投所有分标号、投标人名称及“开标一览表”字样。注明“开标时才能启封”。</w:t>
      </w:r>
    </w:p>
    <w:p>
      <w:pPr>
        <w:snapToGrid w:val="0"/>
        <w:spacing w:before="50" w:after="50" w:line="360" w:lineRule="exact"/>
        <w:ind w:left="-2" w:leftChars="-1" w:right="-817" w:rightChars="-389" w:firstLine="420" w:firstLineChars="200"/>
        <w:rPr>
          <w:rFonts w:ascii="宋体" w:hAnsi="宋体"/>
          <w:color w:val="auto"/>
          <w:szCs w:val="21"/>
          <w:highlight w:val="none"/>
        </w:rPr>
      </w:pPr>
      <w:r>
        <w:rPr>
          <w:rFonts w:hint="eastAsia" w:ascii="宋体" w:hAnsi="宋体"/>
          <w:color w:val="auto"/>
          <w:szCs w:val="21"/>
          <w:highlight w:val="none"/>
        </w:rPr>
        <w:t xml:space="preserve">法定代表人或委托代理人签字：                    </w:t>
      </w:r>
    </w:p>
    <w:p>
      <w:pPr>
        <w:snapToGrid w:val="0"/>
        <w:spacing w:before="50" w:after="50" w:line="360" w:lineRule="exact"/>
        <w:ind w:right="-817" w:rightChars="-389" w:firstLine="420" w:firstLineChars="200"/>
        <w:rPr>
          <w:rFonts w:ascii="宋体" w:hAnsi="宋体"/>
          <w:color w:val="auto"/>
          <w:szCs w:val="21"/>
          <w:highlight w:val="none"/>
        </w:rPr>
      </w:pPr>
      <w:r>
        <w:rPr>
          <w:rFonts w:hint="eastAsia" w:ascii="宋体" w:hAnsi="宋体"/>
          <w:color w:val="auto"/>
          <w:szCs w:val="21"/>
          <w:highlight w:val="none"/>
        </w:rPr>
        <w:t xml:space="preserve">投标人名称（盖章）：                               </w:t>
      </w:r>
    </w:p>
    <w:p>
      <w:pPr>
        <w:snapToGrid w:val="0"/>
        <w:spacing w:before="50" w:after="50" w:line="360" w:lineRule="exact"/>
        <w:ind w:right="-817" w:rightChars="-389" w:firstLine="7140" w:firstLineChars="3400"/>
        <w:rPr>
          <w:rFonts w:ascii="宋体" w:hAnsi="宋体"/>
          <w:color w:val="auto"/>
          <w:szCs w:val="21"/>
          <w:highlight w:val="none"/>
        </w:rPr>
      </w:pPr>
    </w:p>
    <w:p>
      <w:pPr>
        <w:snapToGrid w:val="0"/>
        <w:spacing w:before="50" w:after="50" w:line="360" w:lineRule="exact"/>
        <w:ind w:right="-817" w:rightChars="-389" w:firstLine="7140" w:firstLineChars="3400"/>
        <w:jc w:val="left"/>
        <w:rPr>
          <w:color w:val="auto"/>
          <w:highlight w:val="none"/>
        </w:rPr>
      </w:pPr>
      <w:r>
        <w:rPr>
          <w:rFonts w:hint="eastAsia" w:ascii="宋体" w:hAnsi="宋体"/>
          <w:color w:val="auto"/>
          <w:szCs w:val="21"/>
          <w:highlight w:val="none"/>
        </w:rPr>
        <w:t>日期：    年   月   日</w:t>
      </w:r>
    </w:p>
    <w:p>
      <w:pPr>
        <w:snapToGrid w:val="0"/>
        <w:spacing w:before="50" w:after="50" w:line="360" w:lineRule="exact"/>
        <w:jc w:val="center"/>
        <w:rPr>
          <w:color w:val="auto"/>
          <w:highlight w:val="none"/>
        </w:rPr>
      </w:pPr>
    </w:p>
    <w:p>
      <w:pPr>
        <w:rPr>
          <w:color w:val="auto"/>
          <w:highlight w:val="none"/>
        </w:rPr>
      </w:pPr>
    </w:p>
    <w:p>
      <w:pPr>
        <w:snapToGrid w:val="0"/>
        <w:spacing w:before="50" w:after="50" w:line="360" w:lineRule="exact"/>
        <w:rPr>
          <w:color w:val="auto"/>
          <w:highlight w:val="none"/>
        </w:rPr>
      </w:pPr>
    </w:p>
    <w:p>
      <w:pPr>
        <w:rPr>
          <w:color w:val="auto"/>
          <w:highlight w:val="none"/>
        </w:rPr>
      </w:pPr>
    </w:p>
    <w:sectPr>
      <w:headerReference r:id="rId4" w:type="first"/>
      <w:footerReference r:id="rId7" w:type="first"/>
      <w:headerReference r:id="rId3" w:type="default"/>
      <w:footerReference r:id="rId5" w:type="default"/>
      <w:footerReference r:id="rId6" w:type="even"/>
      <w:pgSz w:w="11906" w:h="16838"/>
      <w:pgMar w:top="1134" w:right="707" w:bottom="1134" w:left="1134"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华文宋体">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创艺简黑体">
    <w:altName w:val="黑体"/>
    <w:panose1 w:val="00000000000000000000"/>
    <w:charset w:val="86"/>
    <w:family w:val="auto"/>
    <w:pitch w:val="default"/>
    <w:sig w:usb0="00000000" w:usb1="00000000" w:usb2="00000000"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3"/>
      </w:rPr>
    </w:pPr>
    <w:r>
      <w:fldChar w:fldCharType="begin"/>
    </w:r>
    <w:r>
      <w:rPr>
        <w:rStyle w:val="53"/>
      </w:rPr>
      <w:instrText xml:space="preserve">PAGE  </w:instrText>
    </w:r>
    <w:r>
      <w:fldChar w:fldCharType="separate"/>
    </w:r>
    <w:r>
      <w:rPr>
        <w:rStyle w:val="53"/>
      </w:rPr>
      <w:t>24</w:t>
    </w:r>
    <w:r>
      <w:fldChar w:fldCharType="end"/>
    </w: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3"/>
      </w:rPr>
    </w:pPr>
    <w:r>
      <w:fldChar w:fldCharType="begin"/>
    </w:r>
    <w:r>
      <w:rPr>
        <w:rStyle w:val="53"/>
      </w:rPr>
      <w:instrText xml:space="preserve">PAGE  </w:instrText>
    </w:r>
    <w:r>
      <w:fldChar w:fldCharType="end"/>
    </w:r>
  </w:p>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360"/>
      <w:jc w:val="both"/>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wordWrap w:val="0"/>
      <w:spacing w:after="120"/>
      <w:jc w:val="right"/>
      <w:rPr>
        <w:highlight w:val="none"/>
      </w:rPr>
    </w:pPr>
    <w:r>
      <w:rPr>
        <w:rFonts w:hint="eastAsia"/>
        <w:highlight w:val="none"/>
      </w:rPr>
      <w:t>中药配方颗粒配送服务采购（</w:t>
    </w:r>
    <w:r>
      <w:rPr>
        <w:highlight w:val="none"/>
      </w:rPr>
      <w:t>GXZC20</w:t>
    </w:r>
    <w:r>
      <w:rPr>
        <w:rFonts w:hint="eastAsia"/>
        <w:highlight w:val="none"/>
      </w:rPr>
      <w:t>20</w:t>
    </w:r>
    <w:r>
      <w:rPr>
        <w:highlight w:val="none"/>
      </w:rPr>
      <w:t>-G3-</w:t>
    </w:r>
    <w:r>
      <w:rPr>
        <w:rFonts w:hint="eastAsia"/>
        <w:highlight w:val="none"/>
      </w:rPr>
      <w:t>001624</w:t>
    </w:r>
    <w:r>
      <w:rPr>
        <w:highlight w:val="none"/>
      </w:rPr>
      <w:t>-GDZB</w:t>
    </w:r>
    <w:r>
      <w:rPr>
        <w:rFonts w:hint="eastAsia"/>
        <w:highlight w:val="none"/>
      </w:rPr>
      <w:t>）</w:t>
    </w:r>
  </w:p>
  <w:p>
    <w:pPr>
      <w:jc w:val="right"/>
      <w:rPr>
        <w:rFonts w:ascii="宋体" w:hAnsi="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526EF26"/>
    <w:multiLevelType w:val="singleLevel"/>
    <w:tmpl w:val="1526EF26"/>
    <w:lvl w:ilvl="0" w:tentative="0">
      <w:start w:val="1"/>
      <w:numFmt w:val="decimal"/>
      <w:suff w:val="nothing"/>
      <w:lvlText w:val="（%1）"/>
      <w:lvlJc w:val="left"/>
      <w:rPr>
        <w:rFonts w:cs="Times New Roman"/>
      </w:rPr>
    </w:lvl>
  </w:abstractNum>
  <w:abstractNum w:abstractNumId="2">
    <w:nsid w:val="7DCE612B"/>
    <w:multiLevelType w:val="singleLevel"/>
    <w:tmpl w:val="7DCE612B"/>
    <w:lvl w:ilvl="0" w:tentative="0">
      <w:start w:val="1"/>
      <w:numFmt w:val="decimal"/>
      <w:suff w:val="nothing"/>
      <w:lvlText w:val="（%1）"/>
      <w:lvlJc w:val="left"/>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国铨">
    <w15:presenceInfo w15:providerId="None" w15:userId="张国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22C74"/>
    <w:rsid w:val="00004B31"/>
    <w:rsid w:val="0001263D"/>
    <w:rsid w:val="00016376"/>
    <w:rsid w:val="000209CB"/>
    <w:rsid w:val="000231B7"/>
    <w:rsid w:val="00026C86"/>
    <w:rsid w:val="00033E79"/>
    <w:rsid w:val="0003551B"/>
    <w:rsid w:val="000468D3"/>
    <w:rsid w:val="00055637"/>
    <w:rsid w:val="00056A15"/>
    <w:rsid w:val="00060129"/>
    <w:rsid w:val="00062499"/>
    <w:rsid w:val="00064944"/>
    <w:rsid w:val="00064A0A"/>
    <w:rsid w:val="00067A55"/>
    <w:rsid w:val="00070B42"/>
    <w:rsid w:val="000809C5"/>
    <w:rsid w:val="000966A2"/>
    <w:rsid w:val="00096BA2"/>
    <w:rsid w:val="0009745E"/>
    <w:rsid w:val="000A3F35"/>
    <w:rsid w:val="000B13FD"/>
    <w:rsid w:val="000B1CDA"/>
    <w:rsid w:val="000C033E"/>
    <w:rsid w:val="000C21A0"/>
    <w:rsid w:val="000C47C2"/>
    <w:rsid w:val="000C4D3E"/>
    <w:rsid w:val="000C57F0"/>
    <w:rsid w:val="000C7F24"/>
    <w:rsid w:val="000D5D3D"/>
    <w:rsid w:val="000E7983"/>
    <w:rsid w:val="000F2D4B"/>
    <w:rsid w:val="00107E09"/>
    <w:rsid w:val="00113D8F"/>
    <w:rsid w:val="00117AB9"/>
    <w:rsid w:val="00127A83"/>
    <w:rsid w:val="00134754"/>
    <w:rsid w:val="001471D7"/>
    <w:rsid w:val="001475C0"/>
    <w:rsid w:val="00147B41"/>
    <w:rsid w:val="00152B42"/>
    <w:rsid w:val="00153A6A"/>
    <w:rsid w:val="00161F5E"/>
    <w:rsid w:val="0016201B"/>
    <w:rsid w:val="00163AAE"/>
    <w:rsid w:val="00164BB7"/>
    <w:rsid w:val="00164F78"/>
    <w:rsid w:val="00181908"/>
    <w:rsid w:val="00196741"/>
    <w:rsid w:val="001A1993"/>
    <w:rsid w:val="001A696E"/>
    <w:rsid w:val="001F2F23"/>
    <w:rsid w:val="001F4EE8"/>
    <w:rsid w:val="001F587F"/>
    <w:rsid w:val="00202482"/>
    <w:rsid w:val="002132D3"/>
    <w:rsid w:val="00222846"/>
    <w:rsid w:val="00222A26"/>
    <w:rsid w:val="002231E6"/>
    <w:rsid w:val="002244C5"/>
    <w:rsid w:val="00226C66"/>
    <w:rsid w:val="0023418A"/>
    <w:rsid w:val="00263455"/>
    <w:rsid w:val="00265C81"/>
    <w:rsid w:val="00277FD0"/>
    <w:rsid w:val="002859B7"/>
    <w:rsid w:val="00287EAF"/>
    <w:rsid w:val="002B4056"/>
    <w:rsid w:val="002C7F7F"/>
    <w:rsid w:val="002D1637"/>
    <w:rsid w:val="002F4439"/>
    <w:rsid w:val="002F4B82"/>
    <w:rsid w:val="00302CA7"/>
    <w:rsid w:val="003042F6"/>
    <w:rsid w:val="00307890"/>
    <w:rsid w:val="00310409"/>
    <w:rsid w:val="003145D0"/>
    <w:rsid w:val="00324564"/>
    <w:rsid w:val="00331CF0"/>
    <w:rsid w:val="00342DF8"/>
    <w:rsid w:val="0035789B"/>
    <w:rsid w:val="003638D8"/>
    <w:rsid w:val="00365F64"/>
    <w:rsid w:val="003663F9"/>
    <w:rsid w:val="00375E92"/>
    <w:rsid w:val="003761F2"/>
    <w:rsid w:val="00383052"/>
    <w:rsid w:val="00390143"/>
    <w:rsid w:val="003975D2"/>
    <w:rsid w:val="003B30C6"/>
    <w:rsid w:val="003B3BAA"/>
    <w:rsid w:val="003B65B8"/>
    <w:rsid w:val="003E0E25"/>
    <w:rsid w:val="003E0FC3"/>
    <w:rsid w:val="003E20B1"/>
    <w:rsid w:val="003E48F2"/>
    <w:rsid w:val="003F6249"/>
    <w:rsid w:val="003F670E"/>
    <w:rsid w:val="004106C4"/>
    <w:rsid w:val="00415F7C"/>
    <w:rsid w:val="004166C0"/>
    <w:rsid w:val="00422D42"/>
    <w:rsid w:val="004327D1"/>
    <w:rsid w:val="0043484D"/>
    <w:rsid w:val="0043674B"/>
    <w:rsid w:val="00442F7E"/>
    <w:rsid w:val="00454366"/>
    <w:rsid w:val="00463105"/>
    <w:rsid w:val="00465003"/>
    <w:rsid w:val="004679A2"/>
    <w:rsid w:val="004918E0"/>
    <w:rsid w:val="00495872"/>
    <w:rsid w:val="004972AD"/>
    <w:rsid w:val="004B062E"/>
    <w:rsid w:val="004B0A3B"/>
    <w:rsid w:val="004B1BD0"/>
    <w:rsid w:val="004B3F50"/>
    <w:rsid w:val="004B5117"/>
    <w:rsid w:val="004D3390"/>
    <w:rsid w:val="004D3C20"/>
    <w:rsid w:val="004D4EDE"/>
    <w:rsid w:val="004D56C5"/>
    <w:rsid w:val="004D73A5"/>
    <w:rsid w:val="004E4E70"/>
    <w:rsid w:val="004F0C11"/>
    <w:rsid w:val="004F416E"/>
    <w:rsid w:val="00501779"/>
    <w:rsid w:val="00512612"/>
    <w:rsid w:val="00517D81"/>
    <w:rsid w:val="00522EDB"/>
    <w:rsid w:val="0052387C"/>
    <w:rsid w:val="00526439"/>
    <w:rsid w:val="005309BE"/>
    <w:rsid w:val="00532AD9"/>
    <w:rsid w:val="00536C56"/>
    <w:rsid w:val="0054493E"/>
    <w:rsid w:val="00545620"/>
    <w:rsid w:val="005505D0"/>
    <w:rsid w:val="0055344A"/>
    <w:rsid w:val="00553B25"/>
    <w:rsid w:val="00553D96"/>
    <w:rsid w:val="00553EAE"/>
    <w:rsid w:val="005560E8"/>
    <w:rsid w:val="00565CA7"/>
    <w:rsid w:val="00566252"/>
    <w:rsid w:val="00585FA1"/>
    <w:rsid w:val="005876C3"/>
    <w:rsid w:val="005A7E77"/>
    <w:rsid w:val="005B35F0"/>
    <w:rsid w:val="005C47DC"/>
    <w:rsid w:val="005D0BD3"/>
    <w:rsid w:val="005D34A3"/>
    <w:rsid w:val="005D4A15"/>
    <w:rsid w:val="005E2B58"/>
    <w:rsid w:val="005E4B65"/>
    <w:rsid w:val="005F499F"/>
    <w:rsid w:val="006000A1"/>
    <w:rsid w:val="00603270"/>
    <w:rsid w:val="00620AE6"/>
    <w:rsid w:val="0062442C"/>
    <w:rsid w:val="00633597"/>
    <w:rsid w:val="0063683A"/>
    <w:rsid w:val="0063741E"/>
    <w:rsid w:val="0064100D"/>
    <w:rsid w:val="00650B0A"/>
    <w:rsid w:val="006537C6"/>
    <w:rsid w:val="006537E4"/>
    <w:rsid w:val="00653BB5"/>
    <w:rsid w:val="006673AC"/>
    <w:rsid w:val="00673CBB"/>
    <w:rsid w:val="006762A9"/>
    <w:rsid w:val="00682499"/>
    <w:rsid w:val="006828FB"/>
    <w:rsid w:val="00685A95"/>
    <w:rsid w:val="0069675D"/>
    <w:rsid w:val="00697404"/>
    <w:rsid w:val="006A756E"/>
    <w:rsid w:val="006A7F05"/>
    <w:rsid w:val="006B39BA"/>
    <w:rsid w:val="006C6A81"/>
    <w:rsid w:val="006D2870"/>
    <w:rsid w:val="006D2EDF"/>
    <w:rsid w:val="006E09C9"/>
    <w:rsid w:val="006E3ED4"/>
    <w:rsid w:val="006F0559"/>
    <w:rsid w:val="006F216A"/>
    <w:rsid w:val="006F2D59"/>
    <w:rsid w:val="00700006"/>
    <w:rsid w:val="00701A7F"/>
    <w:rsid w:val="00704D99"/>
    <w:rsid w:val="007134A1"/>
    <w:rsid w:val="0073199C"/>
    <w:rsid w:val="00747E36"/>
    <w:rsid w:val="007609DC"/>
    <w:rsid w:val="00772E0A"/>
    <w:rsid w:val="0078015B"/>
    <w:rsid w:val="00780CE5"/>
    <w:rsid w:val="00782794"/>
    <w:rsid w:val="007900FB"/>
    <w:rsid w:val="00793C1C"/>
    <w:rsid w:val="007963FA"/>
    <w:rsid w:val="007A43E3"/>
    <w:rsid w:val="007A49D9"/>
    <w:rsid w:val="007B610E"/>
    <w:rsid w:val="007C2AC2"/>
    <w:rsid w:val="007C6C32"/>
    <w:rsid w:val="007D1CDB"/>
    <w:rsid w:val="007D5162"/>
    <w:rsid w:val="007D5386"/>
    <w:rsid w:val="007D5E73"/>
    <w:rsid w:val="007F500C"/>
    <w:rsid w:val="007F532A"/>
    <w:rsid w:val="00805285"/>
    <w:rsid w:val="00806E50"/>
    <w:rsid w:val="008112FB"/>
    <w:rsid w:val="00816B4F"/>
    <w:rsid w:val="008177FB"/>
    <w:rsid w:val="00831AD3"/>
    <w:rsid w:val="00835429"/>
    <w:rsid w:val="00836A04"/>
    <w:rsid w:val="008371D6"/>
    <w:rsid w:val="008376EF"/>
    <w:rsid w:val="008434C7"/>
    <w:rsid w:val="00847D2B"/>
    <w:rsid w:val="00854828"/>
    <w:rsid w:val="00855D3B"/>
    <w:rsid w:val="0085699D"/>
    <w:rsid w:val="00862120"/>
    <w:rsid w:val="008628B9"/>
    <w:rsid w:val="00862A20"/>
    <w:rsid w:val="00864F08"/>
    <w:rsid w:val="0087017F"/>
    <w:rsid w:val="00882B1A"/>
    <w:rsid w:val="00883075"/>
    <w:rsid w:val="00887FA2"/>
    <w:rsid w:val="0089096A"/>
    <w:rsid w:val="008940A6"/>
    <w:rsid w:val="008A6168"/>
    <w:rsid w:val="008A70CC"/>
    <w:rsid w:val="008B217D"/>
    <w:rsid w:val="008B4E6B"/>
    <w:rsid w:val="008B6FF7"/>
    <w:rsid w:val="008C24F3"/>
    <w:rsid w:val="008D0795"/>
    <w:rsid w:val="008E52D0"/>
    <w:rsid w:val="008F32F1"/>
    <w:rsid w:val="008F33E3"/>
    <w:rsid w:val="00907558"/>
    <w:rsid w:val="009149BD"/>
    <w:rsid w:val="00920D9E"/>
    <w:rsid w:val="009220ED"/>
    <w:rsid w:val="00926A59"/>
    <w:rsid w:val="00932C16"/>
    <w:rsid w:val="009331D3"/>
    <w:rsid w:val="009373F4"/>
    <w:rsid w:val="00940C00"/>
    <w:rsid w:val="00952ED8"/>
    <w:rsid w:val="00955861"/>
    <w:rsid w:val="00964B4E"/>
    <w:rsid w:val="00967EBB"/>
    <w:rsid w:val="009744CD"/>
    <w:rsid w:val="00995E95"/>
    <w:rsid w:val="009A058B"/>
    <w:rsid w:val="009B4470"/>
    <w:rsid w:val="009B4CF2"/>
    <w:rsid w:val="009C0D0A"/>
    <w:rsid w:val="009D029B"/>
    <w:rsid w:val="00A01C1D"/>
    <w:rsid w:val="00A11C89"/>
    <w:rsid w:val="00A22978"/>
    <w:rsid w:val="00A22C74"/>
    <w:rsid w:val="00A3640F"/>
    <w:rsid w:val="00A45CAC"/>
    <w:rsid w:val="00A522FE"/>
    <w:rsid w:val="00A54BD5"/>
    <w:rsid w:val="00A57157"/>
    <w:rsid w:val="00A82321"/>
    <w:rsid w:val="00A83A28"/>
    <w:rsid w:val="00A879A4"/>
    <w:rsid w:val="00A93170"/>
    <w:rsid w:val="00A9699D"/>
    <w:rsid w:val="00AA26EF"/>
    <w:rsid w:val="00AB03C8"/>
    <w:rsid w:val="00AB0830"/>
    <w:rsid w:val="00AB279C"/>
    <w:rsid w:val="00AB4B2B"/>
    <w:rsid w:val="00AB5E6D"/>
    <w:rsid w:val="00AC347A"/>
    <w:rsid w:val="00AE086B"/>
    <w:rsid w:val="00AF270F"/>
    <w:rsid w:val="00AF2724"/>
    <w:rsid w:val="00AF3359"/>
    <w:rsid w:val="00AF5117"/>
    <w:rsid w:val="00B1135F"/>
    <w:rsid w:val="00B2397E"/>
    <w:rsid w:val="00B371E2"/>
    <w:rsid w:val="00B60131"/>
    <w:rsid w:val="00B61D0A"/>
    <w:rsid w:val="00B643AD"/>
    <w:rsid w:val="00B661A2"/>
    <w:rsid w:val="00B720D9"/>
    <w:rsid w:val="00B72C2A"/>
    <w:rsid w:val="00B7597C"/>
    <w:rsid w:val="00B761CC"/>
    <w:rsid w:val="00B768B3"/>
    <w:rsid w:val="00B8438B"/>
    <w:rsid w:val="00B8791E"/>
    <w:rsid w:val="00B91837"/>
    <w:rsid w:val="00BA178B"/>
    <w:rsid w:val="00BA7F61"/>
    <w:rsid w:val="00BD1C36"/>
    <w:rsid w:val="00BD641B"/>
    <w:rsid w:val="00BD7D63"/>
    <w:rsid w:val="00BE1247"/>
    <w:rsid w:val="00BE5768"/>
    <w:rsid w:val="00BF33E9"/>
    <w:rsid w:val="00BF6EC2"/>
    <w:rsid w:val="00C04822"/>
    <w:rsid w:val="00C34667"/>
    <w:rsid w:val="00C3593E"/>
    <w:rsid w:val="00C36EF3"/>
    <w:rsid w:val="00C375EF"/>
    <w:rsid w:val="00C4735E"/>
    <w:rsid w:val="00C52040"/>
    <w:rsid w:val="00C67499"/>
    <w:rsid w:val="00C76678"/>
    <w:rsid w:val="00C8502B"/>
    <w:rsid w:val="00C87BE9"/>
    <w:rsid w:val="00CA3EA1"/>
    <w:rsid w:val="00CA5A3D"/>
    <w:rsid w:val="00CB43E7"/>
    <w:rsid w:val="00CD0AFB"/>
    <w:rsid w:val="00CD624B"/>
    <w:rsid w:val="00CE537F"/>
    <w:rsid w:val="00CF16F8"/>
    <w:rsid w:val="00CF2304"/>
    <w:rsid w:val="00D01541"/>
    <w:rsid w:val="00D050EC"/>
    <w:rsid w:val="00D05477"/>
    <w:rsid w:val="00D0573F"/>
    <w:rsid w:val="00D06A6A"/>
    <w:rsid w:val="00D1209B"/>
    <w:rsid w:val="00D133D6"/>
    <w:rsid w:val="00D174CF"/>
    <w:rsid w:val="00D237A7"/>
    <w:rsid w:val="00D30DEA"/>
    <w:rsid w:val="00D370D3"/>
    <w:rsid w:val="00D37110"/>
    <w:rsid w:val="00D3716F"/>
    <w:rsid w:val="00D45C93"/>
    <w:rsid w:val="00D61E89"/>
    <w:rsid w:val="00D67B2B"/>
    <w:rsid w:val="00D71373"/>
    <w:rsid w:val="00D72E91"/>
    <w:rsid w:val="00D73434"/>
    <w:rsid w:val="00D827EC"/>
    <w:rsid w:val="00D9459E"/>
    <w:rsid w:val="00DA4B71"/>
    <w:rsid w:val="00DB35F0"/>
    <w:rsid w:val="00DB509B"/>
    <w:rsid w:val="00DC0FB7"/>
    <w:rsid w:val="00DE2F27"/>
    <w:rsid w:val="00DE758F"/>
    <w:rsid w:val="00DF6322"/>
    <w:rsid w:val="00DF6CFA"/>
    <w:rsid w:val="00DF703C"/>
    <w:rsid w:val="00E0090E"/>
    <w:rsid w:val="00E15AF1"/>
    <w:rsid w:val="00E237CE"/>
    <w:rsid w:val="00E24128"/>
    <w:rsid w:val="00E3263C"/>
    <w:rsid w:val="00E506D1"/>
    <w:rsid w:val="00E65ED7"/>
    <w:rsid w:val="00E75E99"/>
    <w:rsid w:val="00E811F9"/>
    <w:rsid w:val="00E82381"/>
    <w:rsid w:val="00E83463"/>
    <w:rsid w:val="00E85F1E"/>
    <w:rsid w:val="00E92C20"/>
    <w:rsid w:val="00EA1F4F"/>
    <w:rsid w:val="00EA4CCA"/>
    <w:rsid w:val="00EB2918"/>
    <w:rsid w:val="00EC3489"/>
    <w:rsid w:val="00EC5F08"/>
    <w:rsid w:val="00ED3E34"/>
    <w:rsid w:val="00EE2B90"/>
    <w:rsid w:val="00EE6D41"/>
    <w:rsid w:val="00EF0EAA"/>
    <w:rsid w:val="00EF75EE"/>
    <w:rsid w:val="00F03265"/>
    <w:rsid w:val="00F04F9D"/>
    <w:rsid w:val="00F063E4"/>
    <w:rsid w:val="00F23D33"/>
    <w:rsid w:val="00F246AD"/>
    <w:rsid w:val="00F30F9B"/>
    <w:rsid w:val="00F318E6"/>
    <w:rsid w:val="00F31989"/>
    <w:rsid w:val="00F31EFB"/>
    <w:rsid w:val="00F35FE1"/>
    <w:rsid w:val="00F36DE3"/>
    <w:rsid w:val="00F41C6B"/>
    <w:rsid w:val="00F50E34"/>
    <w:rsid w:val="00F52F3A"/>
    <w:rsid w:val="00F537BA"/>
    <w:rsid w:val="00F56D94"/>
    <w:rsid w:val="00F57D04"/>
    <w:rsid w:val="00F61DFC"/>
    <w:rsid w:val="00F74440"/>
    <w:rsid w:val="00F7573A"/>
    <w:rsid w:val="00F84515"/>
    <w:rsid w:val="00F84827"/>
    <w:rsid w:val="00F87D5F"/>
    <w:rsid w:val="00F9200D"/>
    <w:rsid w:val="00FA14BD"/>
    <w:rsid w:val="00FA1668"/>
    <w:rsid w:val="00FA40A9"/>
    <w:rsid w:val="00FA564B"/>
    <w:rsid w:val="00FB1288"/>
    <w:rsid w:val="00FC1AB4"/>
    <w:rsid w:val="00FC64A8"/>
    <w:rsid w:val="00FC6FA1"/>
    <w:rsid w:val="00FD03DA"/>
    <w:rsid w:val="00FD47C6"/>
    <w:rsid w:val="00FD5609"/>
    <w:rsid w:val="00FE0082"/>
    <w:rsid w:val="00FE098A"/>
    <w:rsid w:val="00FE3768"/>
    <w:rsid w:val="00FF0F1C"/>
    <w:rsid w:val="00FF748E"/>
    <w:rsid w:val="05DB7486"/>
    <w:rsid w:val="07FE336B"/>
    <w:rsid w:val="1DE00727"/>
    <w:rsid w:val="1E12737C"/>
    <w:rsid w:val="253D4D57"/>
    <w:rsid w:val="34B43368"/>
    <w:rsid w:val="3A0E646C"/>
    <w:rsid w:val="41861F2D"/>
    <w:rsid w:val="44CB5855"/>
    <w:rsid w:val="47B878C4"/>
    <w:rsid w:val="4B6E7659"/>
    <w:rsid w:val="59134F78"/>
    <w:rsid w:val="5A5C65BC"/>
    <w:rsid w:val="5A6B7D49"/>
    <w:rsid w:val="5B621BF2"/>
    <w:rsid w:val="5C9E5E4C"/>
    <w:rsid w:val="68D56551"/>
    <w:rsid w:val="71CC4873"/>
    <w:rsid w:val="7280342F"/>
    <w:rsid w:val="741B5CBE"/>
    <w:rsid w:val="76B94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9"/>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60"/>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61"/>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7"/>
    <w:link w:val="62"/>
    <w:qFormat/>
    <w:uiPriority w:val="0"/>
    <w:pPr>
      <w:keepNext/>
      <w:keepLines/>
      <w:spacing w:before="280" w:after="290" w:line="376" w:lineRule="auto"/>
      <w:outlineLvl w:val="4"/>
    </w:pPr>
    <w:rPr>
      <w:b/>
      <w:sz w:val="28"/>
    </w:rPr>
  </w:style>
  <w:style w:type="paragraph" w:styleId="8">
    <w:name w:val="heading 6"/>
    <w:basedOn w:val="1"/>
    <w:next w:val="7"/>
    <w:link w:val="63"/>
    <w:qFormat/>
    <w:uiPriority w:val="0"/>
    <w:pPr>
      <w:keepNext/>
      <w:keepLines/>
      <w:spacing w:before="240" w:after="64" w:line="320" w:lineRule="auto"/>
      <w:outlineLvl w:val="5"/>
    </w:pPr>
    <w:rPr>
      <w:rFonts w:ascii="Arial" w:hAnsi="Arial" w:eastAsia="黑体"/>
      <w:b/>
      <w:sz w:val="24"/>
    </w:rPr>
  </w:style>
  <w:style w:type="paragraph" w:styleId="9">
    <w:name w:val="heading 7"/>
    <w:basedOn w:val="1"/>
    <w:next w:val="7"/>
    <w:link w:val="64"/>
    <w:qFormat/>
    <w:uiPriority w:val="0"/>
    <w:pPr>
      <w:keepNext/>
      <w:keepLines/>
      <w:spacing w:before="240" w:after="64" w:line="320" w:lineRule="auto"/>
      <w:outlineLvl w:val="6"/>
    </w:pPr>
    <w:rPr>
      <w:b/>
      <w:sz w:val="24"/>
    </w:rPr>
  </w:style>
  <w:style w:type="paragraph" w:styleId="10">
    <w:name w:val="heading 8"/>
    <w:basedOn w:val="1"/>
    <w:next w:val="7"/>
    <w:link w:val="65"/>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7"/>
    <w:link w:val="66"/>
    <w:qFormat/>
    <w:uiPriority w:val="0"/>
    <w:pPr>
      <w:keepNext/>
      <w:keepLines/>
      <w:spacing w:before="240" w:after="64" w:line="320" w:lineRule="auto"/>
      <w:outlineLvl w:val="8"/>
    </w:pPr>
    <w:rPr>
      <w:rFonts w:ascii="Arial" w:hAnsi="Arial" w:eastAsia="黑体"/>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141"/>
    <w:semiHidden/>
    <w:qFormat/>
    <w:uiPriority w:val="0"/>
    <w:pPr>
      <w:shd w:val="clear" w:color="auto" w:fill="000080"/>
    </w:pPr>
    <w:rPr>
      <w:rFonts w:asciiTheme="minorHAnsi" w:hAnsiTheme="minorHAnsi" w:eastAsiaTheme="minorEastAsia" w:cstheme="minorBidi"/>
    </w:rPr>
  </w:style>
  <w:style w:type="paragraph" w:styleId="16">
    <w:name w:val="annotation text"/>
    <w:basedOn w:val="1"/>
    <w:link w:val="132"/>
    <w:qFormat/>
    <w:uiPriority w:val="0"/>
    <w:pPr>
      <w:adjustRightInd w:val="0"/>
      <w:spacing w:line="360" w:lineRule="atLeast"/>
      <w:jc w:val="left"/>
      <w:textAlignment w:val="baseline"/>
    </w:pPr>
    <w:rPr>
      <w:rFonts w:asciiTheme="minorHAnsi" w:hAnsiTheme="minorHAnsi" w:eastAsiaTheme="minorEastAsia" w:cstheme="minorBidi"/>
      <w:sz w:val="24"/>
      <w:szCs w:val="22"/>
    </w:rPr>
  </w:style>
  <w:style w:type="paragraph" w:styleId="17">
    <w:name w:val="Salutation"/>
    <w:basedOn w:val="1"/>
    <w:next w:val="1"/>
    <w:link w:val="131"/>
    <w:qFormat/>
    <w:uiPriority w:val="0"/>
    <w:rPr>
      <w:sz w:val="28"/>
    </w:rPr>
  </w:style>
  <w:style w:type="paragraph" w:styleId="18">
    <w:name w:val="Body Text 3"/>
    <w:basedOn w:val="1"/>
    <w:link w:val="142"/>
    <w:qFormat/>
    <w:uiPriority w:val="0"/>
    <w:pPr>
      <w:spacing w:line="500" w:lineRule="exact"/>
    </w:pPr>
    <w:rPr>
      <w:rFonts w:asciiTheme="minorHAnsi" w:hAnsiTheme="minorHAnsi" w:eastAsiaTheme="minorEastAsia" w:cstheme="minorBidi"/>
      <w:b/>
      <w:bCs/>
      <w:sz w:val="24"/>
    </w:rPr>
  </w:style>
  <w:style w:type="paragraph" w:styleId="19">
    <w:name w:val="Body Text"/>
    <w:basedOn w:val="1"/>
    <w:link w:val="134"/>
    <w:qFormat/>
    <w:uiPriority w:val="0"/>
    <w:pPr>
      <w:spacing w:line="380" w:lineRule="exact"/>
    </w:pPr>
    <w:rPr>
      <w:rFonts w:asciiTheme="minorHAnsi" w:hAnsiTheme="minorHAnsi" w:eastAsiaTheme="minorEastAsia" w:cstheme="minorBidi"/>
      <w:sz w:val="24"/>
    </w:rPr>
  </w:style>
  <w:style w:type="paragraph" w:styleId="20">
    <w:name w:val="Body Text Indent"/>
    <w:basedOn w:val="1"/>
    <w:link w:val="137"/>
    <w:qFormat/>
    <w:uiPriority w:val="0"/>
    <w:pPr>
      <w:ind w:firstLine="830" w:firstLineChars="352"/>
    </w:pPr>
    <w:rPr>
      <w:rFonts w:ascii="仿宋_GB2312" w:eastAsia="仿宋_GB2312" w:hAnsiTheme="minorHAnsi" w:cstheme="minorBidi"/>
      <w:sz w:val="32"/>
      <w:szCs w:val="22"/>
    </w:rPr>
  </w:style>
  <w:style w:type="paragraph" w:styleId="21">
    <w:name w:val="List Number 3"/>
    <w:basedOn w:val="1"/>
    <w:qFormat/>
    <w:uiPriority w:val="0"/>
    <w:pPr>
      <w:tabs>
        <w:tab w:val="left" w:pos="360"/>
      </w:tabs>
      <w:ind w:left="360" w:hanging="36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5">
    <w:name w:val="toc 3"/>
    <w:basedOn w:val="1"/>
    <w:next w:val="1"/>
    <w:qFormat/>
    <w:uiPriority w:val="0"/>
    <w:pPr>
      <w:ind w:left="840" w:leftChars="400"/>
    </w:pPr>
  </w:style>
  <w:style w:type="paragraph" w:styleId="26">
    <w:name w:val="Plain Text"/>
    <w:basedOn w:val="1"/>
    <w:link w:val="133"/>
    <w:qFormat/>
    <w:uiPriority w:val="0"/>
    <w:rPr>
      <w:rFonts w:ascii="宋体" w:hAnsi="Courier New" w:cs="Courier New" w:eastAsiaTheme="minorEastAsia"/>
      <w:szCs w:val="21"/>
    </w:rPr>
  </w:style>
  <w:style w:type="paragraph" w:styleId="27">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8">
    <w:name w:val="Date"/>
    <w:basedOn w:val="1"/>
    <w:next w:val="1"/>
    <w:link w:val="135"/>
    <w:qFormat/>
    <w:uiPriority w:val="0"/>
    <w:pPr>
      <w:ind w:left="100" w:leftChars="2500"/>
    </w:pPr>
    <w:rPr>
      <w:rFonts w:ascii="宋体" w:hAnsi="Courier New" w:cs="Courier New" w:eastAsiaTheme="minorEastAsia"/>
      <w:szCs w:val="21"/>
    </w:rPr>
  </w:style>
  <w:style w:type="paragraph" w:styleId="29">
    <w:name w:val="Body Text Indent 2"/>
    <w:basedOn w:val="1"/>
    <w:link w:val="144"/>
    <w:qFormat/>
    <w:uiPriority w:val="0"/>
    <w:pPr>
      <w:ind w:firstLine="630"/>
    </w:pPr>
    <w:rPr>
      <w:rFonts w:asciiTheme="minorHAnsi" w:hAnsiTheme="minorHAnsi" w:eastAsiaTheme="minorEastAsia" w:cstheme="minorBidi"/>
      <w:sz w:val="32"/>
      <w:szCs w:val="22"/>
    </w:rPr>
  </w:style>
  <w:style w:type="paragraph" w:styleId="30">
    <w:name w:val="endnote text"/>
    <w:basedOn w:val="1"/>
    <w:link w:val="136"/>
    <w:unhideWhenUsed/>
    <w:qFormat/>
    <w:uiPriority w:val="0"/>
    <w:pPr>
      <w:snapToGrid w:val="0"/>
      <w:jc w:val="left"/>
    </w:pPr>
    <w:rPr>
      <w:rFonts w:ascii="Calibri" w:hAnsi="Calibri"/>
      <w:szCs w:val="22"/>
    </w:rPr>
  </w:style>
  <w:style w:type="paragraph" w:styleId="31">
    <w:name w:val="Balloon Text"/>
    <w:basedOn w:val="1"/>
    <w:link w:val="143"/>
    <w:semiHidden/>
    <w:qFormat/>
    <w:uiPriority w:val="0"/>
    <w:rPr>
      <w:rFonts w:asciiTheme="minorHAnsi" w:hAnsiTheme="minorHAnsi" w:eastAsiaTheme="minorEastAsia" w:cstheme="minorBidi"/>
      <w:sz w:val="18"/>
      <w:szCs w:val="18"/>
    </w:rPr>
  </w:style>
  <w:style w:type="paragraph" w:styleId="32">
    <w:name w:val="footer"/>
    <w:basedOn w:val="1"/>
    <w:link w:val="138"/>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3">
    <w:name w:val="header"/>
    <w:basedOn w:val="1"/>
    <w:link w:val="140"/>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34">
    <w:name w:val="toc 1"/>
    <w:basedOn w:val="1"/>
    <w:next w:val="1"/>
    <w:qFormat/>
    <w:uiPriority w:val="0"/>
    <w:pPr>
      <w:tabs>
        <w:tab w:val="right" w:leader="dot" w:pos="8296"/>
        <w:tab w:val="right" w:leader="dot" w:pos="8398"/>
      </w:tabs>
      <w:spacing w:before="120" w:after="120" w:line="320" w:lineRule="exact"/>
      <w:ind w:firstLine="840" w:firstLineChars="400"/>
      <w:jc w:val="left"/>
    </w:pPr>
    <w:rPr>
      <w:rFonts w:ascii="仿宋_GB2312" w:hAnsi="宋体" w:eastAsia="仿宋_GB2312" w:cs="Courier New"/>
      <w:bCs/>
      <w:caps/>
      <w:szCs w:val="21"/>
    </w:rPr>
  </w:style>
  <w:style w:type="paragraph" w:styleId="35">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6">
    <w:name w:val="Subtitle"/>
    <w:basedOn w:val="1"/>
    <w:next w:val="1"/>
    <w:link w:val="220"/>
    <w:qFormat/>
    <w:uiPriority w:val="99"/>
    <w:pPr>
      <w:spacing w:before="240" w:after="60" w:line="312" w:lineRule="auto"/>
      <w:jc w:val="center"/>
      <w:outlineLvl w:val="1"/>
    </w:pPr>
    <w:rPr>
      <w:rFonts w:ascii="Cambria" w:hAnsi="Cambria"/>
      <w:b/>
      <w:bCs/>
      <w:kern w:val="28"/>
      <w:sz w:val="32"/>
      <w:szCs w:val="32"/>
    </w:rPr>
  </w:style>
  <w:style w:type="paragraph" w:styleId="37">
    <w:name w:val="List"/>
    <w:basedOn w:val="1"/>
    <w:qFormat/>
    <w:uiPriority w:val="0"/>
    <w:pPr>
      <w:ind w:left="200" w:hanging="200" w:hangingChars="200"/>
    </w:pPr>
    <w:rPr>
      <w:sz w:val="28"/>
    </w:rPr>
  </w:style>
  <w:style w:type="paragraph" w:styleId="38">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9">
    <w:name w:val="List 5"/>
    <w:basedOn w:val="1"/>
    <w:qFormat/>
    <w:uiPriority w:val="0"/>
    <w:pPr>
      <w:ind w:left="2100" w:hanging="420"/>
    </w:pPr>
    <w:rPr>
      <w:szCs w:val="20"/>
    </w:rPr>
  </w:style>
  <w:style w:type="paragraph" w:styleId="40">
    <w:name w:val="Body Text Indent 3"/>
    <w:basedOn w:val="1"/>
    <w:link w:val="148"/>
    <w:qFormat/>
    <w:uiPriority w:val="0"/>
    <w:pPr>
      <w:spacing w:after="120"/>
      <w:ind w:left="420" w:leftChars="200"/>
    </w:pPr>
    <w:rPr>
      <w:rFonts w:asciiTheme="minorHAnsi" w:hAnsiTheme="minorHAnsi" w:eastAsiaTheme="minorEastAsia" w:cstheme="minorBidi"/>
      <w:sz w:val="16"/>
      <w:szCs w:val="16"/>
    </w:rPr>
  </w:style>
  <w:style w:type="paragraph" w:styleId="41">
    <w:name w:val="toc 2"/>
    <w:basedOn w:val="1"/>
    <w:next w:val="1"/>
    <w:qFormat/>
    <w:uiPriority w:val="0"/>
    <w:pPr>
      <w:ind w:left="420" w:leftChars="200"/>
    </w:pPr>
  </w:style>
  <w:style w:type="paragraph" w:styleId="42">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3">
    <w:name w:val="Body Text 2"/>
    <w:basedOn w:val="1"/>
    <w:link w:val="158"/>
    <w:qFormat/>
    <w:uiPriority w:val="0"/>
    <w:pPr>
      <w:spacing w:after="120" w:line="480" w:lineRule="auto"/>
    </w:pPr>
    <w:rPr>
      <w:rFonts w:asciiTheme="minorHAnsi" w:hAnsiTheme="minorHAnsi" w:eastAsiaTheme="minorEastAsia" w:cstheme="minorBidi"/>
    </w:rPr>
  </w:style>
  <w:style w:type="paragraph" w:styleId="44">
    <w:name w:val="HTML Preformatted"/>
    <w:basedOn w:val="1"/>
    <w:link w:val="15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szCs w:val="22"/>
    </w:rPr>
  </w:style>
  <w:style w:type="paragraph" w:styleId="45">
    <w:name w:val="Normal (Web)"/>
    <w:basedOn w:val="1"/>
    <w:qFormat/>
    <w:uiPriority w:val="99"/>
    <w:pPr>
      <w:widowControl/>
      <w:spacing w:before="100" w:beforeAutospacing="1" w:after="100" w:afterAutospacing="1"/>
      <w:jc w:val="left"/>
    </w:pPr>
    <w:rPr>
      <w:rFonts w:ascii="宋体" w:hAnsi="宋体"/>
      <w:kern w:val="0"/>
      <w:sz w:val="24"/>
    </w:rPr>
  </w:style>
  <w:style w:type="paragraph" w:styleId="46">
    <w:name w:val="index 1"/>
    <w:basedOn w:val="1"/>
    <w:next w:val="1"/>
    <w:semiHidden/>
    <w:qFormat/>
    <w:uiPriority w:val="0"/>
    <w:pPr>
      <w:spacing w:line="400" w:lineRule="exact"/>
      <w:ind w:firstLine="420" w:firstLineChars="200"/>
    </w:pPr>
    <w:rPr>
      <w:rFonts w:ascii="宋体" w:hAnsi="Courier New"/>
      <w:b/>
      <w:szCs w:val="20"/>
    </w:rPr>
  </w:style>
  <w:style w:type="paragraph" w:styleId="47">
    <w:name w:val="Title"/>
    <w:basedOn w:val="1"/>
    <w:link w:val="161"/>
    <w:qFormat/>
    <w:uiPriority w:val="0"/>
    <w:pPr>
      <w:spacing w:before="240" w:after="60"/>
      <w:jc w:val="center"/>
      <w:outlineLvl w:val="0"/>
    </w:pPr>
    <w:rPr>
      <w:rFonts w:ascii="Arial" w:hAnsi="Arial" w:eastAsiaTheme="minorEastAsia" w:cstheme="minorBidi"/>
      <w:b/>
      <w:bCs/>
      <w:sz w:val="32"/>
      <w:szCs w:val="32"/>
    </w:rPr>
  </w:style>
  <w:style w:type="paragraph" w:styleId="48">
    <w:name w:val="annotation subject"/>
    <w:basedOn w:val="16"/>
    <w:next w:val="16"/>
    <w:link w:val="139"/>
    <w:semiHidden/>
    <w:qFormat/>
    <w:uiPriority w:val="0"/>
    <w:pPr>
      <w:adjustRightInd/>
      <w:spacing w:line="240" w:lineRule="auto"/>
      <w:textAlignment w:val="auto"/>
    </w:pPr>
    <w:rPr>
      <w:b/>
      <w:bCs/>
      <w:sz w:val="21"/>
      <w:szCs w:val="24"/>
    </w:r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qFormat/>
    <w:uiPriority w:val="0"/>
    <w:rPr>
      <w:b/>
      <w:bCs/>
    </w:rPr>
  </w:style>
  <w:style w:type="character" w:styleId="53">
    <w:name w:val="page number"/>
    <w:basedOn w:val="51"/>
    <w:qFormat/>
    <w:uiPriority w:val="0"/>
  </w:style>
  <w:style w:type="character" w:styleId="54">
    <w:name w:val="FollowedHyperlink"/>
    <w:qFormat/>
    <w:uiPriority w:val="99"/>
    <w:rPr>
      <w:color w:val="800080"/>
      <w:u w:val="single"/>
    </w:rPr>
  </w:style>
  <w:style w:type="character" w:styleId="55">
    <w:name w:val="Emphasis"/>
    <w:qFormat/>
    <w:uiPriority w:val="0"/>
    <w:rPr>
      <w:color w:val="CC0000"/>
    </w:rPr>
  </w:style>
  <w:style w:type="character" w:styleId="56">
    <w:name w:val="Hyperlink"/>
    <w:qFormat/>
    <w:uiPriority w:val="0"/>
    <w:rPr>
      <w:color w:val="0000FF"/>
      <w:u w:val="single"/>
    </w:rPr>
  </w:style>
  <w:style w:type="character" w:styleId="57">
    <w:name w:val="annotation reference"/>
    <w:qFormat/>
    <w:uiPriority w:val="0"/>
    <w:rPr>
      <w:sz w:val="21"/>
      <w:szCs w:val="21"/>
    </w:rPr>
  </w:style>
  <w:style w:type="character" w:customStyle="1" w:styleId="58">
    <w:name w:val="标题 1 Char"/>
    <w:basedOn w:val="51"/>
    <w:link w:val="2"/>
    <w:qFormat/>
    <w:uiPriority w:val="0"/>
    <w:rPr>
      <w:rFonts w:ascii="Times New Roman" w:hAnsi="Times New Roman" w:eastAsia="宋体" w:cs="Times New Roman"/>
      <w:b/>
      <w:bCs/>
      <w:kern w:val="44"/>
      <w:sz w:val="44"/>
      <w:szCs w:val="44"/>
    </w:rPr>
  </w:style>
  <w:style w:type="character" w:customStyle="1" w:styleId="59">
    <w:name w:val="标题 2 Char"/>
    <w:basedOn w:val="51"/>
    <w:link w:val="3"/>
    <w:qFormat/>
    <w:uiPriority w:val="0"/>
    <w:rPr>
      <w:rFonts w:ascii="Arial" w:hAnsi="Arial" w:eastAsia="黑体" w:cs="Times New Roman"/>
      <w:b/>
      <w:bCs/>
      <w:kern w:val="0"/>
      <w:sz w:val="32"/>
      <w:szCs w:val="32"/>
    </w:rPr>
  </w:style>
  <w:style w:type="character" w:customStyle="1" w:styleId="60">
    <w:name w:val="标题 3 Char"/>
    <w:basedOn w:val="51"/>
    <w:link w:val="4"/>
    <w:qFormat/>
    <w:uiPriority w:val="0"/>
    <w:rPr>
      <w:rFonts w:ascii="Times New Roman" w:hAnsi="Times New Roman" w:eastAsia="宋体" w:cs="Times New Roman"/>
      <w:b/>
      <w:bCs/>
      <w:kern w:val="0"/>
      <w:sz w:val="32"/>
      <w:szCs w:val="32"/>
    </w:rPr>
  </w:style>
  <w:style w:type="character" w:customStyle="1" w:styleId="61">
    <w:name w:val="标题 4 Char"/>
    <w:basedOn w:val="51"/>
    <w:link w:val="5"/>
    <w:qFormat/>
    <w:uiPriority w:val="0"/>
    <w:rPr>
      <w:rFonts w:ascii="Arial" w:hAnsi="Arial" w:eastAsia="黑体" w:cs="Times New Roman"/>
      <w:kern w:val="0"/>
      <w:sz w:val="28"/>
      <w:szCs w:val="20"/>
    </w:rPr>
  </w:style>
  <w:style w:type="character" w:customStyle="1" w:styleId="62">
    <w:name w:val="标题 5 Char"/>
    <w:basedOn w:val="51"/>
    <w:link w:val="6"/>
    <w:qFormat/>
    <w:uiPriority w:val="0"/>
    <w:rPr>
      <w:rFonts w:ascii="Times New Roman" w:hAnsi="Times New Roman" w:eastAsia="宋体" w:cs="Times New Roman"/>
      <w:b/>
      <w:sz w:val="28"/>
      <w:szCs w:val="24"/>
    </w:rPr>
  </w:style>
  <w:style w:type="character" w:customStyle="1" w:styleId="63">
    <w:name w:val="标题 6 Char"/>
    <w:basedOn w:val="51"/>
    <w:link w:val="8"/>
    <w:qFormat/>
    <w:uiPriority w:val="0"/>
    <w:rPr>
      <w:rFonts w:ascii="Arial" w:hAnsi="Arial" w:eastAsia="黑体" w:cs="Times New Roman"/>
      <w:b/>
      <w:sz w:val="24"/>
      <w:szCs w:val="24"/>
    </w:rPr>
  </w:style>
  <w:style w:type="character" w:customStyle="1" w:styleId="64">
    <w:name w:val="标题 7 Char"/>
    <w:basedOn w:val="51"/>
    <w:link w:val="9"/>
    <w:qFormat/>
    <w:uiPriority w:val="0"/>
    <w:rPr>
      <w:rFonts w:ascii="Times New Roman" w:hAnsi="Times New Roman" w:eastAsia="宋体" w:cs="Times New Roman"/>
      <w:b/>
      <w:sz w:val="24"/>
      <w:szCs w:val="24"/>
    </w:rPr>
  </w:style>
  <w:style w:type="character" w:customStyle="1" w:styleId="65">
    <w:name w:val="标题 8 Char"/>
    <w:basedOn w:val="51"/>
    <w:link w:val="10"/>
    <w:qFormat/>
    <w:uiPriority w:val="0"/>
    <w:rPr>
      <w:rFonts w:ascii="Arial" w:hAnsi="Arial" w:eastAsia="黑体" w:cs="Times New Roman"/>
      <w:sz w:val="24"/>
      <w:szCs w:val="24"/>
    </w:rPr>
  </w:style>
  <w:style w:type="character" w:customStyle="1" w:styleId="66">
    <w:name w:val="标题 9 Char"/>
    <w:basedOn w:val="51"/>
    <w:link w:val="11"/>
    <w:qFormat/>
    <w:uiPriority w:val="0"/>
    <w:rPr>
      <w:rFonts w:ascii="Arial" w:hAnsi="Arial" w:eastAsia="黑体" w:cs="Times New Roman"/>
      <w:szCs w:val="24"/>
    </w:rPr>
  </w:style>
  <w:style w:type="character" w:customStyle="1" w:styleId="67">
    <w:name w:val="Char Char10"/>
    <w:semiHidden/>
    <w:uiPriority w:val="0"/>
    <w:rPr>
      <w:rFonts w:eastAsia="宋体"/>
      <w:kern w:val="2"/>
      <w:sz w:val="24"/>
      <w:szCs w:val="24"/>
      <w:lang w:val="en-US" w:eastAsia="zh-CN" w:bidi="ar-SA"/>
    </w:rPr>
  </w:style>
  <w:style w:type="character" w:customStyle="1" w:styleId="68">
    <w:name w:val="H1 Char"/>
    <w:qFormat/>
    <w:uiPriority w:val="0"/>
    <w:rPr>
      <w:rFonts w:eastAsia="宋体"/>
      <w:b/>
      <w:bCs/>
      <w:kern w:val="44"/>
      <w:sz w:val="44"/>
      <w:szCs w:val="44"/>
      <w:lang w:val="en-US" w:eastAsia="zh-CN" w:bidi="ar-SA"/>
    </w:rPr>
  </w:style>
  <w:style w:type="character" w:customStyle="1" w:styleId="69">
    <w:name w:val="正文文本缩进 Char1"/>
    <w:semiHidden/>
    <w:qFormat/>
    <w:uiPriority w:val="0"/>
    <w:rPr>
      <w:kern w:val="2"/>
      <w:sz w:val="21"/>
      <w:szCs w:val="22"/>
    </w:rPr>
  </w:style>
  <w:style w:type="character" w:customStyle="1" w:styleId="70">
    <w:name w:val="正文文本 3 Char"/>
    <w:qFormat/>
    <w:uiPriority w:val="0"/>
    <w:rPr>
      <w:b/>
      <w:bCs/>
      <w:sz w:val="24"/>
      <w:szCs w:val="24"/>
    </w:rPr>
  </w:style>
  <w:style w:type="character" w:customStyle="1" w:styleId="71">
    <w:name w:val="日期 Char"/>
    <w:qFormat/>
    <w:uiPriority w:val="0"/>
    <w:rPr>
      <w:rFonts w:ascii="宋体" w:hAnsi="Courier New" w:cs="Courier New"/>
      <w:szCs w:val="21"/>
    </w:rPr>
  </w:style>
  <w:style w:type="character" w:customStyle="1" w:styleId="72">
    <w:name w:val="普通文字 Char Char4"/>
    <w:qFormat/>
    <w:uiPriority w:val="0"/>
    <w:rPr>
      <w:rFonts w:ascii="宋体" w:hAnsi="Courier New" w:eastAsia="宋体" w:cs="Courier New"/>
      <w:kern w:val="2"/>
      <w:sz w:val="21"/>
      <w:szCs w:val="21"/>
      <w:lang w:val="en-US" w:eastAsia="zh-CN" w:bidi="ar-SA"/>
    </w:rPr>
  </w:style>
  <w:style w:type="character" w:customStyle="1" w:styleId="73">
    <w:name w:val="自定义标题一 Char"/>
    <w:link w:val="74"/>
    <w:qFormat/>
    <w:uiPriority w:val="0"/>
    <w:rPr>
      <w:rFonts w:ascii="黑体" w:hAnsi="黑体" w:eastAsia="黑体"/>
      <w:b/>
      <w:bCs/>
      <w:kern w:val="44"/>
      <w:sz w:val="44"/>
      <w:szCs w:val="44"/>
    </w:rPr>
  </w:style>
  <w:style w:type="paragraph" w:customStyle="1" w:styleId="74">
    <w:name w:val="自定义标题一"/>
    <w:basedOn w:val="2"/>
    <w:link w:val="73"/>
    <w:qFormat/>
    <w:uiPriority w:val="0"/>
    <w:pPr>
      <w:pageBreakBefore/>
      <w:tabs>
        <w:tab w:val="left" w:pos="144"/>
      </w:tabs>
      <w:spacing w:before="0" w:after="0" w:line="360" w:lineRule="auto"/>
      <w:ind w:left="144" w:hanging="144"/>
      <w:jc w:val="center"/>
    </w:pPr>
    <w:rPr>
      <w:rFonts w:ascii="黑体" w:hAnsi="黑体" w:eastAsia="黑体" w:cstheme="minorBidi"/>
    </w:rPr>
  </w:style>
  <w:style w:type="character" w:customStyle="1" w:styleId="75">
    <w:name w:val="cubane_hilight1"/>
    <w:qFormat/>
    <w:uiPriority w:val="0"/>
    <w:rPr>
      <w:color w:val="CC0000"/>
    </w:rPr>
  </w:style>
  <w:style w:type="character" w:customStyle="1" w:styleId="76">
    <w:name w:val="批注框文本 Char"/>
    <w:semiHidden/>
    <w:qFormat/>
    <w:uiPriority w:val="0"/>
    <w:rPr>
      <w:sz w:val="18"/>
      <w:szCs w:val="18"/>
    </w:rPr>
  </w:style>
  <w:style w:type="character" w:customStyle="1" w:styleId="77">
    <w:name w:val="ca-32"/>
    <w:basedOn w:val="51"/>
    <w:qFormat/>
    <w:uiPriority w:val="0"/>
  </w:style>
  <w:style w:type="character" w:customStyle="1" w:styleId="78">
    <w:name w:val="正文文字首行缩进 Char"/>
    <w:qFormat/>
    <w:locked/>
    <w:uiPriority w:val="0"/>
    <w:rPr>
      <w:rFonts w:ascii="仿宋_GB2312" w:eastAsia="仿宋_GB2312"/>
      <w:kern w:val="2"/>
      <w:sz w:val="32"/>
    </w:rPr>
  </w:style>
  <w:style w:type="character" w:customStyle="1" w:styleId="79">
    <w:name w:val="无间隔 Char"/>
    <w:link w:val="80"/>
    <w:qFormat/>
    <w:uiPriority w:val="0"/>
    <w:rPr>
      <w:rFonts w:ascii="Calibri" w:hAnsi="Calibri"/>
      <w:sz w:val="22"/>
    </w:rPr>
  </w:style>
  <w:style w:type="paragraph" w:styleId="80">
    <w:name w:val="No Spacing"/>
    <w:link w:val="79"/>
    <w:qFormat/>
    <w:uiPriority w:val="0"/>
    <w:rPr>
      <w:rFonts w:ascii="Calibri" w:hAnsi="Calibri" w:eastAsiaTheme="minorEastAsia" w:cstheme="minorBidi"/>
      <w:kern w:val="2"/>
      <w:sz w:val="22"/>
      <w:szCs w:val="22"/>
      <w:lang w:val="en-US" w:eastAsia="zh-CN" w:bidi="ar-SA"/>
    </w:rPr>
  </w:style>
  <w:style w:type="character" w:customStyle="1" w:styleId="81">
    <w:name w:val="Char Char15"/>
    <w:qFormat/>
    <w:uiPriority w:val="0"/>
    <w:rPr>
      <w:sz w:val="18"/>
      <w:szCs w:val="18"/>
    </w:rPr>
  </w:style>
  <w:style w:type="character" w:customStyle="1" w:styleId="82">
    <w:name w:val="纯文本 Char"/>
    <w:qFormat/>
    <w:uiPriority w:val="0"/>
    <w:rPr>
      <w:rFonts w:ascii="宋体" w:hAnsi="Courier New" w:cs="Courier New"/>
      <w:szCs w:val="21"/>
    </w:rPr>
  </w:style>
  <w:style w:type="character" w:customStyle="1" w:styleId="83">
    <w:name w:val="HTML 预设格式 Char"/>
    <w:qFormat/>
    <w:uiPriority w:val="99"/>
    <w:rPr>
      <w:rFonts w:ascii="黑体" w:hAnsi="Courier New" w:eastAsia="黑体" w:cs="Courier New"/>
    </w:rPr>
  </w:style>
  <w:style w:type="character" w:customStyle="1" w:styleId="84">
    <w:name w:val="Body Text Char"/>
    <w:qFormat/>
    <w:locked/>
    <w:uiPriority w:val="0"/>
    <w:rPr>
      <w:rFonts w:eastAsia="宋体"/>
      <w:kern w:val="2"/>
      <w:sz w:val="24"/>
      <w:szCs w:val="24"/>
      <w:lang w:val="en-US" w:eastAsia="zh-CN" w:bidi="ar-SA"/>
    </w:rPr>
  </w:style>
  <w:style w:type="character" w:customStyle="1" w:styleId="85">
    <w:name w:val="自定义标题一 Char Char"/>
    <w:qFormat/>
    <w:uiPriority w:val="0"/>
    <w:rPr>
      <w:rFonts w:ascii="黑体" w:hAnsi="黑体" w:eastAsia="黑体"/>
      <w:b/>
      <w:bCs/>
      <w:kern w:val="44"/>
      <w:sz w:val="44"/>
      <w:szCs w:val="44"/>
      <w:lang w:bidi="ar-SA"/>
    </w:rPr>
  </w:style>
  <w:style w:type="character" w:customStyle="1" w:styleId="86">
    <w:name w:val="正文文本 Char"/>
    <w:qFormat/>
    <w:uiPriority w:val="0"/>
    <w:rPr>
      <w:sz w:val="24"/>
      <w:szCs w:val="24"/>
    </w:rPr>
  </w:style>
  <w:style w:type="character" w:customStyle="1" w:styleId="87">
    <w:name w:val="font21"/>
    <w:qFormat/>
    <w:uiPriority w:val="0"/>
    <w:rPr>
      <w:rFonts w:hint="eastAsia" w:ascii="宋体" w:hAnsi="宋体" w:eastAsia="宋体" w:cs="宋体"/>
      <w:color w:val="000000"/>
      <w:sz w:val="24"/>
      <w:szCs w:val="24"/>
      <w:u w:val="none"/>
    </w:rPr>
  </w:style>
  <w:style w:type="character" w:customStyle="1" w:styleId="88">
    <w:name w:val="Char Char14"/>
    <w:qFormat/>
    <w:uiPriority w:val="0"/>
    <w:rPr>
      <w:sz w:val="18"/>
      <w:szCs w:val="18"/>
    </w:rPr>
  </w:style>
  <w:style w:type="character" w:customStyle="1" w:styleId="89">
    <w:name w:val="1ji Char Char"/>
    <w:qFormat/>
    <w:locked/>
    <w:uiPriority w:val="0"/>
    <w:rPr>
      <w:rFonts w:ascii="宋体" w:hAnsi="宋体" w:eastAsia="宋体"/>
      <w:b/>
      <w:bCs/>
      <w:kern w:val="44"/>
      <w:sz w:val="36"/>
      <w:szCs w:val="44"/>
    </w:rPr>
  </w:style>
  <w:style w:type="character" w:customStyle="1" w:styleId="90">
    <w:name w:val="unnamed3"/>
    <w:basedOn w:val="51"/>
    <w:qFormat/>
    <w:uiPriority w:val="0"/>
  </w:style>
  <w:style w:type="character" w:customStyle="1" w:styleId="91">
    <w:name w:val="font81"/>
    <w:qFormat/>
    <w:uiPriority w:val="0"/>
    <w:rPr>
      <w:rFonts w:hint="default" w:ascii="华文宋体" w:hAnsi="华文宋体" w:eastAsia="华文宋体" w:cs="华文宋体"/>
      <w:color w:val="000000"/>
      <w:sz w:val="24"/>
      <w:szCs w:val="24"/>
      <w:u w:val="none"/>
    </w:rPr>
  </w:style>
  <w:style w:type="character" w:customStyle="1" w:styleId="92">
    <w:name w:val="文档结构图 Char"/>
    <w:semiHidden/>
    <w:qFormat/>
    <w:uiPriority w:val="0"/>
    <w:rPr>
      <w:szCs w:val="24"/>
      <w:shd w:val="clear" w:color="auto" w:fill="000080"/>
    </w:rPr>
  </w:style>
  <w:style w:type="character" w:customStyle="1" w:styleId="93">
    <w:name w:val="页眉 Char"/>
    <w:qFormat/>
    <w:uiPriority w:val="99"/>
    <w:rPr>
      <w:sz w:val="18"/>
      <w:szCs w:val="18"/>
    </w:rPr>
  </w:style>
  <w:style w:type="character" w:customStyle="1" w:styleId="94">
    <w:name w:val="apple-style-span"/>
    <w:basedOn w:val="51"/>
    <w:qFormat/>
    <w:uiPriority w:val="0"/>
  </w:style>
  <w:style w:type="character" w:customStyle="1" w:styleId="95">
    <w:name w:val="正文文本缩进 3 Char"/>
    <w:qFormat/>
    <w:uiPriority w:val="0"/>
    <w:rPr>
      <w:sz w:val="16"/>
      <w:szCs w:val="16"/>
    </w:rPr>
  </w:style>
  <w:style w:type="character" w:customStyle="1" w:styleId="96">
    <w:name w:val="style31"/>
    <w:qFormat/>
    <w:uiPriority w:val="0"/>
    <w:rPr>
      <w:sz w:val="18"/>
      <w:szCs w:val="18"/>
    </w:rPr>
  </w:style>
  <w:style w:type="character" w:customStyle="1" w:styleId="97">
    <w:name w:val="style21"/>
    <w:qFormat/>
    <w:uiPriority w:val="0"/>
    <w:rPr>
      <w:sz w:val="18"/>
      <w:szCs w:val="18"/>
    </w:rPr>
  </w:style>
  <w:style w:type="character" w:customStyle="1" w:styleId="98">
    <w:name w:val="普通文字 Char Char2"/>
    <w:qFormat/>
    <w:uiPriority w:val="0"/>
    <w:rPr>
      <w:rFonts w:ascii="宋体" w:hAnsi="Courier New" w:eastAsia="宋体"/>
      <w:kern w:val="2"/>
      <w:sz w:val="21"/>
      <w:lang w:val="en-US" w:eastAsia="zh-CN" w:bidi="ar-SA"/>
    </w:rPr>
  </w:style>
  <w:style w:type="character" w:customStyle="1" w:styleId="99">
    <w:name w:val="正文文本缩进 Char"/>
    <w:qFormat/>
    <w:uiPriority w:val="0"/>
    <w:rPr>
      <w:rFonts w:ascii="仿宋_GB2312" w:eastAsia="仿宋_GB2312"/>
      <w:sz w:val="32"/>
    </w:rPr>
  </w:style>
  <w:style w:type="character" w:customStyle="1" w:styleId="100">
    <w:name w:val="Char Char17"/>
    <w:qFormat/>
    <w:uiPriority w:val="0"/>
    <w:rPr>
      <w:rFonts w:hint="default" w:ascii="Times New Roman" w:hAnsi="Times New Roman" w:cs="Times New Roman"/>
      <w:b/>
      <w:bCs/>
      <w:kern w:val="2"/>
      <w:sz w:val="21"/>
      <w:szCs w:val="24"/>
    </w:rPr>
  </w:style>
  <w:style w:type="character" w:customStyle="1" w:styleId="101">
    <w:name w:val="Char Char Char Char Char"/>
    <w:qFormat/>
    <w:uiPriority w:val="0"/>
    <w:rPr>
      <w:rFonts w:eastAsia="宋体"/>
      <w:b/>
      <w:bCs/>
      <w:kern w:val="44"/>
      <w:sz w:val="44"/>
      <w:szCs w:val="44"/>
      <w:lang w:val="en-US" w:eastAsia="zh-CN" w:bidi="ar-SA"/>
    </w:rPr>
  </w:style>
  <w:style w:type="character" w:customStyle="1" w:styleId="102">
    <w:name w:val="标题 Char1"/>
    <w:qFormat/>
    <w:uiPriority w:val="0"/>
    <w:rPr>
      <w:rFonts w:hint="default" w:ascii="Cambria" w:hAnsi="Cambria" w:cs="Times New Roman"/>
      <w:b/>
      <w:bCs/>
      <w:kern w:val="2"/>
      <w:sz w:val="32"/>
      <w:szCs w:val="32"/>
    </w:rPr>
  </w:style>
  <w:style w:type="character" w:customStyle="1" w:styleId="103">
    <w:name w:val="Plain Text Char"/>
    <w:link w:val="104"/>
    <w:qFormat/>
    <w:locked/>
    <w:uiPriority w:val="0"/>
    <w:rPr>
      <w:rFonts w:ascii="宋体" w:hAnsi="Courier New"/>
    </w:rPr>
  </w:style>
  <w:style w:type="paragraph" w:customStyle="1" w:styleId="104">
    <w:name w:val="纯文本1"/>
    <w:basedOn w:val="1"/>
    <w:link w:val="103"/>
    <w:qFormat/>
    <w:uiPriority w:val="0"/>
    <w:rPr>
      <w:rFonts w:ascii="宋体" w:hAnsi="Courier New" w:eastAsiaTheme="minorEastAsia" w:cstheme="minorBidi"/>
      <w:szCs w:val="22"/>
    </w:rPr>
  </w:style>
  <w:style w:type="character" w:customStyle="1" w:styleId="105">
    <w:name w:val="H1 Char2"/>
    <w:qFormat/>
    <w:uiPriority w:val="0"/>
    <w:rPr>
      <w:rFonts w:eastAsia="宋体"/>
      <w:b/>
      <w:bCs/>
      <w:kern w:val="44"/>
      <w:sz w:val="44"/>
      <w:szCs w:val="44"/>
      <w:lang w:val="en-US" w:eastAsia="zh-CN" w:bidi="ar-SA"/>
    </w:rPr>
  </w:style>
  <w:style w:type="character" w:customStyle="1" w:styleId="106">
    <w:name w:val="Char Char23"/>
    <w:qFormat/>
    <w:uiPriority w:val="0"/>
    <w:rPr>
      <w:rFonts w:ascii="Times New Roman" w:hAnsi="Times New Roman" w:eastAsia="宋体" w:cs="Times New Roman"/>
      <w:b/>
      <w:bCs/>
      <w:kern w:val="44"/>
      <w:sz w:val="44"/>
      <w:szCs w:val="44"/>
    </w:rPr>
  </w:style>
  <w:style w:type="character" w:customStyle="1" w:styleId="107">
    <w:name w:val="font11"/>
    <w:qFormat/>
    <w:uiPriority w:val="0"/>
    <w:rPr>
      <w:rFonts w:hint="eastAsia" w:ascii="宋体" w:hAnsi="宋体" w:eastAsia="宋体" w:cs="宋体"/>
      <w:color w:val="000000"/>
      <w:sz w:val="24"/>
      <w:szCs w:val="24"/>
      <w:u w:val="none"/>
    </w:rPr>
  </w:style>
  <w:style w:type="character" w:customStyle="1" w:styleId="108">
    <w:name w:val="ca-0"/>
    <w:qFormat/>
    <w:uiPriority w:val="0"/>
  </w:style>
  <w:style w:type="character" w:customStyle="1" w:styleId="109">
    <w:name w:val="纯文本 Char1"/>
    <w:qFormat/>
    <w:uiPriority w:val="99"/>
    <w:rPr>
      <w:rFonts w:ascii="宋体" w:hAnsi="Courier New" w:eastAsia="宋体" w:cs="Courier New"/>
      <w:kern w:val="2"/>
      <w:sz w:val="21"/>
      <w:szCs w:val="21"/>
      <w:lang w:val="en-US" w:eastAsia="zh-CN" w:bidi="ar-SA"/>
    </w:rPr>
  </w:style>
  <w:style w:type="character" w:customStyle="1" w:styleId="110">
    <w:name w:val="1ji Char"/>
    <w:link w:val="111"/>
    <w:qFormat/>
    <w:uiPriority w:val="0"/>
    <w:rPr>
      <w:rFonts w:ascii="宋体" w:hAnsi="宋体"/>
      <w:b/>
      <w:bCs/>
      <w:kern w:val="44"/>
      <w:sz w:val="36"/>
      <w:szCs w:val="44"/>
    </w:rPr>
  </w:style>
  <w:style w:type="paragraph" w:customStyle="1" w:styleId="111">
    <w:name w:val="1ji"/>
    <w:basedOn w:val="2"/>
    <w:link w:val="110"/>
    <w:qFormat/>
    <w:uiPriority w:val="0"/>
    <w:pPr>
      <w:keepLines w:val="0"/>
      <w:widowControl/>
      <w:spacing w:before="0" w:after="0" w:line="240" w:lineRule="auto"/>
      <w:jc w:val="center"/>
    </w:pPr>
    <w:rPr>
      <w:rFonts w:ascii="宋体" w:hAnsi="宋体" w:eastAsiaTheme="minorEastAsia" w:cstheme="minorBidi"/>
      <w:sz w:val="36"/>
    </w:rPr>
  </w:style>
  <w:style w:type="character" w:customStyle="1" w:styleId="112">
    <w:name w:val="Char Char11"/>
    <w:qFormat/>
    <w:uiPriority w:val="0"/>
    <w:rPr>
      <w:rFonts w:ascii="Times New Roman" w:hAnsi="Times New Roman" w:eastAsia="宋体" w:cs="Times New Roman"/>
      <w:sz w:val="30"/>
      <w:szCs w:val="24"/>
    </w:rPr>
  </w:style>
  <w:style w:type="character" w:customStyle="1" w:styleId="113">
    <w:name w:val="批注主题 Char"/>
    <w:semiHidden/>
    <w:qFormat/>
    <w:uiPriority w:val="0"/>
    <w:rPr>
      <w:b/>
      <w:bCs/>
      <w:szCs w:val="24"/>
    </w:rPr>
  </w:style>
  <w:style w:type="character" w:customStyle="1" w:styleId="114">
    <w:name w:val="font61"/>
    <w:qFormat/>
    <w:uiPriority w:val="0"/>
    <w:rPr>
      <w:rFonts w:hint="eastAsia" w:ascii="黑体" w:hAnsi="宋体" w:eastAsia="黑体" w:cs="黑体"/>
      <w:b/>
      <w:color w:val="000000"/>
      <w:sz w:val="40"/>
      <w:szCs w:val="40"/>
      <w:u w:val="single"/>
    </w:rPr>
  </w:style>
  <w:style w:type="character" w:customStyle="1" w:styleId="115">
    <w:name w:val="无间隔 Char Char"/>
    <w:qFormat/>
    <w:uiPriority w:val="0"/>
    <w:rPr>
      <w:rFonts w:ascii="Calibri" w:hAnsi="Calibri" w:eastAsia="宋体"/>
      <w:sz w:val="22"/>
      <w:szCs w:val="22"/>
      <w:lang w:val="en-US" w:eastAsia="zh-CN" w:bidi="ar-SA"/>
    </w:rPr>
  </w:style>
  <w:style w:type="character" w:customStyle="1" w:styleId="116">
    <w:name w:val="正文文本缩进 2 Char"/>
    <w:qFormat/>
    <w:uiPriority w:val="0"/>
    <w:rPr>
      <w:sz w:val="32"/>
    </w:rPr>
  </w:style>
  <w:style w:type="character" w:customStyle="1" w:styleId="117">
    <w:name w:val="批注文字 Char"/>
    <w:qFormat/>
    <w:uiPriority w:val="0"/>
    <w:rPr>
      <w:sz w:val="24"/>
    </w:rPr>
  </w:style>
  <w:style w:type="character" w:customStyle="1" w:styleId="118">
    <w:name w:val="正文文本 2 Char"/>
    <w:qFormat/>
    <w:uiPriority w:val="0"/>
    <w:rPr>
      <w:szCs w:val="24"/>
    </w:rPr>
  </w:style>
  <w:style w:type="character" w:customStyle="1" w:styleId="119">
    <w:name w:val="font51"/>
    <w:qFormat/>
    <w:uiPriority w:val="0"/>
    <w:rPr>
      <w:rFonts w:hint="eastAsia" w:ascii="黑体" w:hAnsi="宋体" w:eastAsia="黑体" w:cs="黑体"/>
      <w:b/>
      <w:color w:val="000000"/>
      <w:sz w:val="40"/>
      <w:szCs w:val="40"/>
      <w:u w:val="none"/>
    </w:rPr>
  </w:style>
  <w:style w:type="character" w:customStyle="1" w:styleId="120">
    <w:name w:val="页脚 Char"/>
    <w:qFormat/>
    <w:uiPriority w:val="0"/>
    <w:rPr>
      <w:sz w:val="18"/>
      <w:szCs w:val="18"/>
    </w:rPr>
  </w:style>
  <w:style w:type="character" w:customStyle="1" w:styleId="121">
    <w:name w:val="llyf92"/>
    <w:qFormat/>
    <w:uiPriority w:val="0"/>
    <w:rPr>
      <w:sz w:val="18"/>
      <w:szCs w:val="18"/>
    </w:rPr>
  </w:style>
  <w:style w:type="character" w:customStyle="1" w:styleId="122">
    <w:name w:val="Char Char8"/>
    <w:qFormat/>
    <w:locked/>
    <w:uiPriority w:val="0"/>
    <w:rPr>
      <w:rFonts w:ascii="仿宋_GB2312" w:eastAsia="仿宋_GB2312"/>
      <w:kern w:val="2"/>
      <w:sz w:val="32"/>
      <w:lang w:val="en-US" w:eastAsia="zh-CN" w:bidi="ar-SA"/>
    </w:rPr>
  </w:style>
  <w:style w:type="character" w:customStyle="1" w:styleId="123">
    <w:name w:val="列出段落 Char"/>
    <w:link w:val="124"/>
    <w:qFormat/>
    <w:uiPriority w:val="0"/>
    <w:rPr>
      <w:rFonts w:ascii="Calibri" w:hAnsi="Calibri"/>
    </w:rPr>
  </w:style>
  <w:style w:type="paragraph" w:styleId="124">
    <w:name w:val="List Paragraph"/>
    <w:basedOn w:val="1"/>
    <w:link w:val="123"/>
    <w:qFormat/>
    <w:uiPriority w:val="0"/>
    <w:pPr>
      <w:ind w:firstLine="420" w:firstLineChars="200"/>
    </w:pPr>
    <w:rPr>
      <w:rFonts w:ascii="Calibri" w:hAnsi="Calibri" w:eastAsiaTheme="minorEastAsia" w:cstheme="minorBidi"/>
      <w:szCs w:val="22"/>
    </w:rPr>
  </w:style>
  <w:style w:type="character" w:customStyle="1" w:styleId="125">
    <w:name w:val="标题 Char"/>
    <w:qFormat/>
    <w:uiPriority w:val="0"/>
    <w:rPr>
      <w:rFonts w:ascii="Arial" w:hAnsi="Arial"/>
      <w:b/>
      <w:bCs/>
      <w:sz w:val="32"/>
      <w:szCs w:val="32"/>
    </w:rPr>
  </w:style>
  <w:style w:type="character" w:customStyle="1" w:styleId="126">
    <w:name w:val="H1 Char1"/>
    <w:qFormat/>
    <w:uiPriority w:val="0"/>
    <w:rPr>
      <w:rFonts w:eastAsia="宋体"/>
      <w:b/>
      <w:bCs/>
      <w:kern w:val="44"/>
      <w:sz w:val="44"/>
      <w:szCs w:val="44"/>
      <w:lang w:val="en-US" w:eastAsia="zh-CN" w:bidi="ar-SA"/>
    </w:rPr>
  </w:style>
  <w:style w:type="character" w:customStyle="1" w:styleId="127">
    <w:name w:val="批注文字 Char1"/>
    <w:qFormat/>
    <w:locked/>
    <w:uiPriority w:val="99"/>
    <w:rPr>
      <w:sz w:val="24"/>
    </w:rPr>
  </w:style>
  <w:style w:type="character" w:customStyle="1" w:styleId="128">
    <w:name w:val="p1"/>
    <w:basedOn w:val="51"/>
    <w:qFormat/>
    <w:uiPriority w:val="0"/>
  </w:style>
  <w:style w:type="character" w:customStyle="1" w:styleId="129">
    <w:name w:val="font01"/>
    <w:qFormat/>
    <w:uiPriority w:val="0"/>
    <w:rPr>
      <w:rFonts w:hint="default" w:ascii="Times New Roman" w:hAnsi="Times New Roman" w:cs="Times New Roman"/>
      <w:color w:val="000000"/>
      <w:sz w:val="24"/>
      <w:szCs w:val="24"/>
      <w:u w:val="none"/>
    </w:rPr>
  </w:style>
  <w:style w:type="character" w:customStyle="1" w:styleId="130">
    <w:name w:val="style161"/>
    <w:qFormat/>
    <w:uiPriority w:val="0"/>
    <w:rPr>
      <w:color w:val="666666"/>
    </w:rPr>
  </w:style>
  <w:style w:type="character" w:customStyle="1" w:styleId="131">
    <w:name w:val="称呼 Char"/>
    <w:basedOn w:val="51"/>
    <w:link w:val="17"/>
    <w:qFormat/>
    <w:uiPriority w:val="0"/>
    <w:rPr>
      <w:rFonts w:ascii="Times New Roman" w:hAnsi="Times New Roman" w:eastAsia="宋体" w:cs="Times New Roman"/>
      <w:sz w:val="28"/>
      <w:szCs w:val="24"/>
    </w:rPr>
  </w:style>
  <w:style w:type="character" w:customStyle="1" w:styleId="132">
    <w:name w:val="批注文字 Char2"/>
    <w:basedOn w:val="51"/>
    <w:link w:val="16"/>
    <w:qFormat/>
    <w:uiPriority w:val="0"/>
    <w:rPr>
      <w:rFonts w:ascii="Times New Roman" w:hAnsi="Times New Roman" w:eastAsia="宋体" w:cs="Times New Roman"/>
      <w:szCs w:val="24"/>
    </w:rPr>
  </w:style>
  <w:style w:type="character" w:customStyle="1" w:styleId="133">
    <w:name w:val="纯文本 Char2"/>
    <w:basedOn w:val="51"/>
    <w:link w:val="26"/>
    <w:qFormat/>
    <w:uiPriority w:val="0"/>
    <w:rPr>
      <w:rFonts w:ascii="宋体" w:hAnsi="Courier New" w:eastAsia="宋体" w:cs="Courier New"/>
      <w:szCs w:val="21"/>
    </w:rPr>
  </w:style>
  <w:style w:type="character" w:customStyle="1" w:styleId="134">
    <w:name w:val="正文文本 Char1"/>
    <w:basedOn w:val="51"/>
    <w:link w:val="19"/>
    <w:qFormat/>
    <w:uiPriority w:val="0"/>
    <w:rPr>
      <w:rFonts w:ascii="Times New Roman" w:hAnsi="Times New Roman" w:eastAsia="宋体" w:cs="Times New Roman"/>
      <w:szCs w:val="24"/>
    </w:rPr>
  </w:style>
  <w:style w:type="character" w:customStyle="1" w:styleId="135">
    <w:name w:val="日期 Char1"/>
    <w:basedOn w:val="51"/>
    <w:link w:val="28"/>
    <w:qFormat/>
    <w:uiPriority w:val="0"/>
    <w:rPr>
      <w:rFonts w:ascii="Times New Roman" w:hAnsi="Times New Roman" w:eastAsia="宋体" w:cs="Times New Roman"/>
      <w:szCs w:val="24"/>
    </w:rPr>
  </w:style>
  <w:style w:type="character" w:customStyle="1" w:styleId="136">
    <w:name w:val="尾注文本 Char"/>
    <w:basedOn w:val="51"/>
    <w:link w:val="30"/>
    <w:qFormat/>
    <w:uiPriority w:val="0"/>
    <w:rPr>
      <w:rFonts w:ascii="Calibri" w:hAnsi="Calibri" w:eastAsia="宋体" w:cs="Times New Roman"/>
    </w:rPr>
  </w:style>
  <w:style w:type="character" w:customStyle="1" w:styleId="137">
    <w:name w:val="正文文本缩进 Char2"/>
    <w:basedOn w:val="51"/>
    <w:link w:val="20"/>
    <w:qFormat/>
    <w:uiPriority w:val="0"/>
    <w:rPr>
      <w:rFonts w:ascii="Times New Roman" w:hAnsi="Times New Roman" w:eastAsia="宋体" w:cs="Times New Roman"/>
      <w:szCs w:val="24"/>
    </w:rPr>
  </w:style>
  <w:style w:type="character" w:customStyle="1" w:styleId="138">
    <w:name w:val="页脚 Char1"/>
    <w:basedOn w:val="51"/>
    <w:link w:val="32"/>
    <w:qFormat/>
    <w:uiPriority w:val="0"/>
    <w:rPr>
      <w:rFonts w:ascii="Times New Roman" w:hAnsi="Times New Roman" w:eastAsia="宋体" w:cs="Times New Roman"/>
      <w:sz w:val="18"/>
      <w:szCs w:val="18"/>
    </w:rPr>
  </w:style>
  <w:style w:type="character" w:customStyle="1" w:styleId="139">
    <w:name w:val="批注主题 Char1"/>
    <w:basedOn w:val="132"/>
    <w:link w:val="48"/>
    <w:semiHidden/>
    <w:qFormat/>
    <w:uiPriority w:val="0"/>
    <w:rPr>
      <w:rFonts w:ascii="Times New Roman" w:hAnsi="Times New Roman" w:eastAsia="宋体" w:cs="Times New Roman"/>
      <w:b/>
      <w:bCs/>
      <w:szCs w:val="24"/>
    </w:rPr>
  </w:style>
  <w:style w:type="character" w:customStyle="1" w:styleId="140">
    <w:name w:val="页眉 Char1"/>
    <w:basedOn w:val="51"/>
    <w:link w:val="33"/>
    <w:qFormat/>
    <w:uiPriority w:val="99"/>
    <w:rPr>
      <w:rFonts w:ascii="Times New Roman" w:hAnsi="Times New Roman" w:eastAsia="宋体" w:cs="Times New Roman"/>
      <w:sz w:val="18"/>
      <w:szCs w:val="18"/>
    </w:rPr>
  </w:style>
  <w:style w:type="character" w:customStyle="1" w:styleId="141">
    <w:name w:val="文档结构图 Char1"/>
    <w:basedOn w:val="51"/>
    <w:link w:val="15"/>
    <w:semiHidden/>
    <w:qFormat/>
    <w:uiPriority w:val="0"/>
    <w:rPr>
      <w:rFonts w:ascii="宋体" w:hAnsi="Times New Roman" w:eastAsia="宋体" w:cs="Times New Roman"/>
      <w:sz w:val="18"/>
      <w:szCs w:val="18"/>
    </w:rPr>
  </w:style>
  <w:style w:type="character" w:customStyle="1" w:styleId="142">
    <w:name w:val="正文文本 3 Char1"/>
    <w:basedOn w:val="51"/>
    <w:link w:val="18"/>
    <w:qFormat/>
    <w:uiPriority w:val="0"/>
    <w:rPr>
      <w:rFonts w:ascii="Times New Roman" w:hAnsi="Times New Roman" w:eastAsia="宋体" w:cs="Times New Roman"/>
      <w:sz w:val="16"/>
      <w:szCs w:val="16"/>
    </w:rPr>
  </w:style>
  <w:style w:type="character" w:customStyle="1" w:styleId="143">
    <w:name w:val="批注框文本 Char1"/>
    <w:basedOn w:val="51"/>
    <w:link w:val="31"/>
    <w:semiHidden/>
    <w:qFormat/>
    <w:uiPriority w:val="0"/>
    <w:rPr>
      <w:rFonts w:ascii="Times New Roman" w:hAnsi="Times New Roman" w:eastAsia="宋体" w:cs="Times New Roman"/>
      <w:sz w:val="18"/>
      <w:szCs w:val="18"/>
    </w:rPr>
  </w:style>
  <w:style w:type="character" w:customStyle="1" w:styleId="144">
    <w:name w:val="正文文本缩进 2 Char1"/>
    <w:basedOn w:val="51"/>
    <w:link w:val="29"/>
    <w:qFormat/>
    <w:uiPriority w:val="0"/>
    <w:rPr>
      <w:rFonts w:ascii="Times New Roman" w:hAnsi="Times New Roman" w:eastAsia="宋体" w:cs="Times New Roman"/>
      <w:szCs w:val="24"/>
    </w:rPr>
  </w:style>
  <w:style w:type="paragraph" w:customStyle="1" w:styleId="145">
    <w:name w:val="插图题注"/>
    <w:next w:val="1"/>
    <w:qFormat/>
    <w:uiPriority w:val="0"/>
    <w:pPr>
      <w:spacing w:afterLines="100"/>
      <w:ind w:left="1089" w:hanging="369"/>
      <w:jc w:val="center"/>
    </w:pPr>
    <w:rPr>
      <w:rFonts w:ascii="Arial" w:hAnsi="Arial" w:eastAsia="宋体" w:cs="Times New Roman"/>
      <w:sz w:val="18"/>
      <w:szCs w:val="18"/>
      <w:lang w:val="en-US" w:eastAsia="zh-CN" w:bidi="ar-SA"/>
    </w:rPr>
  </w:style>
  <w:style w:type="paragraph" w:customStyle="1" w:styleId="146">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147">
    <w:name w:val="样式1"/>
    <w:basedOn w:val="1"/>
    <w:qFormat/>
    <w:uiPriority w:val="0"/>
    <w:pPr>
      <w:spacing w:before="120" w:after="120" w:line="300" w:lineRule="auto"/>
    </w:pPr>
    <w:rPr>
      <w:rFonts w:ascii="宋体" w:hAnsi="宋体"/>
      <w:b/>
      <w:sz w:val="24"/>
      <w:szCs w:val="20"/>
    </w:rPr>
  </w:style>
  <w:style w:type="character" w:customStyle="1" w:styleId="148">
    <w:name w:val="正文文本缩进 3 Char1"/>
    <w:basedOn w:val="51"/>
    <w:link w:val="40"/>
    <w:qFormat/>
    <w:uiPriority w:val="0"/>
    <w:rPr>
      <w:rFonts w:ascii="Times New Roman" w:hAnsi="Times New Roman" w:eastAsia="宋体" w:cs="Times New Roman"/>
      <w:sz w:val="16"/>
      <w:szCs w:val="16"/>
    </w:rPr>
  </w:style>
  <w:style w:type="paragraph" w:customStyle="1" w:styleId="149">
    <w:name w:val="Char Char1 Char Char Char Char"/>
    <w:basedOn w:val="15"/>
    <w:qFormat/>
    <w:uiPriority w:val="0"/>
    <w:rPr>
      <w:rFonts w:ascii="Tahoma" w:hAnsi="Tahoma"/>
      <w:sz w:val="24"/>
    </w:rPr>
  </w:style>
  <w:style w:type="paragraph" w:customStyle="1" w:styleId="150">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1">
    <w:name w:val="表内文字"/>
    <w:basedOn w:val="1"/>
    <w:qFormat/>
    <w:uiPriority w:val="0"/>
    <w:pPr>
      <w:snapToGrid w:val="0"/>
      <w:spacing w:before="50" w:after="50" w:line="360" w:lineRule="exact"/>
    </w:pPr>
    <w:rPr>
      <w:rFonts w:ascii="宋体" w:hAnsi="宋体"/>
      <w:b/>
      <w:color w:val="0000FF"/>
      <w:szCs w:val="21"/>
    </w:rPr>
  </w:style>
  <w:style w:type="paragraph" w:customStyle="1" w:styleId="152">
    <w:name w:val="目录标题"/>
    <w:basedOn w:val="1"/>
    <w:next w:val="1"/>
    <w:uiPriority w:val="0"/>
    <w:pPr>
      <w:widowControl/>
      <w:spacing w:before="566" w:after="544" w:line="566" w:lineRule="atLeast"/>
      <w:ind w:firstLine="419"/>
      <w:jc w:val="center"/>
      <w:textAlignment w:val="baseline"/>
    </w:pPr>
    <w:rPr>
      <w:rFonts w:ascii="Arial" w:eastAsia="黑体"/>
      <w:color w:val="000000"/>
      <w:spacing w:val="566"/>
      <w:kern w:val="0"/>
      <w:sz w:val="54"/>
      <w:szCs w:val="20"/>
      <w:u w:color="000000"/>
    </w:rPr>
  </w:style>
  <w:style w:type="paragraph" w:customStyle="1" w:styleId="153">
    <w:name w:val="目录2"/>
    <w:basedOn w:val="1"/>
    <w:next w:val="1"/>
    <w:qFormat/>
    <w:uiPriority w:val="0"/>
    <w:pPr>
      <w:widowControl/>
      <w:tabs>
        <w:tab w:val="left" w:leader="dot" w:pos="8503"/>
      </w:tabs>
      <w:spacing w:line="317" w:lineRule="atLeast"/>
      <w:ind w:firstLine="209"/>
      <w:textAlignment w:val="baseline"/>
    </w:pPr>
    <w:rPr>
      <w:color w:val="000000"/>
      <w:kern w:val="0"/>
      <w:szCs w:val="20"/>
      <w:u w:color="000000"/>
    </w:rPr>
  </w:style>
  <w:style w:type="paragraph" w:customStyle="1" w:styleId="154">
    <w:name w:val="附录表标题"/>
    <w:next w:val="1"/>
    <w:qFormat/>
    <w:uiPriority w:val="0"/>
    <w:pPr>
      <w:jc w:val="center"/>
    </w:pPr>
    <w:rPr>
      <w:rFonts w:ascii="黑体" w:hAnsi="Times New Roman" w:eastAsia="黑体" w:cs="Times New Roman"/>
      <w:kern w:val="21"/>
      <w:sz w:val="21"/>
      <w:lang w:val="en-US" w:eastAsia="zh-CN" w:bidi="ar-SA"/>
    </w:rPr>
  </w:style>
  <w:style w:type="paragraph" w:customStyle="1" w:styleId="155">
    <w:name w:val="Char"/>
    <w:basedOn w:val="15"/>
    <w:uiPriority w:val="0"/>
    <w:pPr>
      <w:widowControl/>
      <w:ind w:firstLine="454"/>
      <w:jc w:val="left"/>
    </w:pPr>
    <w:rPr>
      <w:rFonts w:ascii="Tahoma" w:hAnsi="Tahoma" w:cs="宋体"/>
      <w:kern w:val="0"/>
      <w:sz w:val="24"/>
      <w:szCs w:val="20"/>
    </w:rPr>
  </w:style>
  <w:style w:type="character" w:customStyle="1" w:styleId="156">
    <w:name w:val="HTML 预设格式 Char1"/>
    <w:basedOn w:val="51"/>
    <w:link w:val="44"/>
    <w:qFormat/>
    <w:uiPriority w:val="99"/>
    <w:rPr>
      <w:rFonts w:ascii="Courier New" w:hAnsi="Courier New" w:eastAsia="宋体" w:cs="Courier New"/>
      <w:sz w:val="20"/>
      <w:szCs w:val="20"/>
    </w:rPr>
  </w:style>
  <w:style w:type="paragraph" w:customStyle="1" w:styleId="157">
    <w:name w:val="Char Char1"/>
    <w:basedOn w:val="1"/>
    <w:uiPriority w:val="0"/>
    <w:pPr>
      <w:widowControl/>
      <w:spacing w:after="160" w:line="240" w:lineRule="exact"/>
      <w:jc w:val="left"/>
    </w:pPr>
    <w:rPr>
      <w:rFonts w:ascii="Verdana" w:hAnsi="Verdana" w:eastAsia="楷体_GB2312" w:cs="宋体"/>
      <w:b/>
      <w:i/>
      <w:iCs/>
      <w:color w:val="000000"/>
      <w:kern w:val="0"/>
      <w:sz w:val="20"/>
      <w:lang w:eastAsia="en-US"/>
    </w:rPr>
  </w:style>
  <w:style w:type="character" w:customStyle="1" w:styleId="158">
    <w:name w:val="正文文本 2 Char1"/>
    <w:basedOn w:val="51"/>
    <w:link w:val="43"/>
    <w:qFormat/>
    <w:uiPriority w:val="0"/>
    <w:rPr>
      <w:rFonts w:ascii="Times New Roman" w:hAnsi="Times New Roman" w:eastAsia="宋体" w:cs="Times New Roman"/>
      <w:szCs w:val="24"/>
    </w:rPr>
  </w:style>
  <w:style w:type="paragraph" w:customStyle="1" w:styleId="159">
    <w:name w:val="Char2"/>
    <w:basedOn w:val="1"/>
    <w:uiPriority w:val="0"/>
    <w:rPr>
      <w:szCs w:val="20"/>
    </w:rPr>
  </w:style>
  <w:style w:type="paragraph" w:customStyle="1" w:styleId="160">
    <w:name w:val="444"/>
    <w:basedOn w:val="1"/>
    <w:uiPriority w:val="0"/>
    <w:pPr>
      <w:adjustRightInd w:val="0"/>
      <w:spacing w:line="312" w:lineRule="atLeast"/>
      <w:jc w:val="center"/>
      <w:textAlignment w:val="baseline"/>
    </w:pPr>
    <w:rPr>
      <w:b/>
      <w:kern w:val="0"/>
      <w:sz w:val="36"/>
      <w:szCs w:val="36"/>
    </w:rPr>
  </w:style>
  <w:style w:type="character" w:customStyle="1" w:styleId="161">
    <w:name w:val="标题 Char2"/>
    <w:basedOn w:val="51"/>
    <w:link w:val="47"/>
    <w:uiPriority w:val="0"/>
    <w:rPr>
      <w:rFonts w:eastAsia="宋体" w:asciiTheme="majorHAnsi" w:hAnsiTheme="majorHAnsi" w:cstheme="majorBidi"/>
      <w:b/>
      <w:bCs/>
      <w:sz w:val="32"/>
      <w:szCs w:val="32"/>
    </w:rPr>
  </w:style>
  <w:style w:type="paragraph" w:customStyle="1" w:styleId="162">
    <w:name w:val="Char Char Char1 Char"/>
    <w:basedOn w:val="1"/>
    <w:uiPriority w:val="0"/>
    <w:pPr>
      <w:tabs>
        <w:tab w:val="left" w:pos="360"/>
      </w:tabs>
      <w:spacing w:line="360" w:lineRule="auto"/>
      <w:ind w:left="482" w:firstLine="200" w:firstLineChars="200"/>
    </w:pPr>
    <w:rPr>
      <w:rFonts w:ascii="宋体"/>
      <w:sz w:val="24"/>
      <w:szCs w:val="20"/>
    </w:rPr>
  </w:style>
  <w:style w:type="paragraph" w:customStyle="1" w:styleId="163">
    <w:name w:val="Char Char Char1"/>
    <w:basedOn w:val="1"/>
    <w:uiPriority w:val="0"/>
    <w:pPr>
      <w:widowControl/>
      <w:spacing w:after="160" w:line="240" w:lineRule="exact"/>
      <w:jc w:val="left"/>
    </w:pPr>
    <w:rPr>
      <w:rFonts w:ascii="Verdana" w:hAnsi="Verdana"/>
      <w:kern w:val="0"/>
      <w:sz w:val="20"/>
      <w:szCs w:val="20"/>
      <w:lang w:eastAsia="en-US"/>
    </w:rPr>
  </w:style>
  <w:style w:type="paragraph" w:customStyle="1" w:styleId="164">
    <w:name w:val="Char Char Char Char"/>
    <w:basedOn w:val="15"/>
    <w:uiPriority w:val="0"/>
    <w:pPr>
      <w:adjustRightInd w:val="0"/>
      <w:snapToGrid w:val="0"/>
      <w:spacing w:line="360" w:lineRule="auto"/>
    </w:pPr>
    <w:rPr>
      <w:rFonts w:ascii="Tahoma" w:hAnsi="Tahoma"/>
      <w:sz w:val="24"/>
    </w:rPr>
  </w:style>
  <w:style w:type="paragraph" w:customStyle="1" w:styleId="165">
    <w:name w:val="Char Char Char Char Char Char Char"/>
    <w:basedOn w:val="1"/>
    <w:uiPriority w:val="0"/>
    <w:pPr>
      <w:snapToGrid w:val="0"/>
      <w:spacing w:line="360" w:lineRule="auto"/>
      <w:ind w:firstLine="200" w:firstLineChars="200"/>
    </w:pPr>
    <w:rPr>
      <w:rFonts w:eastAsia="仿宋_GB2312"/>
      <w:sz w:val="24"/>
    </w:rPr>
  </w:style>
  <w:style w:type="paragraph" w:customStyle="1" w:styleId="166">
    <w:name w:val="小节标题"/>
    <w:basedOn w:val="1"/>
    <w:next w:val="1"/>
    <w:uiPriority w:val="0"/>
    <w:pPr>
      <w:widowControl/>
      <w:spacing w:before="175" w:after="102" w:line="351" w:lineRule="atLeast"/>
      <w:textAlignment w:val="baseline"/>
    </w:pPr>
    <w:rPr>
      <w:rFonts w:eastAsia="黑体"/>
      <w:color w:val="000000"/>
      <w:kern w:val="0"/>
      <w:szCs w:val="20"/>
      <w:u w:color="000000"/>
    </w:rPr>
  </w:style>
  <w:style w:type="paragraph" w:customStyle="1" w:styleId="167">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68">
    <w:name w:val="4"/>
    <w:basedOn w:val="1"/>
    <w:next w:val="29"/>
    <w:qFormat/>
    <w:uiPriority w:val="0"/>
    <w:pPr>
      <w:spacing w:line="420" w:lineRule="exact"/>
      <w:ind w:firstLine="409" w:firstLineChars="195"/>
    </w:pPr>
  </w:style>
  <w:style w:type="paragraph" w:customStyle="1" w:styleId="169">
    <w:name w:val="样式 标题 2 + Times New Roman 四号 非加粗 段前: 5 磅 段后: 0 磅 行距: 固定值 20..."/>
    <w:basedOn w:val="3"/>
    <w:uiPriority w:val="0"/>
    <w:pPr>
      <w:spacing w:before="100" w:after="0" w:line="400" w:lineRule="exact"/>
    </w:pPr>
    <w:rPr>
      <w:rFonts w:ascii="Times New Roman" w:hAnsi="Times New Roman" w:cs="宋体"/>
      <w:b w:val="0"/>
      <w:bCs w:val="0"/>
      <w:sz w:val="28"/>
      <w:szCs w:val="20"/>
    </w:rPr>
  </w:style>
  <w:style w:type="paragraph" w:customStyle="1" w:styleId="170">
    <w:name w:val="标题1"/>
    <w:basedOn w:val="2"/>
    <w:uiPriority w:val="0"/>
    <w:pPr>
      <w:keepLines w:val="0"/>
      <w:widowControl/>
      <w:pBdr>
        <w:bottom w:val="single" w:color="auto" w:sz="8" w:space="6"/>
      </w:pBdr>
      <w:tabs>
        <w:tab w:val="left" w:pos="0"/>
      </w:tabs>
      <w:spacing w:before="480" w:after="240" w:line="360" w:lineRule="auto"/>
      <w:ind w:left="567" w:hanging="567"/>
      <w:jc w:val="left"/>
    </w:pPr>
    <w:rPr>
      <w:rFonts w:ascii="宋体" w:hAnsi="宋体"/>
      <w:smallCaps/>
      <w:color w:val="000000"/>
      <w:spacing w:val="10"/>
      <w:kern w:val="20"/>
      <w:sz w:val="21"/>
      <w:szCs w:val="21"/>
    </w:rPr>
  </w:style>
  <w:style w:type="paragraph" w:customStyle="1" w:styleId="171">
    <w:name w:val="表格题注"/>
    <w:next w:val="1"/>
    <w:uiPriority w:val="0"/>
    <w:pPr>
      <w:keepLines/>
      <w:spacing w:beforeLines="100"/>
      <w:ind w:left="1089" w:hanging="369"/>
      <w:jc w:val="center"/>
    </w:pPr>
    <w:rPr>
      <w:rFonts w:ascii="Arial" w:hAnsi="Arial" w:eastAsia="宋体" w:cs="Times New Roman"/>
      <w:sz w:val="18"/>
      <w:szCs w:val="18"/>
      <w:lang w:val="en-US" w:eastAsia="zh-CN" w:bidi="ar-SA"/>
    </w:rPr>
  </w:style>
  <w:style w:type="paragraph" w:customStyle="1" w:styleId="172">
    <w:name w:val="样式 标题 3 + (中文) 黑体 小四 非加粗 段前: 7.8 磅 段后: 0 磅 行距: 固定值 20 磅"/>
    <w:basedOn w:val="4"/>
    <w:uiPriority w:val="0"/>
    <w:pPr>
      <w:spacing w:before="0" w:after="0" w:line="400" w:lineRule="exact"/>
    </w:pPr>
    <w:rPr>
      <w:rFonts w:eastAsia="黑体" w:cs="宋体"/>
      <w:b w:val="0"/>
      <w:bCs w:val="0"/>
      <w:sz w:val="24"/>
      <w:szCs w:val="20"/>
    </w:rPr>
  </w:style>
  <w:style w:type="paragraph" w:customStyle="1" w:styleId="173">
    <w:name w:val="样式 标题 2 + (西文) 宋体 非加粗 居中"/>
    <w:basedOn w:val="3"/>
    <w:uiPriority w:val="0"/>
    <w:pPr>
      <w:jc w:val="center"/>
    </w:pPr>
    <w:rPr>
      <w:rFonts w:ascii="宋体" w:hAnsi="宋体" w:cs="宋体"/>
      <w:b w:val="0"/>
      <w:bCs w:val="0"/>
      <w:spacing w:val="2"/>
      <w:sz w:val="28"/>
      <w:szCs w:val="20"/>
    </w:rPr>
  </w:style>
  <w:style w:type="paragraph" w:customStyle="1" w:styleId="174">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5">
    <w:name w:val="p0"/>
    <w:basedOn w:val="1"/>
    <w:qFormat/>
    <w:uiPriority w:val="0"/>
    <w:pPr>
      <w:widowControl/>
    </w:pPr>
    <w:rPr>
      <w:kern w:val="0"/>
      <w:szCs w:val="21"/>
    </w:rPr>
  </w:style>
  <w:style w:type="paragraph" w:customStyle="1" w:styleId="176">
    <w:name w:val="节标题"/>
    <w:basedOn w:val="1"/>
    <w:next w:val="166"/>
    <w:uiPriority w:val="0"/>
    <w:pPr>
      <w:widowControl/>
      <w:spacing w:line="289" w:lineRule="atLeast"/>
      <w:jc w:val="center"/>
      <w:textAlignment w:val="baseline"/>
    </w:pPr>
    <w:rPr>
      <w:color w:val="000000"/>
      <w:kern w:val="0"/>
      <w:sz w:val="28"/>
      <w:szCs w:val="20"/>
      <w:u w:color="000000"/>
    </w:rPr>
  </w:style>
  <w:style w:type="paragraph" w:customStyle="1" w:styleId="177">
    <w:name w:val="列出段落1"/>
    <w:uiPriority w:val="0"/>
    <w:pPr>
      <w:ind w:firstLine="420" w:firstLineChars="200"/>
    </w:pPr>
    <w:rPr>
      <w:rFonts w:ascii="Calibri" w:hAnsi="Calibri" w:eastAsia="宋体" w:cs="Times New Roman"/>
      <w:szCs w:val="22"/>
      <w:lang w:val="en-US" w:eastAsia="zh-CN" w:bidi="ar-SA"/>
    </w:rPr>
  </w:style>
  <w:style w:type="paragraph" w:customStyle="1" w:styleId="178">
    <w:name w:val="Default Paragraph Font Para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179">
    <w:name w:val="Char11"/>
    <w:basedOn w:val="15"/>
    <w:uiPriority w:val="0"/>
    <w:pPr>
      <w:widowControl/>
      <w:ind w:firstLine="454"/>
      <w:jc w:val="left"/>
    </w:pPr>
    <w:rPr>
      <w:rFonts w:ascii="Tahoma" w:hAnsi="Tahoma" w:cs="宋体"/>
      <w:kern w:val="0"/>
      <w:sz w:val="24"/>
      <w:szCs w:val="20"/>
    </w:rPr>
  </w:style>
  <w:style w:type="paragraph" w:customStyle="1" w:styleId="180">
    <w:name w:val="正文段"/>
    <w:basedOn w:val="1"/>
    <w:uiPriority w:val="0"/>
    <w:pPr>
      <w:widowControl/>
      <w:snapToGrid w:val="0"/>
      <w:spacing w:afterLines="50"/>
      <w:ind w:firstLine="200" w:firstLineChars="200"/>
    </w:pPr>
    <w:rPr>
      <w:kern w:val="0"/>
      <w:sz w:val="24"/>
      <w:szCs w:val="20"/>
    </w:rPr>
  </w:style>
  <w:style w:type="paragraph" w:customStyle="1" w:styleId="181">
    <w:name w:val="标题3"/>
    <w:basedOn w:val="4"/>
    <w:uiPriority w:val="0"/>
    <w:pPr>
      <w:keepLines w:val="0"/>
      <w:widowControl/>
      <w:tabs>
        <w:tab w:val="left" w:pos="1247"/>
      </w:tabs>
      <w:spacing w:before="240" w:after="120" w:line="360" w:lineRule="auto"/>
      <w:ind w:left="1247" w:hanging="1247"/>
      <w:jc w:val="left"/>
    </w:pPr>
    <w:rPr>
      <w:rFonts w:ascii="Arial" w:hAnsi="Arial"/>
      <w:sz w:val="52"/>
      <w:szCs w:val="52"/>
    </w:rPr>
  </w:style>
  <w:style w:type="paragraph" w:customStyle="1" w:styleId="182">
    <w:name w:val="样式3"/>
    <w:basedOn w:val="1"/>
    <w:uiPriority w:val="0"/>
    <w:pPr>
      <w:tabs>
        <w:tab w:val="left" w:pos="560"/>
        <w:tab w:val="left" w:pos="1120"/>
      </w:tabs>
      <w:spacing w:line="480" w:lineRule="atLeast"/>
    </w:pPr>
    <w:rPr>
      <w:rFonts w:ascii="宋体" w:eastAsia="创艺简黑体"/>
      <w:szCs w:val="20"/>
    </w:rPr>
  </w:style>
  <w:style w:type="paragraph" w:customStyle="1" w:styleId="183">
    <w:name w:val="1"/>
    <w:basedOn w:val="1"/>
    <w:next w:val="26"/>
    <w:uiPriority w:val="0"/>
    <w:rPr>
      <w:rFonts w:ascii="宋体" w:hAnsi="Courier New"/>
      <w:szCs w:val="20"/>
    </w:rPr>
  </w:style>
  <w:style w:type="paragraph" w:customStyle="1" w:styleId="184">
    <w:name w:val="Char Char Char Char Char Char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185">
    <w:name w:val="目录1"/>
    <w:basedOn w:val="1"/>
    <w:next w:val="1"/>
    <w:uiPriority w:val="0"/>
    <w:pPr>
      <w:widowControl/>
      <w:tabs>
        <w:tab w:val="left" w:leader="dot" w:pos="8503"/>
      </w:tabs>
      <w:spacing w:after="136" w:line="289" w:lineRule="atLeast"/>
      <w:jc w:val="left"/>
      <w:textAlignment w:val="baseline"/>
    </w:pPr>
    <w:rPr>
      <w:rFonts w:ascii="Arial" w:eastAsia="黑体"/>
      <w:color w:val="000000"/>
      <w:kern w:val="0"/>
      <w:sz w:val="28"/>
      <w:szCs w:val="20"/>
      <w:u w:color="000000"/>
    </w:rPr>
  </w:style>
  <w:style w:type="paragraph" w:customStyle="1" w:styleId="186">
    <w:name w:val="表格"/>
    <w:basedOn w:val="1"/>
    <w:uiPriority w:val="0"/>
    <w:pPr>
      <w:spacing w:line="400" w:lineRule="exact"/>
    </w:pPr>
    <w:rPr>
      <w:sz w:val="24"/>
    </w:rPr>
  </w:style>
  <w:style w:type="paragraph" w:customStyle="1" w:styleId="187">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8">
    <w:name w:val="Char Char Char Char Char Char Char Char Char Char Char Char Char Char Char Char1"/>
    <w:basedOn w:val="1"/>
    <w:uiPriority w:val="0"/>
    <w:pPr>
      <w:tabs>
        <w:tab w:val="left" w:pos="360"/>
      </w:tabs>
      <w:spacing w:line="360" w:lineRule="auto"/>
      <w:ind w:left="482" w:firstLine="200" w:firstLineChars="200"/>
    </w:pPr>
    <w:rPr>
      <w:rFonts w:ascii="宋体"/>
      <w:sz w:val="24"/>
    </w:rPr>
  </w:style>
  <w:style w:type="paragraph" w:customStyle="1" w:styleId="189">
    <w:name w:val="正文首行缩进两字符"/>
    <w:basedOn w:val="1"/>
    <w:uiPriority w:val="0"/>
    <w:pPr>
      <w:spacing w:line="360" w:lineRule="auto"/>
      <w:ind w:firstLine="200" w:firstLineChars="200"/>
    </w:pPr>
  </w:style>
  <w:style w:type="paragraph" w:customStyle="1" w:styleId="190">
    <w:name w:val="默认段落字体 Para Char Char Char Char Char Char Char Char Char1 Char Char Char Char"/>
    <w:basedOn w:val="1"/>
    <w:uiPriority w:val="0"/>
    <w:rPr>
      <w:rFonts w:ascii="Tahoma" w:hAnsi="Tahoma"/>
      <w:sz w:val="24"/>
      <w:szCs w:val="20"/>
    </w:rPr>
  </w:style>
  <w:style w:type="paragraph" w:customStyle="1" w:styleId="191">
    <w:name w:val="Char1"/>
    <w:basedOn w:val="1"/>
    <w:uiPriority w:val="0"/>
    <w:rPr>
      <w:szCs w:val="21"/>
    </w:rPr>
  </w:style>
  <w:style w:type="paragraph" w:customStyle="1" w:styleId="192">
    <w:name w:val="样式 首行缩进:  2 字符"/>
    <w:basedOn w:val="1"/>
    <w:uiPriority w:val="0"/>
    <w:pPr>
      <w:spacing w:line="400" w:lineRule="exact"/>
      <w:ind w:firstLine="200" w:firstLineChars="200"/>
    </w:pPr>
    <w:rPr>
      <w:rFonts w:cs="宋体"/>
      <w:sz w:val="24"/>
    </w:rPr>
  </w:style>
  <w:style w:type="paragraph" w:customStyle="1" w:styleId="193">
    <w:name w:val="Char Char Char Char Char Char Char Char Char"/>
    <w:basedOn w:val="1"/>
    <w:uiPriority w:val="0"/>
    <w:pPr>
      <w:widowControl/>
      <w:spacing w:after="160" w:line="240" w:lineRule="exact"/>
      <w:jc w:val="left"/>
    </w:pPr>
    <w:rPr>
      <w:szCs w:val="20"/>
    </w:rPr>
  </w:style>
  <w:style w:type="paragraph" w:customStyle="1" w:styleId="194">
    <w:name w:val="样式"/>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95">
    <w:name w:val="样式 正文文字 + 小四 段后: 0 磅 行距: 1.5 倍行距"/>
    <w:basedOn w:val="19"/>
    <w:uiPriority w:val="0"/>
    <w:pPr>
      <w:spacing w:line="360" w:lineRule="auto"/>
      <w:ind w:firstLine="480" w:firstLineChars="200"/>
    </w:pPr>
    <w:rPr>
      <w:rFonts w:cs="宋体"/>
      <w:szCs w:val="20"/>
    </w:rPr>
  </w:style>
  <w:style w:type="paragraph" w:customStyle="1" w:styleId="196">
    <w:name w:val="Char Char1 Char Char Char Char1"/>
    <w:basedOn w:val="15"/>
    <w:uiPriority w:val="0"/>
    <w:rPr>
      <w:rFonts w:ascii="Tahoma" w:hAnsi="Tahoma"/>
      <w:sz w:val="24"/>
    </w:rPr>
  </w:style>
  <w:style w:type="paragraph" w:customStyle="1" w:styleId="197">
    <w:name w:val="表项"/>
    <w:next w:val="1"/>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98">
    <w:name w:val="p16"/>
    <w:basedOn w:val="1"/>
    <w:qFormat/>
    <w:uiPriority w:val="0"/>
    <w:pPr>
      <w:widowControl/>
    </w:pPr>
    <w:rPr>
      <w:rFonts w:ascii="宋体" w:hAnsi="宋体" w:cs="宋体"/>
      <w:kern w:val="0"/>
      <w:szCs w:val="21"/>
    </w:rPr>
  </w:style>
  <w:style w:type="paragraph" w:customStyle="1" w:styleId="199">
    <w:name w:val="Body"/>
    <w:basedOn w:val="1"/>
    <w:uiPriority w:val="0"/>
    <w:pPr>
      <w:widowControl/>
      <w:tabs>
        <w:tab w:val="left" w:pos="1980"/>
      </w:tabs>
      <w:spacing w:before="80" w:after="80" w:line="360" w:lineRule="auto"/>
      <w:jc w:val="center"/>
    </w:pPr>
    <w:rPr>
      <w:szCs w:val="21"/>
    </w:rPr>
  </w:style>
  <w:style w:type="paragraph" w:customStyle="1" w:styleId="200">
    <w:name w:val="2-2ji"/>
    <w:basedOn w:val="3"/>
    <w:uiPriority w:val="0"/>
    <w:pPr>
      <w:adjustRightInd w:val="0"/>
      <w:spacing w:before="0" w:after="0" w:line="360" w:lineRule="auto"/>
      <w:jc w:val="center"/>
      <w:textAlignment w:val="baseline"/>
    </w:pPr>
    <w:rPr>
      <w:rFonts w:ascii="宋体" w:hAnsi="宋体" w:eastAsia="宋体"/>
      <w:bCs w:val="0"/>
      <w:sz w:val="36"/>
    </w:rPr>
  </w:style>
  <w:style w:type="paragraph" w:customStyle="1" w:styleId="201">
    <w:name w:val="默认段落字体 Para Char"/>
    <w:basedOn w:val="1"/>
    <w:uiPriority w:val="0"/>
    <w:pPr>
      <w:adjustRightInd w:val="0"/>
      <w:spacing w:line="360" w:lineRule="auto"/>
    </w:pPr>
    <w:rPr>
      <w:szCs w:val="20"/>
    </w:rPr>
  </w:style>
  <w:style w:type="paragraph" w:customStyle="1" w:styleId="202">
    <w:name w:val="正文文本缩进 Char Char Char Char"/>
    <w:basedOn w:val="1"/>
    <w:uiPriority w:val="0"/>
    <w:pPr>
      <w:ind w:firstLine="540"/>
    </w:pPr>
    <w:rPr>
      <w:rFonts w:hint="eastAsia" w:ascii="宋体" w:hAnsi="Courier New"/>
      <w:szCs w:val="20"/>
    </w:rPr>
  </w:style>
  <w:style w:type="paragraph" w:customStyle="1" w:styleId="203">
    <w:name w:val="2ji"/>
    <w:basedOn w:val="3"/>
    <w:uiPriority w:val="0"/>
    <w:pPr>
      <w:adjustRightInd w:val="0"/>
      <w:spacing w:before="0" w:after="0" w:line="360" w:lineRule="auto"/>
      <w:textAlignment w:val="baseline"/>
    </w:pPr>
    <w:rPr>
      <w:rFonts w:ascii="宋体" w:hAnsi="宋体" w:eastAsia="宋体"/>
      <w:sz w:val="21"/>
      <w:szCs w:val="21"/>
    </w:rPr>
  </w:style>
  <w:style w:type="paragraph" w:customStyle="1" w:styleId="204">
    <w:name w:val="xl31"/>
    <w:basedOn w:val="1"/>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205">
    <w:name w:val="Char Char Char1 Char Char Char Char Char Char Char Char Char Char Char Char Char Char Char"/>
    <w:basedOn w:val="1"/>
    <w:uiPriority w:val="0"/>
    <w:pPr>
      <w:widowControl/>
      <w:adjustRightInd w:val="0"/>
      <w:spacing w:after="160" w:line="240" w:lineRule="exact"/>
      <w:jc w:val="left"/>
    </w:pPr>
    <w:rPr>
      <w:rFonts w:ascii="Verdana" w:hAnsi="Verdana"/>
      <w:kern w:val="0"/>
      <w:sz w:val="20"/>
      <w:szCs w:val="20"/>
      <w:lang w:eastAsia="en-US"/>
    </w:rPr>
  </w:style>
  <w:style w:type="paragraph" w:customStyle="1" w:styleId="206">
    <w:name w:val="Char21"/>
    <w:basedOn w:val="1"/>
    <w:uiPriority w:val="0"/>
    <w:pPr>
      <w:widowControl/>
      <w:spacing w:after="160" w:line="240" w:lineRule="exact"/>
      <w:jc w:val="left"/>
    </w:pPr>
    <w:rPr>
      <w:rFonts w:ascii="Verdana" w:hAnsi="Verdana"/>
      <w:kern w:val="0"/>
      <w:szCs w:val="20"/>
      <w:lang w:eastAsia="en-US"/>
    </w:rPr>
  </w:style>
  <w:style w:type="paragraph" w:customStyle="1" w:styleId="207">
    <w:name w:val="xl30"/>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208">
    <w:name w:val="列出段落2"/>
    <w:basedOn w:val="1"/>
    <w:uiPriority w:val="0"/>
    <w:pPr>
      <w:ind w:firstLine="420" w:firstLineChars="200"/>
    </w:pPr>
    <w:rPr>
      <w:rFonts w:ascii="Calibri" w:hAnsi="Calibri"/>
      <w:szCs w:val="22"/>
    </w:rPr>
  </w:style>
  <w:style w:type="paragraph" w:customStyle="1" w:styleId="209">
    <w:name w:val="目录4"/>
    <w:basedOn w:val="1"/>
    <w:next w:val="1"/>
    <w:uiPriority w:val="0"/>
    <w:pPr>
      <w:widowControl/>
      <w:tabs>
        <w:tab w:val="left" w:leader="dot" w:pos="8503"/>
      </w:tabs>
      <w:spacing w:line="317" w:lineRule="atLeast"/>
      <w:ind w:firstLine="629"/>
      <w:textAlignment w:val="baseline"/>
    </w:pPr>
    <w:rPr>
      <w:color w:val="000000"/>
      <w:kern w:val="0"/>
      <w:szCs w:val="20"/>
      <w:u w:color="000000"/>
    </w:rPr>
  </w:style>
  <w:style w:type="paragraph" w:customStyle="1" w:styleId="210">
    <w:name w:val="_Style 35"/>
    <w:basedOn w:val="15"/>
    <w:uiPriority w:val="0"/>
    <w:pPr>
      <w:widowControl/>
      <w:ind w:firstLine="454"/>
      <w:jc w:val="left"/>
    </w:pPr>
  </w:style>
  <w:style w:type="paragraph" w:customStyle="1" w:styleId="211">
    <w:name w:val="目录3"/>
    <w:basedOn w:val="1"/>
    <w:next w:val="1"/>
    <w:uiPriority w:val="0"/>
    <w:pPr>
      <w:widowControl/>
      <w:tabs>
        <w:tab w:val="left" w:leader="dot" w:pos="8503"/>
      </w:tabs>
      <w:spacing w:line="317" w:lineRule="atLeast"/>
      <w:ind w:firstLine="419"/>
      <w:textAlignment w:val="baseline"/>
    </w:pPr>
    <w:rPr>
      <w:color w:val="000000"/>
      <w:kern w:val="0"/>
      <w:szCs w:val="20"/>
      <w:u w:color="000000"/>
    </w:rPr>
  </w:style>
  <w:style w:type="paragraph" w:customStyle="1" w:styleId="212">
    <w:name w:val="文章总标题"/>
    <w:basedOn w:val="1"/>
    <w:next w:val="213"/>
    <w:uiPriority w:val="0"/>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213">
    <w:name w:val="文章附标题"/>
    <w:basedOn w:val="1"/>
    <w:next w:val="2"/>
    <w:uiPriority w:val="0"/>
    <w:pPr>
      <w:widowControl/>
      <w:spacing w:before="187" w:after="175" w:line="374" w:lineRule="atLeast"/>
      <w:jc w:val="center"/>
      <w:textAlignment w:val="baseline"/>
    </w:pPr>
    <w:rPr>
      <w:color w:val="000000"/>
      <w:kern w:val="0"/>
      <w:sz w:val="36"/>
      <w:szCs w:val="20"/>
      <w:u w:color="000000"/>
    </w:rPr>
  </w:style>
  <w:style w:type="paragraph" w:customStyle="1" w:styleId="214">
    <w:name w:val="F2"/>
    <w:basedOn w:val="1"/>
    <w:uiPriority w:val="0"/>
    <w:pPr>
      <w:autoSpaceDE w:val="0"/>
      <w:autoSpaceDN w:val="0"/>
      <w:adjustRightInd w:val="0"/>
      <w:ind w:firstLine="601"/>
    </w:pPr>
    <w:rPr>
      <w:kern w:val="0"/>
      <w:sz w:val="24"/>
      <w:szCs w:val="20"/>
    </w:rPr>
  </w:style>
  <w:style w:type="paragraph" w:customStyle="1" w:styleId="215">
    <w:name w:val="p15"/>
    <w:basedOn w:val="1"/>
    <w:qFormat/>
    <w:uiPriority w:val="99"/>
    <w:pPr>
      <w:widowControl/>
    </w:pPr>
    <w:rPr>
      <w:rFonts w:ascii="宋体" w:hAnsi="宋体" w:cs="宋体"/>
      <w:kern w:val="0"/>
      <w:szCs w:val="21"/>
    </w:rPr>
  </w:style>
  <w:style w:type="character" w:customStyle="1" w:styleId="216">
    <w:name w:val="批注文字 字符"/>
    <w:semiHidden/>
    <w:locked/>
    <w:uiPriority w:val="0"/>
    <w:rPr>
      <w:rFonts w:ascii="宋体" w:hAnsi="宋体" w:eastAsia="宋体"/>
      <w:szCs w:val="24"/>
      <w:lang w:bidi="ar-SA"/>
    </w:rPr>
  </w:style>
  <w:style w:type="character" w:customStyle="1" w:styleId="217">
    <w:name w:val="纯文本 字符"/>
    <w:locked/>
    <w:uiPriority w:val="0"/>
    <w:rPr>
      <w:rFonts w:ascii="宋体" w:hAnsi="Courier New" w:eastAsia="宋体"/>
      <w:szCs w:val="21"/>
      <w:lang w:bidi="ar-SA"/>
    </w:rPr>
  </w:style>
  <w:style w:type="paragraph" w:customStyle="1" w:styleId="218">
    <w:name w:val="彩色列表 - 强调文字颜色 11"/>
    <w:basedOn w:val="1"/>
    <w:qFormat/>
    <w:uiPriority w:val="0"/>
    <w:pPr>
      <w:ind w:firstLine="420" w:firstLineChars="200"/>
    </w:pPr>
    <w:rPr>
      <w:rFonts w:ascii="Calibri" w:hAnsi="Calibri" w:eastAsia="Times New Roman"/>
    </w:rPr>
  </w:style>
  <w:style w:type="paragraph" w:customStyle="1" w:styleId="219">
    <w:name w:val="正文缩进2字符"/>
    <w:qFormat/>
    <w:uiPriority w:val="0"/>
    <w:pPr>
      <w:widowControl w:val="0"/>
      <w:spacing w:line="360" w:lineRule="auto"/>
      <w:ind w:firstLine="200" w:firstLineChars="200"/>
    </w:pPr>
    <w:rPr>
      <w:rFonts w:ascii="Arial" w:hAnsi="Arial" w:eastAsia="宋体" w:cs="Times New Roman"/>
      <w:kern w:val="2"/>
      <w:sz w:val="28"/>
      <w:szCs w:val="22"/>
      <w:lang w:val="en-US" w:eastAsia="zh-CN" w:bidi="ar-SA"/>
    </w:rPr>
  </w:style>
  <w:style w:type="character" w:customStyle="1" w:styleId="220">
    <w:name w:val="副标题 Char"/>
    <w:basedOn w:val="51"/>
    <w:link w:val="36"/>
    <w:uiPriority w:val="99"/>
    <w:rPr>
      <w:rFonts w:ascii="Cambria" w:hAnsi="Cambria"/>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941B12-B95B-43FA-BE22-7A51246E0EC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52</Pages>
  <Words>5567</Words>
  <Characters>31733</Characters>
  <Lines>264</Lines>
  <Paragraphs>74</Paragraphs>
  <TotalTime>12</TotalTime>
  <ScaleCrop>false</ScaleCrop>
  <LinksUpToDate>false</LinksUpToDate>
  <CharactersWithSpaces>37226</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2019-11-08T09:04:00Z</dcterms:created>
  <dc:creator>张国铨</dc:creator>
  <cp:lastModifiedBy>☺</cp:lastModifiedBy>
  <cp:lastPrinted>2020-06-08T01:31:00Z</cp:lastPrinted>
  <dcterms:modified xsi:type="dcterms:W3CDTF">2020-06-08T01:47:59Z</dcterms:modified>
  <cp:revision>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