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ascii="宋体" w:hAnsi="宋体"/>
          <w:sz w:val="52"/>
          <w:szCs w:val="52"/>
        </w:rPr>
      </w:pPr>
      <w:r>
        <w:drawing>
          <wp:anchor distT="0" distB="0" distL="114300" distR="114300" simplePos="0" relativeHeight="251664384" behindDoc="0" locked="0" layoutInCell="1" allowOverlap="1">
            <wp:simplePos x="0" y="0"/>
            <wp:positionH relativeFrom="column">
              <wp:posOffset>-2421255</wp:posOffset>
            </wp:positionH>
            <wp:positionV relativeFrom="paragraph">
              <wp:posOffset>1393190</wp:posOffset>
            </wp:positionV>
            <wp:extent cx="10273030" cy="6044565"/>
            <wp:effectExtent l="0" t="0" r="13335" b="139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rot="16200000">
                      <a:off x="0" y="0"/>
                      <a:ext cx="10273030" cy="6044565"/>
                    </a:xfrm>
                    <a:prstGeom prst="rect">
                      <a:avLst/>
                    </a:prstGeom>
                    <a:noFill/>
                    <a:ln>
                      <a:noFill/>
                    </a:ln>
                  </pic:spPr>
                </pic:pic>
              </a:graphicData>
            </a:graphic>
          </wp:anchor>
        </w:drawing>
      </w:r>
      <w:r>
        <w:rPr>
          <w:rFonts w:hint="eastAsia" w:ascii="宋体" w:hAnsi="宋体"/>
          <w:sz w:val="52"/>
          <w:szCs w:val="52"/>
        </w:rPr>
        <w:t>南宁市政府采购</w:t>
      </w:r>
    </w:p>
    <w:p>
      <w:pPr>
        <w:spacing w:before="156" w:beforeLines="50" w:line="360" w:lineRule="auto"/>
        <w:jc w:val="center"/>
        <w:rPr>
          <w:rFonts w:hint="eastAsia" w:ascii="宋体" w:hAnsi="宋体"/>
          <w:sz w:val="52"/>
          <w:szCs w:val="52"/>
        </w:rPr>
      </w:pPr>
      <w:r>
        <w:rPr>
          <w:rFonts w:hint="eastAsia" w:ascii="宋体" w:hAnsi="宋体"/>
          <w:sz w:val="52"/>
          <w:szCs w:val="52"/>
        </w:rPr>
        <w:t>竞争性谈判文件</w:t>
      </w:r>
      <w:r>
        <w:rPr>
          <w:rFonts w:hint="eastAsia" w:ascii="宋体" w:hAnsi="宋体"/>
          <w:sz w:val="52"/>
          <w:szCs w:val="52"/>
          <w:lang w:eastAsia="zh-CN"/>
        </w:rPr>
        <w:t>（</w:t>
      </w:r>
      <w:r>
        <w:rPr>
          <w:rFonts w:hint="eastAsia" w:ascii="宋体" w:hAnsi="宋体"/>
          <w:sz w:val="52"/>
          <w:szCs w:val="52"/>
        </w:rPr>
        <w:t>货物类</w:t>
      </w:r>
      <w:r>
        <w:rPr>
          <w:rFonts w:hint="eastAsia" w:ascii="宋体" w:hAnsi="宋体"/>
          <w:sz w:val="52"/>
          <w:szCs w:val="52"/>
          <w:lang w:eastAsia="zh-CN"/>
        </w:rPr>
        <w:t>）</w:t>
      </w:r>
    </w:p>
    <w:p>
      <w:pPr>
        <w:spacing w:before="156" w:beforeLines="50" w:line="360" w:lineRule="auto"/>
        <w:jc w:val="center"/>
        <w:rPr>
          <w:rFonts w:hint="eastAsia" w:ascii="宋体" w:hAnsi="宋体"/>
          <w:sz w:val="36"/>
          <w:szCs w:val="36"/>
        </w:rPr>
      </w:pPr>
      <w:r>
        <w:rPr>
          <w:rFonts w:hint="eastAsia" w:ascii="宋体" w:hAnsi="宋体"/>
          <w:sz w:val="36"/>
          <w:szCs w:val="36"/>
        </w:rPr>
        <w:t>（20</w:t>
      </w:r>
      <w:r>
        <w:rPr>
          <w:rFonts w:ascii="宋体" w:hAnsi="宋体"/>
          <w:sz w:val="36"/>
          <w:szCs w:val="36"/>
        </w:rPr>
        <w:t>2</w:t>
      </w:r>
      <w:r>
        <w:rPr>
          <w:rFonts w:hint="eastAsia" w:ascii="宋体" w:hAnsi="宋体"/>
          <w:sz w:val="36"/>
          <w:szCs w:val="36"/>
          <w:lang w:val="en-US" w:eastAsia="zh-CN"/>
        </w:rPr>
        <w:t>2</w:t>
      </w:r>
      <w:r>
        <w:rPr>
          <w:rFonts w:hint="eastAsia" w:ascii="宋体" w:hAnsi="宋体"/>
          <w:sz w:val="36"/>
          <w:szCs w:val="36"/>
        </w:rPr>
        <w:t>年</w:t>
      </w:r>
      <w:r>
        <w:rPr>
          <w:rFonts w:hint="eastAsia" w:ascii="宋体" w:hAnsi="宋体"/>
          <w:sz w:val="36"/>
          <w:szCs w:val="36"/>
          <w:lang w:val="en-US" w:eastAsia="zh-CN"/>
        </w:rPr>
        <w:t>4</w:t>
      </w:r>
      <w:r>
        <w:rPr>
          <w:rFonts w:hint="eastAsia" w:ascii="宋体" w:hAnsi="宋体"/>
          <w:sz w:val="36"/>
          <w:szCs w:val="36"/>
        </w:rPr>
        <w:t>月制）</w:t>
      </w:r>
    </w:p>
    <w:p>
      <w:pPr>
        <w:snapToGrid w:val="0"/>
        <w:spacing w:before="156" w:beforeLines="50" w:line="360" w:lineRule="auto"/>
        <w:jc w:val="center"/>
        <w:rPr>
          <w:rFonts w:hint="eastAsia" w:ascii="方正小标宋简体" w:hAnsi="方正小标宋简体" w:eastAsia="方正小标宋简体" w:cs="方正小标宋简体"/>
          <w:sz w:val="44"/>
          <w:szCs w:val="44"/>
        </w:rPr>
      </w:pPr>
      <w:r>
        <w:rPr>
          <w:rFonts w:hint="eastAsia" w:ascii="华文新魏" w:hAnsi="宋体" w:eastAsia="华文新魏"/>
          <w:sz w:val="72"/>
          <w:szCs w:val="72"/>
        </w:rPr>
        <w:t>竞争性谈判文件</w:t>
      </w:r>
    </w:p>
    <w:p>
      <w:pPr>
        <w:spacing w:before="312" w:beforeLines="100" w:after="156" w:afterLines="50" w:line="360" w:lineRule="auto"/>
        <w:jc w:val="center"/>
        <w:rPr>
          <w:rFonts w:hint="eastAsia" w:ascii="宋体" w:hAnsi="宋体"/>
          <w:szCs w:val="21"/>
        </w:rPr>
      </w:pPr>
      <w:r>
        <w:rPr>
          <w:rFonts w:hint="eastAsia" w:ascii="宋体" w:hAnsi="宋体"/>
          <w:szCs w:val="21"/>
        </w:rPr>
        <w:t>（全流程电子化评标）</w:t>
      </w:r>
    </w:p>
    <w:p>
      <w:pPr>
        <w:spacing w:line="360" w:lineRule="auto"/>
        <w:rPr>
          <w:rFonts w:hint="eastAsia" w:ascii="宋体" w:hAnsi="宋体"/>
          <w:b/>
          <w:sz w:val="32"/>
          <w:szCs w:val="32"/>
        </w:rPr>
      </w:pPr>
    </w:p>
    <w:p>
      <w:pPr>
        <w:spacing w:line="360" w:lineRule="auto"/>
        <w:jc w:val="center"/>
        <w:rPr>
          <w:rFonts w:hint="eastAsia" w:ascii="宋体" w:hAnsi="宋体"/>
          <w:b/>
          <w:sz w:val="32"/>
          <w:szCs w:val="32"/>
        </w:rPr>
      </w:pPr>
    </w:p>
    <w:p>
      <w:pPr>
        <w:pStyle w:val="14"/>
        <w:snapToGrid w:val="0"/>
        <w:spacing w:before="50" w:after="120" w:line="360" w:lineRule="auto"/>
        <w:ind w:firstLine="1193" w:firstLineChars="396"/>
        <w:rPr>
          <w:rFonts w:hint="eastAsia" w:ascii="仿宋_GB2312" w:hAnsi="宋体" w:eastAsia="仿宋_GB2312"/>
          <w:b/>
          <w:bCs/>
          <w:sz w:val="30"/>
          <w:szCs w:val="30"/>
          <w:lang w:eastAsia="zh-CN"/>
        </w:rPr>
      </w:pPr>
      <w:r>
        <w:rPr>
          <w:rFonts w:hint="eastAsia" w:ascii="仿宋_GB2312" w:hAnsi="宋体" w:eastAsia="仿宋_GB2312"/>
          <w:b/>
          <w:bCs/>
          <w:sz w:val="30"/>
          <w:szCs w:val="30"/>
        </w:rPr>
        <w:t>项目</w:t>
      </w:r>
      <w:r>
        <w:rPr>
          <w:rFonts w:hint="eastAsia" w:ascii="仿宋_GB2312" w:hAnsi="宋体" w:eastAsia="仿宋_GB2312" w:cs="Courier New"/>
          <w:b/>
          <w:bCs/>
          <w:w w:val="95"/>
          <w:sz w:val="30"/>
          <w:szCs w:val="30"/>
        </w:rPr>
        <w:t>名称</w:t>
      </w:r>
      <w:r>
        <w:rPr>
          <w:rFonts w:hint="eastAsia" w:ascii="仿宋_GB2312" w:hAnsi="宋体" w:eastAsia="仿宋_GB2312"/>
          <w:b/>
          <w:bCs/>
          <w:sz w:val="30"/>
          <w:szCs w:val="30"/>
        </w:rPr>
        <w:t>：</w:t>
      </w:r>
      <w:r>
        <w:rPr>
          <w:rFonts w:hint="eastAsia" w:ascii="仿宋_GB2312" w:hAnsi="宋体" w:eastAsia="仿宋_GB2312"/>
          <w:b/>
          <w:bCs/>
          <w:sz w:val="30"/>
          <w:szCs w:val="30"/>
          <w:lang w:eastAsia="zh-CN"/>
        </w:rPr>
        <w:t>南宁高新区中考标准化考点建设采购项目</w:t>
      </w:r>
    </w:p>
    <w:p>
      <w:pPr>
        <w:snapToGrid w:val="0"/>
        <w:spacing w:before="156" w:beforeLines="50" w:line="360" w:lineRule="auto"/>
        <w:ind w:firstLine="1145" w:firstLineChars="400"/>
        <w:rPr>
          <w:rFonts w:hint="default" w:ascii="仿宋_GB2312" w:hAnsi="宋体" w:eastAsia="仿宋_GB2312"/>
          <w:b/>
          <w:sz w:val="30"/>
          <w:szCs w:val="48"/>
          <w:lang w:val="en-US" w:eastAsia="zh-CN"/>
        </w:rPr>
      </w:pPr>
      <w:r>
        <w:rPr>
          <w:rFonts w:hint="eastAsia" w:ascii="仿宋_GB2312" w:hAnsi="宋体" w:eastAsia="仿宋_GB2312" w:cs="Courier New"/>
          <w:b/>
          <w:bCs/>
          <w:w w:val="95"/>
          <w:sz w:val="30"/>
          <w:szCs w:val="30"/>
        </w:rPr>
        <w:t>项目</w:t>
      </w:r>
      <w:r>
        <w:rPr>
          <w:rFonts w:hint="eastAsia" w:ascii="仿宋_GB2312" w:hAnsi="宋体" w:eastAsia="仿宋_GB2312"/>
          <w:b/>
          <w:bCs/>
          <w:sz w:val="30"/>
          <w:szCs w:val="30"/>
        </w:rPr>
        <w:t>编号</w:t>
      </w:r>
      <w:r>
        <w:rPr>
          <w:rFonts w:hint="eastAsia" w:ascii="仿宋_GB2312" w:hAnsi="宋体" w:eastAsia="仿宋_GB2312" w:cs="Courier New"/>
          <w:b/>
          <w:bCs/>
          <w:w w:val="95"/>
          <w:sz w:val="30"/>
          <w:szCs w:val="30"/>
        </w:rPr>
        <w:t>：</w:t>
      </w:r>
      <w:r>
        <w:rPr>
          <w:rFonts w:hint="eastAsia" w:ascii="仿宋_GB2312" w:hAnsi="宋体" w:eastAsia="仿宋_GB2312" w:cs="Times New Roman"/>
          <w:b/>
          <w:bCs/>
          <w:w w:val="95"/>
          <w:kern w:val="0"/>
          <w:sz w:val="30"/>
          <w:szCs w:val="30"/>
          <w:lang w:val="en-US" w:eastAsia="zh-CN" w:bidi="ar-SA"/>
        </w:rPr>
        <w:t xml:space="preserve"> GXZC2022-3J</w:t>
      </w:r>
    </w:p>
    <w:p>
      <w:pPr>
        <w:snapToGrid w:val="0"/>
        <w:spacing w:before="156" w:beforeLines="50" w:line="360" w:lineRule="auto"/>
        <w:ind w:firstLine="1205" w:firstLineChars="400"/>
        <w:rPr>
          <w:rFonts w:hint="default" w:ascii="仿宋_GB2312" w:hAnsi="宋体" w:eastAsia="仿宋_GB2312"/>
          <w:b/>
          <w:sz w:val="30"/>
          <w:szCs w:val="48"/>
          <w:lang w:val="en-US" w:eastAsia="zh-CN"/>
        </w:rPr>
      </w:pPr>
      <w:r>
        <w:rPr>
          <w:rFonts w:hint="eastAsia" w:ascii="仿宋_GB2312" w:hAnsi="宋体" w:eastAsia="仿宋_GB2312"/>
          <w:b/>
          <w:sz w:val="30"/>
          <w:szCs w:val="48"/>
        </w:rPr>
        <w:t>项目所属区划：</w:t>
      </w:r>
      <w:r>
        <w:rPr>
          <w:rFonts w:hint="eastAsia" w:ascii="仿宋_GB2312" w:hAnsi="宋体" w:eastAsia="仿宋_GB2312"/>
          <w:b/>
          <w:sz w:val="30"/>
          <w:szCs w:val="48"/>
          <w:lang w:val="en-US" w:eastAsia="zh-CN"/>
        </w:rPr>
        <w:t>南宁高新区</w:t>
      </w:r>
    </w:p>
    <w:p>
      <w:pPr>
        <w:pStyle w:val="14"/>
        <w:snapToGrid w:val="0"/>
        <w:spacing w:before="50" w:after="120" w:line="360" w:lineRule="auto"/>
        <w:ind w:firstLine="1125" w:firstLineChars="393"/>
        <w:rPr>
          <w:rFonts w:hint="eastAsia" w:ascii="仿宋_GB2312" w:hAnsi="宋体" w:eastAsia="仿宋_GB2312"/>
          <w:b/>
          <w:bCs/>
          <w:w w:val="95"/>
          <w:sz w:val="30"/>
          <w:szCs w:val="30"/>
          <w:lang w:eastAsia="zh-CN"/>
        </w:rPr>
      </w:pPr>
      <w:r>
        <w:rPr>
          <w:rFonts w:hint="eastAsia" w:ascii="仿宋_GB2312" w:hAnsi="宋体" w:eastAsia="仿宋_GB2312"/>
          <w:b/>
          <w:bCs/>
          <w:w w:val="95"/>
          <w:sz w:val="30"/>
          <w:szCs w:val="30"/>
        </w:rPr>
        <w:t>采 购 人：</w:t>
      </w:r>
      <w:bookmarkStart w:id="0" w:name="PO_3000001866_PM026"/>
      <w:r>
        <w:rPr>
          <w:rFonts w:hint="eastAsia" w:ascii="仿宋_GB2312" w:hAnsi="宋体" w:eastAsia="仿宋_GB2312"/>
          <w:b/>
          <w:bCs/>
          <w:w w:val="95"/>
          <w:sz w:val="30"/>
          <w:szCs w:val="30"/>
          <w:lang w:eastAsia="zh-CN"/>
        </w:rPr>
        <w:t>南宁高新技术产业开发区</w:t>
      </w:r>
      <w:r>
        <w:rPr>
          <w:rFonts w:hint="eastAsia" w:ascii="仿宋_GB2312" w:hAnsi="宋体" w:eastAsia="仿宋_GB2312"/>
          <w:b/>
          <w:bCs/>
          <w:w w:val="95"/>
          <w:sz w:val="30"/>
          <w:szCs w:val="30"/>
          <w:lang w:val="en-US" w:eastAsia="zh-CN"/>
        </w:rPr>
        <w:t>教育</w:t>
      </w:r>
      <w:r>
        <w:rPr>
          <w:rFonts w:hint="eastAsia" w:ascii="仿宋_GB2312" w:hAnsi="宋体" w:eastAsia="仿宋_GB2312"/>
          <w:b/>
          <w:bCs/>
          <w:w w:val="95"/>
          <w:sz w:val="30"/>
          <w:szCs w:val="30"/>
          <w:lang w:eastAsia="zh-CN"/>
        </w:rPr>
        <w:t>局</w:t>
      </w:r>
      <w:bookmarkEnd w:id="0"/>
    </w:p>
    <w:p>
      <w:pPr>
        <w:pStyle w:val="14"/>
        <w:snapToGrid w:val="0"/>
        <w:spacing w:before="50" w:after="120" w:line="360" w:lineRule="auto"/>
        <w:ind w:firstLine="1125" w:firstLineChars="393"/>
        <w:rPr>
          <w:rFonts w:hint="default" w:ascii="仿宋_GB2312" w:hAnsi="宋体" w:eastAsia="仿宋_GB2312"/>
          <w:b/>
          <w:bCs/>
          <w:w w:val="95"/>
          <w:sz w:val="30"/>
          <w:szCs w:val="30"/>
          <w:lang w:val="en-US" w:eastAsia="zh-CN"/>
        </w:rPr>
      </w:pPr>
      <w:r>
        <w:rPr>
          <w:rFonts w:hint="eastAsia" w:ascii="仿宋_GB2312" w:hAnsi="宋体" w:eastAsia="仿宋_GB2312"/>
          <w:b/>
          <w:bCs/>
          <w:w w:val="95"/>
          <w:sz w:val="30"/>
          <w:szCs w:val="30"/>
        </w:rPr>
        <w:t>采购代理机构：</w:t>
      </w:r>
      <w:bookmarkStart w:id="1" w:name="PO_3000001866_PM031"/>
      <w:r>
        <w:rPr>
          <w:rFonts w:hint="eastAsia" w:ascii="仿宋_GB2312" w:hAnsi="宋体" w:eastAsia="仿宋_GB2312"/>
          <w:b/>
          <w:bCs/>
          <w:w w:val="95"/>
          <w:sz w:val="30"/>
          <w:szCs w:val="30"/>
          <w:lang w:eastAsia="zh-CN"/>
        </w:rPr>
        <w:t>南宁高新技术产业开发区</w:t>
      </w:r>
      <w:bookmarkEnd w:id="1"/>
      <w:r>
        <w:rPr>
          <w:rFonts w:hint="eastAsia" w:ascii="仿宋_GB2312" w:hAnsi="宋体" w:eastAsia="仿宋_GB2312"/>
          <w:b/>
          <w:bCs/>
          <w:w w:val="95"/>
          <w:sz w:val="30"/>
          <w:szCs w:val="30"/>
          <w:lang w:val="en-US" w:eastAsia="zh-CN"/>
        </w:rPr>
        <w:t>公共资源交易中心</w:t>
      </w:r>
    </w:p>
    <w:p>
      <w:pPr>
        <w:spacing w:line="360" w:lineRule="auto"/>
        <w:jc w:val="center"/>
        <w:rPr>
          <w:rFonts w:hint="eastAsia" w:ascii="仿宋_GB2312" w:hAnsi="宋体" w:eastAsia="仿宋_GB2312"/>
          <w:b/>
          <w:sz w:val="32"/>
          <w:szCs w:val="32"/>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lang w:val="en-US" w:eastAsia="zh-CN"/>
        </w:rPr>
        <w:t>2022</w:t>
      </w:r>
      <w:r>
        <w:rPr>
          <w:rFonts w:hint="eastAsia" w:ascii="仿宋_GB2312" w:hAnsi="宋体" w:eastAsia="仿宋_GB2312"/>
          <w:b/>
          <w:sz w:val="32"/>
          <w:szCs w:val="32"/>
        </w:rPr>
        <w:t>年</w:t>
      </w:r>
      <w:r>
        <w:rPr>
          <w:rFonts w:hint="eastAsia" w:ascii="仿宋_GB2312" w:hAnsi="宋体" w:eastAsia="仿宋_GB2312"/>
          <w:b/>
          <w:sz w:val="32"/>
          <w:szCs w:val="32"/>
          <w:lang w:val="en-US" w:eastAsia="zh-CN"/>
        </w:rPr>
        <w:t>4</w:t>
      </w:r>
      <w:r>
        <w:rPr>
          <w:rFonts w:hint="eastAsia" w:ascii="仿宋_GB2312" w:hAnsi="宋体" w:eastAsia="仿宋_GB2312"/>
          <w:b/>
          <w:sz w:val="32"/>
          <w:szCs w:val="32"/>
        </w:rPr>
        <w:t>月</w:t>
      </w:r>
      <w:r>
        <w:rPr>
          <w:rFonts w:hint="eastAsia" w:ascii="仿宋_GB2312" w:hAnsi="宋体" w:eastAsia="仿宋_GB2312"/>
          <w:b/>
          <w:sz w:val="32"/>
          <w:szCs w:val="32"/>
          <w:lang w:val="en-US" w:eastAsia="zh-CN"/>
        </w:rPr>
        <w:t>19</w:t>
      </w:r>
      <w:r>
        <w:rPr>
          <w:rFonts w:hint="eastAsia" w:ascii="仿宋_GB2312" w:hAnsi="宋体" w:eastAsia="仿宋_GB2312"/>
          <w:b/>
          <w:sz w:val="32"/>
          <w:szCs w:val="32"/>
        </w:rPr>
        <w:t>日</w:t>
      </w:r>
    </w:p>
    <w:p>
      <w:pPr>
        <w:spacing w:line="360" w:lineRule="auto"/>
        <w:jc w:val="center"/>
        <w:rPr>
          <w:rFonts w:hint="eastAsia" w:ascii="宋体" w:hAnsi="宋体"/>
          <w:b/>
          <w:sz w:val="44"/>
          <w:szCs w:val="44"/>
        </w:rPr>
      </w:pPr>
      <w:r>
        <w:rPr>
          <w:rFonts w:ascii="仿宋_GB2312" w:hAnsi="宋体" w:eastAsia="仿宋_GB2312"/>
          <w:b/>
          <w:sz w:val="32"/>
          <w:szCs w:val="32"/>
        </w:rPr>
        <w:br w:type="page"/>
      </w:r>
    </w:p>
    <w:p>
      <w:pPr>
        <w:spacing w:line="360" w:lineRule="auto"/>
        <w:jc w:val="center"/>
        <w:rPr>
          <w:rFonts w:hint="eastAsia" w:ascii="宋体" w:hAnsi="宋体"/>
          <w:b/>
          <w:sz w:val="44"/>
          <w:szCs w:val="44"/>
        </w:rPr>
      </w:pPr>
      <w:r>
        <w:rPr>
          <w:rFonts w:hint="eastAsia" w:ascii="宋体" w:hAnsi="宋体"/>
          <w:b/>
          <w:sz w:val="44"/>
          <w:szCs w:val="44"/>
        </w:rPr>
        <w:t>目   录</w:t>
      </w:r>
    </w:p>
    <w:p>
      <w:pPr>
        <w:pStyle w:val="17"/>
        <w:keepNext w:val="0"/>
        <w:keepLines w:val="0"/>
        <w:pageBreakBefore w:val="0"/>
        <w:widowControl w:val="0"/>
        <w:tabs>
          <w:tab w:val="right" w:leader="dot" w:pos="9628"/>
        </w:tabs>
        <w:kinsoku/>
        <w:wordWrap/>
        <w:overflowPunct/>
        <w:topLinePunct w:val="0"/>
        <w:autoSpaceDE/>
        <w:autoSpaceDN/>
        <w:bidi w:val="0"/>
        <w:adjustRightInd/>
        <w:snapToGrid/>
        <w:spacing w:before="360" w:after="360" w:line="240" w:lineRule="auto"/>
        <w:textAlignment w:val="auto"/>
        <w:rPr>
          <w:rFonts w:hint="eastAsia" w:ascii="宋体" w:hAnsi="宋体" w:eastAsia="宋体" w:cs="宋体"/>
          <w:b w:val="0"/>
          <w:bCs w:val="0"/>
          <w:caps w:val="0"/>
          <w:sz w:val="22"/>
          <w:szCs w:val="22"/>
          <w:u w:val="single"/>
        </w:rPr>
      </w:pPr>
      <w:r>
        <w:rPr>
          <w:rFonts w:ascii="Calibri" w:hAnsi="宋体"/>
          <w:b w:val="0"/>
          <w:bCs w:val="0"/>
          <w:caps w:val="0"/>
          <w:sz w:val="28"/>
          <w:szCs w:val="28"/>
          <w:u w:val="single"/>
        </w:rPr>
        <w:fldChar w:fldCharType="begin"/>
      </w:r>
      <w:r>
        <w:rPr>
          <w:rFonts w:ascii="Calibri" w:hAnsi="宋体"/>
          <w:b w:val="0"/>
          <w:bCs w:val="0"/>
          <w:caps w:val="0"/>
          <w:sz w:val="28"/>
          <w:szCs w:val="28"/>
          <w:u w:val="single"/>
        </w:rPr>
        <w:instrText xml:space="preserve"> </w:instrText>
      </w:r>
      <w:r>
        <w:rPr>
          <w:rFonts w:hint="eastAsia" w:ascii="Calibri" w:hAnsi="宋体"/>
          <w:b w:val="0"/>
          <w:bCs w:val="0"/>
          <w:caps w:val="0"/>
          <w:sz w:val="28"/>
          <w:szCs w:val="28"/>
          <w:u w:val="single"/>
        </w:rPr>
        <w:instrText xml:space="preserve">TOC \o "1-3" \h \z \u</w:instrText>
      </w:r>
      <w:r>
        <w:rPr>
          <w:rFonts w:ascii="Calibri" w:hAnsi="宋体"/>
          <w:b w:val="0"/>
          <w:bCs w:val="0"/>
          <w:caps w:val="0"/>
          <w:sz w:val="28"/>
          <w:szCs w:val="28"/>
          <w:u w:val="single"/>
        </w:rPr>
        <w:instrText xml:space="preserve"> </w:instrText>
      </w:r>
      <w:r>
        <w:rPr>
          <w:rFonts w:ascii="Calibri" w:hAnsi="宋体"/>
          <w:b w:val="0"/>
          <w:bCs w:val="0"/>
          <w:caps w:val="0"/>
          <w:sz w:val="28"/>
          <w:szCs w:val="28"/>
          <w:u w:val="single"/>
        </w:rPr>
        <w:fldChar w:fldCharType="separate"/>
      </w:r>
      <w:r>
        <w:rPr>
          <w:rFonts w:hint="eastAsia" w:ascii="宋体" w:hAnsi="宋体" w:eastAsia="宋体" w:cs="宋体"/>
          <w:b/>
          <w:bCs/>
          <w:caps w:val="0"/>
          <w:sz w:val="22"/>
          <w:szCs w:val="22"/>
          <w:u w:val="single"/>
        </w:rPr>
        <w:fldChar w:fldCharType="begin"/>
      </w:r>
      <w:r>
        <w:rPr>
          <w:rFonts w:hint="eastAsia" w:ascii="宋体" w:hAnsi="宋体" w:eastAsia="宋体" w:cs="宋体"/>
          <w:b/>
          <w:bCs/>
          <w:caps w:val="0"/>
          <w:sz w:val="22"/>
          <w:szCs w:val="22"/>
          <w:u w:val="single"/>
        </w:rPr>
        <w:instrText xml:space="preserve"> HYPERLINK \l "_Toc80205920" </w:instrText>
      </w:r>
      <w:r>
        <w:rPr>
          <w:rFonts w:hint="eastAsia" w:ascii="宋体" w:hAnsi="宋体" w:eastAsia="宋体" w:cs="宋体"/>
          <w:b/>
          <w:bCs/>
          <w:caps w:val="0"/>
          <w:sz w:val="22"/>
          <w:szCs w:val="22"/>
          <w:u w:val="single"/>
        </w:rPr>
        <w:fldChar w:fldCharType="separate"/>
      </w:r>
      <w:r>
        <w:rPr>
          <w:rFonts w:hint="eastAsia" w:ascii="宋体" w:hAnsi="宋体" w:eastAsia="宋体" w:cs="宋体"/>
          <w:b/>
          <w:bCs/>
          <w:caps w:val="0"/>
          <w:sz w:val="22"/>
          <w:szCs w:val="22"/>
          <w:u w:val="single"/>
        </w:rPr>
        <w:t>第一章 竞争性谈判公告</w:t>
      </w:r>
      <w:r>
        <w:rPr>
          <w:b/>
          <w:bCs/>
        </w:rPr>
        <w:tab/>
      </w:r>
      <w:r>
        <w:rPr>
          <w:rFonts w:hint="eastAsia" w:ascii="宋体" w:hAnsi="宋体" w:eastAsia="宋体" w:cs="宋体"/>
          <w:b/>
          <w:bCs/>
          <w:caps w:val="0"/>
          <w:sz w:val="22"/>
          <w:szCs w:val="22"/>
          <w:u w:val="single"/>
        </w:rPr>
        <w:fldChar w:fldCharType="begin"/>
      </w:r>
      <w:r>
        <w:rPr>
          <w:rFonts w:hint="eastAsia" w:ascii="宋体" w:hAnsi="宋体" w:eastAsia="宋体" w:cs="宋体"/>
          <w:b/>
          <w:bCs/>
          <w:caps w:val="0"/>
          <w:sz w:val="22"/>
          <w:szCs w:val="22"/>
          <w:u w:val="single"/>
        </w:rPr>
        <w:instrText xml:space="preserve"> PAGEREF _Toc80205920 \h </w:instrText>
      </w:r>
      <w:r>
        <w:rPr>
          <w:rFonts w:hint="eastAsia" w:ascii="宋体" w:hAnsi="宋体" w:eastAsia="宋体" w:cs="宋体"/>
          <w:b/>
          <w:bCs/>
          <w:caps w:val="0"/>
          <w:sz w:val="22"/>
          <w:szCs w:val="22"/>
          <w:u w:val="single"/>
        </w:rPr>
        <w:fldChar w:fldCharType="separate"/>
      </w:r>
      <w:r>
        <w:rPr>
          <w:rFonts w:hint="eastAsia" w:ascii="宋体" w:hAnsi="宋体" w:eastAsia="宋体" w:cs="宋体"/>
          <w:b/>
          <w:bCs/>
          <w:caps w:val="0"/>
          <w:sz w:val="22"/>
          <w:szCs w:val="22"/>
          <w:u w:val="single"/>
        </w:rPr>
        <w:t>2</w:t>
      </w:r>
      <w:r>
        <w:rPr>
          <w:rFonts w:hint="eastAsia" w:ascii="宋体" w:hAnsi="宋体" w:eastAsia="宋体" w:cs="宋体"/>
          <w:b/>
          <w:bCs/>
          <w:caps w:val="0"/>
          <w:sz w:val="22"/>
          <w:szCs w:val="22"/>
          <w:u w:val="single"/>
        </w:rPr>
        <w:fldChar w:fldCharType="end"/>
      </w:r>
      <w:r>
        <w:rPr>
          <w:rFonts w:hint="eastAsia" w:ascii="宋体" w:hAnsi="宋体" w:eastAsia="宋体" w:cs="宋体"/>
          <w:b/>
          <w:bCs/>
          <w:caps w:val="0"/>
          <w:sz w:val="22"/>
          <w:szCs w:val="22"/>
          <w:u w:val="single"/>
        </w:rPr>
        <w:fldChar w:fldCharType="end"/>
      </w:r>
    </w:p>
    <w:p>
      <w:pPr>
        <w:pStyle w:val="20"/>
        <w:keepNext w:val="0"/>
        <w:keepLines w:val="0"/>
        <w:pageBreakBefore w:val="0"/>
        <w:widowControl w:val="0"/>
        <w:tabs>
          <w:tab w:val="right" w:leader="dot" w:pos="9628"/>
          <w:tab w:val="clear" w:pos="8296"/>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bCs/>
          <w:caps w:val="0"/>
          <w:sz w:val="22"/>
          <w:szCs w:val="22"/>
          <w:u w:val="single"/>
        </w:rPr>
      </w:pPr>
      <w:r>
        <w:rPr>
          <w:rFonts w:hint="eastAsia" w:ascii="宋体" w:hAnsi="宋体" w:eastAsia="宋体" w:cs="宋体"/>
          <w:b/>
          <w:bCs/>
          <w:caps w:val="0"/>
          <w:sz w:val="22"/>
          <w:szCs w:val="22"/>
          <w:u w:val="single"/>
        </w:rPr>
        <w:fldChar w:fldCharType="begin"/>
      </w:r>
      <w:r>
        <w:rPr>
          <w:rFonts w:hint="eastAsia" w:ascii="宋体" w:hAnsi="宋体" w:eastAsia="宋体" w:cs="宋体"/>
          <w:b/>
          <w:bCs/>
          <w:caps w:val="0"/>
          <w:sz w:val="22"/>
          <w:szCs w:val="22"/>
          <w:u w:val="single"/>
        </w:rPr>
        <w:instrText xml:space="preserve"> HYPERLINK \l "_Toc80205921" </w:instrText>
      </w:r>
      <w:r>
        <w:rPr>
          <w:rFonts w:hint="eastAsia" w:ascii="宋体" w:hAnsi="宋体" w:eastAsia="宋体" w:cs="宋体"/>
          <w:b/>
          <w:bCs/>
          <w:caps w:val="0"/>
          <w:sz w:val="22"/>
          <w:szCs w:val="22"/>
          <w:u w:val="single"/>
        </w:rPr>
        <w:fldChar w:fldCharType="separate"/>
      </w:r>
      <w:r>
        <w:rPr>
          <w:rFonts w:hint="eastAsia" w:ascii="宋体" w:hAnsi="宋体" w:eastAsia="宋体" w:cs="宋体"/>
          <w:b/>
          <w:bCs/>
          <w:caps w:val="0"/>
          <w:sz w:val="22"/>
          <w:szCs w:val="22"/>
          <w:u w:val="single"/>
        </w:rPr>
        <w:t>第二章 采购需求</w:t>
      </w:r>
      <w:r>
        <w:rPr>
          <w:rFonts w:ascii="Times New Roman" w:hAnsi="Times New Roman" w:eastAsia="宋体" w:cs="Times New Roman"/>
          <w:b/>
          <w:bCs/>
          <w:caps/>
          <w:smallCaps w:val="0"/>
          <w:kern w:val="2"/>
          <w:sz w:val="20"/>
          <w:szCs w:val="20"/>
          <w:lang w:val="en-US" w:eastAsia="zh-CN" w:bidi="ar-SA"/>
        </w:rPr>
        <w:tab/>
      </w:r>
      <w:r>
        <w:rPr>
          <w:rFonts w:hint="eastAsia" w:ascii="宋体" w:hAnsi="宋体" w:eastAsia="宋体" w:cs="宋体"/>
          <w:b/>
          <w:bCs/>
          <w:caps w:val="0"/>
          <w:sz w:val="22"/>
          <w:szCs w:val="22"/>
          <w:u w:val="single"/>
        </w:rPr>
        <w:fldChar w:fldCharType="begin"/>
      </w:r>
      <w:r>
        <w:rPr>
          <w:rFonts w:hint="eastAsia" w:ascii="宋体" w:hAnsi="宋体" w:eastAsia="宋体" w:cs="宋体"/>
          <w:b/>
          <w:bCs/>
          <w:caps w:val="0"/>
          <w:sz w:val="22"/>
          <w:szCs w:val="22"/>
          <w:u w:val="single"/>
        </w:rPr>
        <w:instrText xml:space="preserve"> PAGEREF _Toc80205921 \h </w:instrText>
      </w:r>
      <w:r>
        <w:rPr>
          <w:rFonts w:hint="eastAsia" w:ascii="宋体" w:hAnsi="宋体" w:eastAsia="宋体" w:cs="宋体"/>
          <w:b/>
          <w:bCs/>
          <w:caps w:val="0"/>
          <w:sz w:val="22"/>
          <w:szCs w:val="22"/>
          <w:u w:val="single"/>
        </w:rPr>
        <w:fldChar w:fldCharType="separate"/>
      </w:r>
      <w:r>
        <w:rPr>
          <w:rFonts w:hint="eastAsia" w:ascii="宋体" w:hAnsi="宋体" w:eastAsia="宋体" w:cs="宋体"/>
          <w:b/>
          <w:bCs/>
          <w:caps w:val="0"/>
          <w:sz w:val="22"/>
          <w:szCs w:val="22"/>
          <w:u w:val="single"/>
        </w:rPr>
        <w:t>6</w:t>
      </w:r>
      <w:r>
        <w:rPr>
          <w:rFonts w:hint="eastAsia" w:ascii="宋体" w:hAnsi="宋体" w:eastAsia="宋体" w:cs="宋体"/>
          <w:b/>
          <w:bCs/>
          <w:caps w:val="0"/>
          <w:sz w:val="22"/>
          <w:szCs w:val="22"/>
          <w:u w:val="single"/>
        </w:rPr>
        <w:fldChar w:fldCharType="end"/>
      </w:r>
      <w:r>
        <w:rPr>
          <w:rFonts w:hint="eastAsia" w:ascii="宋体" w:hAnsi="宋体" w:eastAsia="宋体" w:cs="宋体"/>
          <w:b/>
          <w:bCs/>
          <w:caps w:val="0"/>
          <w:sz w:val="22"/>
          <w:szCs w:val="22"/>
          <w:u w:val="single"/>
        </w:rPr>
        <w:fldChar w:fldCharType="end"/>
      </w:r>
    </w:p>
    <w:p>
      <w:pPr>
        <w:pStyle w:val="17"/>
        <w:keepNext w:val="0"/>
        <w:keepLines w:val="0"/>
        <w:pageBreakBefore w:val="0"/>
        <w:widowControl w:val="0"/>
        <w:tabs>
          <w:tab w:val="right" w:leader="dot" w:pos="9628"/>
        </w:tabs>
        <w:kinsoku/>
        <w:wordWrap/>
        <w:overflowPunct/>
        <w:topLinePunct w:val="0"/>
        <w:autoSpaceDE/>
        <w:autoSpaceDN/>
        <w:bidi w:val="0"/>
        <w:adjustRightInd/>
        <w:snapToGrid/>
        <w:spacing w:before="360" w:after="360" w:line="240" w:lineRule="auto"/>
        <w:textAlignment w:val="auto"/>
        <w:rPr>
          <w:rFonts w:hint="eastAsia" w:ascii="宋体" w:hAnsi="宋体" w:eastAsia="宋体" w:cs="宋体"/>
          <w:b w:val="0"/>
          <w:bCs w:val="0"/>
          <w:caps w:val="0"/>
          <w:sz w:val="22"/>
          <w:szCs w:val="22"/>
          <w:u w:val="single"/>
        </w:rPr>
      </w:pPr>
      <w:r>
        <w:rPr>
          <w:rFonts w:hint="eastAsia" w:ascii="宋体" w:hAnsi="宋体" w:eastAsia="宋体" w:cs="宋体"/>
          <w:b/>
          <w:bCs/>
          <w:caps w:val="0"/>
          <w:sz w:val="22"/>
          <w:szCs w:val="22"/>
          <w:u w:val="single"/>
        </w:rPr>
        <w:fldChar w:fldCharType="begin"/>
      </w:r>
      <w:r>
        <w:rPr>
          <w:rFonts w:hint="eastAsia" w:ascii="宋体" w:hAnsi="宋体" w:eastAsia="宋体" w:cs="宋体"/>
          <w:b/>
          <w:bCs/>
          <w:caps w:val="0"/>
          <w:sz w:val="22"/>
          <w:szCs w:val="22"/>
          <w:u w:val="single"/>
        </w:rPr>
        <w:instrText xml:space="preserve"> HYPERLINK \l "_Toc80205922" </w:instrText>
      </w:r>
      <w:r>
        <w:rPr>
          <w:rFonts w:hint="eastAsia" w:ascii="宋体" w:hAnsi="宋体" w:eastAsia="宋体" w:cs="宋体"/>
          <w:b/>
          <w:bCs/>
          <w:caps w:val="0"/>
          <w:sz w:val="22"/>
          <w:szCs w:val="22"/>
          <w:u w:val="single"/>
        </w:rPr>
        <w:fldChar w:fldCharType="separate"/>
      </w:r>
      <w:r>
        <w:rPr>
          <w:rFonts w:hint="eastAsia" w:ascii="宋体" w:hAnsi="宋体" w:eastAsia="宋体" w:cs="宋体"/>
          <w:b/>
          <w:bCs/>
          <w:caps w:val="0"/>
          <w:sz w:val="22"/>
          <w:szCs w:val="22"/>
          <w:u w:val="single"/>
        </w:rPr>
        <w:t>第三章 供应商须知</w:t>
      </w:r>
      <w:r>
        <w:rPr>
          <w:rFonts w:hint="eastAsia" w:ascii="Times New Roman" w:hAnsi="Times New Roman" w:eastAsia="宋体" w:cs="Times New Roman"/>
          <w:b/>
          <w:bCs/>
          <w:caps/>
          <w:smallCaps w:val="0"/>
          <w:kern w:val="2"/>
          <w:sz w:val="20"/>
          <w:szCs w:val="20"/>
          <w:lang w:val="en-US" w:eastAsia="zh-CN" w:bidi="ar-SA"/>
        </w:rPr>
        <w:tab/>
      </w:r>
      <w:r>
        <w:rPr>
          <w:rFonts w:hint="eastAsia" w:ascii="宋体" w:hAnsi="宋体" w:eastAsia="宋体" w:cs="宋体"/>
          <w:b/>
          <w:bCs/>
          <w:caps w:val="0"/>
          <w:sz w:val="22"/>
          <w:szCs w:val="22"/>
          <w:u w:val="single"/>
        </w:rPr>
        <w:fldChar w:fldCharType="begin"/>
      </w:r>
      <w:r>
        <w:rPr>
          <w:rFonts w:hint="eastAsia" w:ascii="宋体" w:hAnsi="宋体" w:eastAsia="宋体" w:cs="宋体"/>
          <w:b/>
          <w:bCs/>
          <w:caps w:val="0"/>
          <w:sz w:val="22"/>
          <w:szCs w:val="22"/>
          <w:u w:val="single"/>
        </w:rPr>
        <w:instrText xml:space="preserve"> PAGEREF _Toc80205922 \h </w:instrText>
      </w:r>
      <w:r>
        <w:rPr>
          <w:rFonts w:hint="eastAsia" w:ascii="宋体" w:hAnsi="宋体" w:eastAsia="宋体" w:cs="宋体"/>
          <w:b/>
          <w:bCs/>
          <w:caps w:val="0"/>
          <w:sz w:val="22"/>
          <w:szCs w:val="22"/>
          <w:u w:val="single"/>
        </w:rPr>
        <w:fldChar w:fldCharType="separate"/>
      </w:r>
      <w:r>
        <w:rPr>
          <w:rFonts w:hint="eastAsia" w:ascii="宋体" w:hAnsi="宋体" w:eastAsia="宋体" w:cs="宋体"/>
          <w:b/>
          <w:bCs/>
          <w:caps w:val="0"/>
          <w:sz w:val="22"/>
          <w:szCs w:val="22"/>
          <w:u w:val="single"/>
        </w:rPr>
        <w:t>29</w:t>
      </w:r>
      <w:r>
        <w:rPr>
          <w:rFonts w:hint="eastAsia" w:ascii="宋体" w:hAnsi="宋体" w:eastAsia="宋体" w:cs="宋体"/>
          <w:b/>
          <w:bCs/>
          <w:caps w:val="0"/>
          <w:sz w:val="22"/>
          <w:szCs w:val="22"/>
          <w:u w:val="single"/>
        </w:rPr>
        <w:fldChar w:fldCharType="end"/>
      </w:r>
      <w:r>
        <w:rPr>
          <w:rFonts w:hint="eastAsia" w:ascii="宋体" w:hAnsi="宋体" w:eastAsia="宋体" w:cs="宋体"/>
          <w:b/>
          <w:bCs/>
          <w:caps w:val="0"/>
          <w:sz w:val="22"/>
          <w:szCs w:val="22"/>
          <w:u w:val="single"/>
        </w:rPr>
        <w:fldChar w:fldCharType="end"/>
      </w:r>
    </w:p>
    <w:p>
      <w:pPr>
        <w:pStyle w:val="13"/>
        <w:tabs>
          <w:tab w:val="right" w:leader="dot" w:pos="9628"/>
        </w:tabs>
        <w:ind w:left="0" w:leftChars="0" w:firstLine="0" w:firstLineChars="0"/>
        <w:rPr>
          <w:rFonts w:hint="eastAsia"/>
          <w:lang w:val="en-US" w:eastAsia="zh-CN"/>
        </w:rPr>
      </w:pPr>
      <w:r>
        <w:fldChar w:fldCharType="begin"/>
      </w:r>
      <w:r>
        <w:instrText xml:space="preserve"> HYPERLINK \l "_Toc80092995" </w:instrText>
      </w:r>
      <w:r>
        <w:fldChar w:fldCharType="separate"/>
      </w:r>
      <w:r>
        <w:rPr>
          <w:rFonts w:hint="eastAsia"/>
        </w:rPr>
        <w:fldChar w:fldCharType="begin"/>
      </w:r>
      <w:r>
        <w:rPr>
          <w:rFonts w:hint="eastAsia"/>
        </w:rPr>
        <w:instrText xml:space="preserve"> HYPERLINK \l "_Toc80205923" </w:instrText>
      </w:r>
      <w:r>
        <w:rPr>
          <w:rFonts w:hint="eastAsia"/>
        </w:rPr>
        <w:fldChar w:fldCharType="separate"/>
      </w:r>
      <w:r>
        <w:rPr>
          <w:rFonts w:hint="eastAsia"/>
        </w:rPr>
        <w:t>第一节 供应商须知前附表</w:t>
      </w:r>
      <w:r>
        <w:rPr>
          <w:rFonts w:hint="eastAsia"/>
        </w:rPr>
        <w:fldChar w:fldCharType="end"/>
      </w:r>
      <w:r>
        <w:rPr>
          <w:rStyle w:val="23"/>
          <w:rFonts w:hint="eastAsia" w:ascii="Times New Roman" w:hAnsi="Times New Roman" w:eastAsia="宋体" w:cs="Times New Roman"/>
          <w:b w:val="0"/>
          <w:bCs w:val="0"/>
          <w:lang w:val="en-US" w:eastAsia="zh-CN"/>
        </w:rPr>
        <w:t>.........................................................................................................................</w:t>
      </w:r>
      <w:r>
        <w:rPr>
          <w:rStyle w:val="23"/>
          <w:rFonts w:hint="eastAsia" w:ascii="Times New Roman" w:hAnsi="Times New Roman" w:eastAsia="宋体" w:cs="Times New Roman"/>
          <w:b w:val="0"/>
          <w:bCs w:val="0"/>
          <w:lang w:val="en-US" w:eastAsia="zh-CN"/>
        </w:rPr>
        <w:tab/>
      </w:r>
      <w:r>
        <w:rPr>
          <w:rFonts w:hint="eastAsia"/>
          <w:lang w:val="en-US" w:eastAsia="zh-CN"/>
        </w:rPr>
        <w:t>2</w:t>
      </w:r>
      <w:r>
        <w:fldChar w:fldCharType="end"/>
      </w:r>
      <w:r>
        <w:rPr>
          <w:rFonts w:hint="eastAsia"/>
          <w:lang w:val="en-US" w:eastAsia="zh-CN"/>
        </w:rPr>
        <w:t>9</w:t>
      </w:r>
    </w:p>
    <w:p>
      <w:pPr>
        <w:pStyle w:val="13"/>
        <w:tabs>
          <w:tab w:val="right" w:leader="dot" w:pos="9628"/>
        </w:tabs>
        <w:ind w:left="0" w:leftChars="0" w:firstLine="0" w:firstLineChars="0"/>
        <w:rPr>
          <w:rFonts w:hint="eastAsia"/>
          <w:lang w:val="en-US" w:eastAsia="zh-CN"/>
        </w:rPr>
      </w:pPr>
      <w:r>
        <w:fldChar w:fldCharType="begin"/>
      </w:r>
      <w:r>
        <w:instrText xml:space="preserve"> HYPERLINK \l "_Toc80092995" </w:instrText>
      </w:r>
      <w:r>
        <w:fldChar w:fldCharType="separate"/>
      </w:r>
      <w:r>
        <w:rPr>
          <w:rFonts w:hint="eastAsia"/>
        </w:rPr>
        <w:fldChar w:fldCharType="begin"/>
      </w:r>
      <w:r>
        <w:rPr>
          <w:rFonts w:hint="eastAsia"/>
        </w:rPr>
        <w:instrText xml:space="preserve"> HYPERLINK \l "_Toc80205923" </w:instrText>
      </w:r>
      <w:r>
        <w:rPr>
          <w:rFonts w:hint="eastAsia"/>
        </w:rPr>
        <w:fldChar w:fldCharType="separate"/>
      </w:r>
      <w:r>
        <w:rPr>
          <w:rFonts w:hint="eastAsia"/>
        </w:rPr>
        <w:t>第</w:t>
      </w:r>
      <w:r>
        <w:rPr>
          <w:rFonts w:hint="eastAsia"/>
          <w:lang w:val="en-US" w:eastAsia="zh-CN"/>
        </w:rPr>
        <w:t>二</w:t>
      </w:r>
      <w:r>
        <w:rPr>
          <w:rFonts w:hint="eastAsia"/>
        </w:rPr>
        <w:t>节 供应商须知</w:t>
      </w:r>
      <w:r>
        <w:rPr>
          <w:rFonts w:hint="eastAsia"/>
          <w:lang w:val="en-US" w:eastAsia="zh-CN"/>
        </w:rPr>
        <w:t>正文</w:t>
      </w:r>
      <w:r>
        <w:rPr>
          <w:rFonts w:hint="eastAsia"/>
        </w:rPr>
        <w:fldChar w:fldCharType="end"/>
      </w:r>
      <w:r>
        <w:rPr>
          <w:rStyle w:val="23"/>
          <w:rFonts w:hint="eastAsia" w:ascii="Times New Roman" w:hAnsi="Times New Roman" w:eastAsia="宋体" w:cs="Times New Roman"/>
          <w:b w:val="0"/>
          <w:bCs w:val="0"/>
          <w:lang w:val="en-US" w:eastAsia="zh-CN"/>
        </w:rPr>
        <w:t>.........................................................................................................................</w:t>
      </w:r>
      <w:r>
        <w:rPr>
          <w:rStyle w:val="23"/>
          <w:rFonts w:hint="eastAsia" w:ascii="Times New Roman" w:hAnsi="Times New Roman" w:eastAsia="宋体" w:cs="Times New Roman"/>
          <w:b w:val="0"/>
          <w:bCs w:val="0"/>
          <w:lang w:val="en-US" w:eastAsia="zh-CN"/>
        </w:rPr>
        <w:tab/>
      </w:r>
      <w:r>
        <w:rPr>
          <w:rStyle w:val="23"/>
          <w:rFonts w:hint="eastAsia" w:cs="Times New Roman"/>
          <w:b w:val="0"/>
          <w:bCs w:val="0"/>
          <w:lang w:val="en-US" w:eastAsia="zh-CN"/>
        </w:rPr>
        <w:t>34</w:t>
      </w:r>
      <w:r>
        <w:fldChar w:fldCharType="end"/>
      </w:r>
    </w:p>
    <w:p>
      <w:pPr>
        <w:pStyle w:val="13"/>
        <w:tabs>
          <w:tab w:val="right" w:leader="dot" w:pos="9628"/>
        </w:tabs>
        <w:ind w:left="0" w:leftChars="0" w:firstLine="0" w:firstLineChars="0"/>
        <w:rPr>
          <w:rStyle w:val="23"/>
        </w:rPr>
      </w:pPr>
    </w:p>
    <w:p>
      <w:pPr>
        <w:pStyle w:val="13"/>
        <w:tabs>
          <w:tab w:val="right" w:leader="dot" w:pos="9628"/>
        </w:tabs>
        <w:ind w:left="0" w:leftChars="0" w:firstLine="0" w:firstLineChars="0"/>
        <w:rPr>
          <w:rFonts w:hint="default" w:eastAsiaTheme="minorEastAsia"/>
          <w:smallCaps w:val="0"/>
          <w:sz w:val="21"/>
          <w:lang w:val="en-US" w:eastAsia="zh-CN"/>
        </w:rPr>
      </w:pPr>
      <w:r>
        <w:rPr>
          <w:rStyle w:val="23"/>
        </w:rPr>
        <w:fldChar w:fldCharType="begin"/>
      </w:r>
      <w:r>
        <w:rPr>
          <w:rStyle w:val="23"/>
        </w:rPr>
        <w:instrText xml:space="preserve"> </w:instrText>
      </w:r>
      <w:r>
        <w:instrText xml:space="preserve">HYPERLINK \l "_Toc80092995"</w:instrText>
      </w:r>
      <w:r>
        <w:rPr>
          <w:rStyle w:val="23"/>
        </w:rPr>
        <w:instrText xml:space="preserve"> </w:instrText>
      </w:r>
      <w:r>
        <w:rPr>
          <w:rStyle w:val="23"/>
        </w:rPr>
        <w:fldChar w:fldCharType="separate"/>
      </w:r>
      <w:r>
        <w:rPr>
          <w:rStyle w:val="23"/>
          <w:rFonts w:hint="eastAsia"/>
        </w:rPr>
        <w:t>一、总</w:t>
      </w:r>
      <w:r>
        <w:rPr>
          <w:rStyle w:val="23"/>
        </w:rPr>
        <w:t xml:space="preserve">  </w:t>
      </w:r>
      <w:r>
        <w:rPr>
          <w:rStyle w:val="23"/>
          <w:rFonts w:hint="eastAsia"/>
        </w:rPr>
        <w:t>则</w:t>
      </w:r>
      <w:r>
        <w:tab/>
      </w:r>
      <w:r>
        <w:rPr>
          <w:rStyle w:val="23"/>
        </w:rPr>
        <w:fldChar w:fldCharType="end"/>
      </w:r>
      <w:r>
        <w:rPr>
          <w:rStyle w:val="23"/>
          <w:rFonts w:hint="eastAsia"/>
          <w:lang w:val="en-US" w:eastAsia="zh-CN"/>
        </w:rPr>
        <w:t>34</w:t>
      </w:r>
    </w:p>
    <w:p>
      <w:pPr>
        <w:pStyle w:val="13"/>
        <w:tabs>
          <w:tab w:val="right" w:leader="dot" w:pos="9628"/>
        </w:tabs>
        <w:ind w:left="0" w:leftChars="0" w:firstLine="0" w:firstLineChars="0"/>
        <w:rPr>
          <w:rFonts w:hint="default" w:eastAsiaTheme="minorEastAsia"/>
          <w:smallCaps w:val="0"/>
          <w:sz w:val="21"/>
          <w:lang w:val="en-US" w:eastAsia="zh-CN"/>
        </w:rPr>
      </w:pPr>
      <w:r>
        <w:rPr>
          <w:rStyle w:val="23"/>
        </w:rPr>
        <w:fldChar w:fldCharType="begin"/>
      </w:r>
      <w:r>
        <w:rPr>
          <w:rStyle w:val="23"/>
        </w:rPr>
        <w:instrText xml:space="preserve"> </w:instrText>
      </w:r>
      <w:r>
        <w:instrText xml:space="preserve">HYPERLINK \l "_Toc80092996"</w:instrText>
      </w:r>
      <w:r>
        <w:rPr>
          <w:rStyle w:val="23"/>
        </w:rPr>
        <w:instrText xml:space="preserve"> </w:instrText>
      </w:r>
      <w:r>
        <w:rPr>
          <w:rStyle w:val="23"/>
        </w:rPr>
        <w:fldChar w:fldCharType="separate"/>
      </w:r>
      <w:r>
        <w:rPr>
          <w:rStyle w:val="23"/>
          <w:rFonts w:hint="eastAsia"/>
        </w:rPr>
        <w:t>二、</w:t>
      </w:r>
      <w:r>
        <w:rPr>
          <w:rFonts w:hint="eastAsia" w:ascii="宋体" w:hAnsi="宋体" w:eastAsia="宋体" w:cs="宋体"/>
          <w:sz w:val="22"/>
          <w:szCs w:val="22"/>
        </w:rPr>
        <w:t>谈判文件</w:t>
      </w:r>
      <w:r>
        <w:tab/>
      </w:r>
      <w:r>
        <w:rPr>
          <w:rStyle w:val="23"/>
        </w:rPr>
        <w:fldChar w:fldCharType="end"/>
      </w:r>
      <w:r>
        <w:rPr>
          <w:rStyle w:val="23"/>
          <w:rFonts w:hint="eastAsia"/>
          <w:lang w:val="en-US" w:eastAsia="zh-CN"/>
        </w:rPr>
        <w:t>36</w:t>
      </w:r>
    </w:p>
    <w:p>
      <w:pPr>
        <w:pStyle w:val="13"/>
        <w:tabs>
          <w:tab w:val="right" w:leader="dot" w:pos="9628"/>
        </w:tabs>
        <w:ind w:left="0" w:leftChars="0" w:firstLine="0" w:firstLineChars="0"/>
        <w:rPr>
          <w:rFonts w:hint="default" w:eastAsiaTheme="minorEastAsia"/>
          <w:smallCaps w:val="0"/>
          <w:sz w:val="21"/>
          <w:lang w:val="en-US" w:eastAsia="zh-CN"/>
        </w:rPr>
      </w:pPr>
      <w:r>
        <w:rPr>
          <w:rStyle w:val="23"/>
        </w:rPr>
        <w:fldChar w:fldCharType="begin"/>
      </w:r>
      <w:r>
        <w:rPr>
          <w:rStyle w:val="23"/>
        </w:rPr>
        <w:instrText xml:space="preserve"> </w:instrText>
      </w:r>
      <w:r>
        <w:instrText xml:space="preserve">HYPERLINK \l "_Toc80092997"</w:instrText>
      </w:r>
      <w:r>
        <w:rPr>
          <w:rStyle w:val="23"/>
        </w:rPr>
        <w:instrText xml:space="preserve"> </w:instrText>
      </w:r>
      <w:r>
        <w:rPr>
          <w:rStyle w:val="23"/>
        </w:rPr>
        <w:fldChar w:fldCharType="separate"/>
      </w:r>
      <w:r>
        <w:rPr>
          <w:rStyle w:val="23"/>
          <w:rFonts w:hint="eastAsia"/>
        </w:rPr>
        <w:t>三、</w:t>
      </w:r>
      <w:r>
        <w:rPr>
          <w:rFonts w:hint="eastAsia" w:ascii="宋体" w:hAnsi="宋体" w:eastAsia="宋体" w:cs="宋体"/>
          <w:sz w:val="22"/>
          <w:szCs w:val="22"/>
        </w:rPr>
        <w:t>响应文件的编制</w:t>
      </w:r>
      <w:r>
        <w:tab/>
      </w:r>
      <w:r>
        <w:rPr>
          <w:rStyle w:val="23"/>
        </w:rPr>
        <w:fldChar w:fldCharType="end"/>
      </w:r>
      <w:r>
        <w:rPr>
          <w:rStyle w:val="23"/>
          <w:rFonts w:hint="eastAsia"/>
          <w:lang w:val="en-US" w:eastAsia="zh-CN"/>
        </w:rPr>
        <w:t>37</w:t>
      </w:r>
    </w:p>
    <w:p>
      <w:pPr>
        <w:pStyle w:val="13"/>
        <w:tabs>
          <w:tab w:val="right" w:leader="dot" w:pos="9628"/>
        </w:tabs>
        <w:ind w:left="0" w:leftChars="0" w:firstLine="0" w:firstLineChars="0"/>
        <w:rPr>
          <w:rFonts w:hint="default" w:eastAsiaTheme="minorEastAsia"/>
          <w:smallCaps w:val="0"/>
          <w:sz w:val="21"/>
          <w:lang w:val="en-US" w:eastAsia="zh-CN"/>
        </w:rPr>
      </w:pPr>
      <w:r>
        <w:rPr>
          <w:rStyle w:val="23"/>
        </w:rPr>
        <w:fldChar w:fldCharType="begin"/>
      </w:r>
      <w:r>
        <w:rPr>
          <w:rStyle w:val="23"/>
        </w:rPr>
        <w:instrText xml:space="preserve"> </w:instrText>
      </w:r>
      <w:r>
        <w:instrText xml:space="preserve">HYPERLINK \l "_Toc80092998"</w:instrText>
      </w:r>
      <w:r>
        <w:rPr>
          <w:rStyle w:val="23"/>
        </w:rPr>
        <w:instrText xml:space="preserve"> </w:instrText>
      </w:r>
      <w:r>
        <w:rPr>
          <w:rStyle w:val="23"/>
        </w:rPr>
        <w:fldChar w:fldCharType="separate"/>
      </w:r>
      <w:r>
        <w:rPr>
          <w:rStyle w:val="23"/>
          <w:rFonts w:hint="eastAsia"/>
        </w:rPr>
        <w:t>四、</w:t>
      </w:r>
      <w:bookmarkStart w:id="2" w:name="_Hlt80093052"/>
      <w:r>
        <w:rPr>
          <w:rFonts w:hint="eastAsia" w:ascii="宋体" w:hAnsi="宋体" w:eastAsia="宋体" w:cs="宋体"/>
          <w:sz w:val="22"/>
          <w:szCs w:val="22"/>
        </w:rPr>
        <w:t>评审及谈判</w:t>
      </w:r>
      <w:r>
        <w:tab/>
      </w:r>
      <w:bookmarkEnd w:id="2"/>
      <w:r>
        <w:rPr>
          <w:rStyle w:val="23"/>
        </w:rPr>
        <w:fldChar w:fldCharType="end"/>
      </w:r>
      <w:r>
        <w:rPr>
          <w:rStyle w:val="23"/>
          <w:rFonts w:hint="eastAsia"/>
          <w:lang w:val="en-US" w:eastAsia="zh-CN"/>
        </w:rPr>
        <w:t>39</w:t>
      </w:r>
    </w:p>
    <w:p>
      <w:pPr>
        <w:pStyle w:val="13"/>
        <w:tabs>
          <w:tab w:val="right" w:leader="dot" w:pos="9628"/>
        </w:tabs>
        <w:ind w:left="0" w:leftChars="0" w:firstLine="0" w:firstLineChars="0"/>
        <w:rPr>
          <w:rFonts w:hint="default" w:eastAsiaTheme="minorEastAsia"/>
          <w:smallCaps w:val="0"/>
          <w:sz w:val="21"/>
          <w:lang w:val="en-US" w:eastAsia="zh-CN"/>
        </w:rPr>
      </w:pPr>
      <w:r>
        <w:rPr>
          <w:rStyle w:val="23"/>
        </w:rPr>
        <w:fldChar w:fldCharType="begin"/>
      </w:r>
      <w:r>
        <w:rPr>
          <w:rStyle w:val="23"/>
        </w:rPr>
        <w:instrText xml:space="preserve"> </w:instrText>
      </w:r>
      <w:r>
        <w:instrText xml:space="preserve">HYPERLINK \l "_Toc80092999"</w:instrText>
      </w:r>
      <w:r>
        <w:rPr>
          <w:rStyle w:val="23"/>
        </w:rPr>
        <w:instrText xml:space="preserve"> </w:instrText>
      </w:r>
      <w:r>
        <w:rPr>
          <w:rStyle w:val="23"/>
        </w:rPr>
        <w:fldChar w:fldCharType="separate"/>
      </w:r>
      <w:r>
        <w:rPr>
          <w:rStyle w:val="23"/>
          <w:rFonts w:hint="eastAsia"/>
        </w:rPr>
        <w:t>五、</w:t>
      </w:r>
      <w:r>
        <w:rPr>
          <w:rFonts w:hint="eastAsia" w:ascii="宋体" w:hAnsi="宋体" w:eastAsia="宋体" w:cs="宋体"/>
          <w:sz w:val="22"/>
          <w:szCs w:val="22"/>
        </w:rPr>
        <w:t>成交及合同</w:t>
      </w:r>
      <w:r>
        <w:tab/>
      </w:r>
      <w:r>
        <w:rPr>
          <w:rStyle w:val="23"/>
        </w:rPr>
        <w:fldChar w:fldCharType="end"/>
      </w:r>
      <w:r>
        <w:rPr>
          <w:rStyle w:val="23"/>
          <w:rFonts w:hint="eastAsia"/>
          <w:lang w:val="en-US" w:eastAsia="zh-CN"/>
        </w:rPr>
        <w:t>40</w:t>
      </w:r>
    </w:p>
    <w:p>
      <w:pPr>
        <w:pStyle w:val="13"/>
        <w:tabs>
          <w:tab w:val="right" w:leader="dot" w:pos="9628"/>
        </w:tabs>
        <w:ind w:left="0" w:leftChars="0" w:firstLine="0" w:firstLineChars="0"/>
        <w:rPr>
          <w:rFonts w:hint="default" w:eastAsiaTheme="minorEastAsia"/>
          <w:smallCaps w:val="0"/>
          <w:sz w:val="21"/>
          <w:lang w:val="en-US" w:eastAsia="zh-CN"/>
        </w:rPr>
      </w:pPr>
      <w:r>
        <w:rPr>
          <w:rStyle w:val="23"/>
        </w:rPr>
        <w:fldChar w:fldCharType="begin"/>
      </w:r>
      <w:r>
        <w:rPr>
          <w:rStyle w:val="23"/>
        </w:rPr>
        <w:instrText xml:space="preserve"> </w:instrText>
      </w:r>
      <w:r>
        <w:instrText xml:space="preserve">HYPERLINK \l "_Toc80093000"</w:instrText>
      </w:r>
      <w:r>
        <w:rPr>
          <w:rStyle w:val="23"/>
        </w:rPr>
        <w:instrText xml:space="preserve"> </w:instrText>
      </w:r>
      <w:r>
        <w:rPr>
          <w:rStyle w:val="23"/>
        </w:rPr>
        <w:fldChar w:fldCharType="separate"/>
      </w:r>
      <w:r>
        <w:rPr>
          <w:rStyle w:val="23"/>
          <w:rFonts w:hint="eastAsia"/>
        </w:rPr>
        <w:t>六、</w:t>
      </w:r>
      <w:r>
        <w:rPr>
          <w:rFonts w:hint="eastAsia" w:ascii="宋体" w:hAnsi="宋体" w:eastAsia="宋体" w:cs="宋体"/>
          <w:sz w:val="22"/>
          <w:szCs w:val="22"/>
        </w:rPr>
        <w:t>验收</w:t>
      </w:r>
      <w:r>
        <w:tab/>
      </w:r>
      <w:r>
        <w:rPr>
          <w:rStyle w:val="23"/>
        </w:rPr>
        <w:fldChar w:fldCharType="end"/>
      </w:r>
      <w:r>
        <w:rPr>
          <w:rStyle w:val="23"/>
          <w:rFonts w:hint="eastAsia"/>
          <w:lang w:val="en-US" w:eastAsia="zh-CN"/>
        </w:rPr>
        <w:t>43</w:t>
      </w:r>
    </w:p>
    <w:p>
      <w:pPr>
        <w:pStyle w:val="13"/>
        <w:tabs>
          <w:tab w:val="right" w:leader="dot" w:pos="9628"/>
        </w:tabs>
        <w:ind w:left="0" w:leftChars="0" w:firstLine="0" w:firstLineChars="0"/>
        <w:rPr>
          <w:rFonts w:hint="default" w:ascii="宋体" w:hAnsi="宋体" w:cs="宋体" w:eastAsiaTheme="minorEastAsia"/>
          <w:b w:val="0"/>
          <w:bCs w:val="0"/>
          <w:caps w:val="0"/>
          <w:sz w:val="22"/>
          <w:szCs w:val="22"/>
          <w:u w:val="single"/>
          <w:lang w:val="en-US" w:eastAsia="zh-CN"/>
        </w:rPr>
      </w:pPr>
      <w:r>
        <w:rPr>
          <w:rStyle w:val="23"/>
        </w:rPr>
        <w:fldChar w:fldCharType="begin"/>
      </w:r>
      <w:r>
        <w:rPr>
          <w:rStyle w:val="23"/>
        </w:rPr>
        <w:instrText xml:space="preserve"> </w:instrText>
      </w:r>
      <w:r>
        <w:instrText xml:space="preserve">HYPERLINK \l "_Toc80093001"</w:instrText>
      </w:r>
      <w:r>
        <w:rPr>
          <w:rStyle w:val="23"/>
        </w:rPr>
        <w:instrText xml:space="preserve"> </w:instrText>
      </w:r>
      <w:r>
        <w:rPr>
          <w:rStyle w:val="23"/>
        </w:rPr>
        <w:fldChar w:fldCharType="separate"/>
      </w:r>
      <w:r>
        <w:rPr>
          <w:rStyle w:val="23"/>
          <w:rFonts w:hint="eastAsia"/>
        </w:rPr>
        <w:t>七、</w:t>
      </w:r>
      <w:r>
        <w:rPr>
          <w:rFonts w:hint="eastAsia" w:ascii="宋体" w:hAnsi="宋体" w:eastAsia="宋体" w:cs="宋体"/>
          <w:sz w:val="22"/>
          <w:szCs w:val="22"/>
        </w:rPr>
        <w:t>其他事项</w:t>
      </w:r>
      <w:r>
        <w:tab/>
      </w:r>
      <w:r>
        <w:rPr>
          <w:rStyle w:val="23"/>
        </w:rPr>
        <w:fldChar w:fldCharType="end"/>
      </w:r>
      <w:r>
        <w:rPr>
          <w:rStyle w:val="23"/>
          <w:rFonts w:hint="eastAsia"/>
          <w:lang w:val="en-US" w:eastAsia="zh-CN"/>
        </w:rPr>
        <w:t>43</w:t>
      </w:r>
    </w:p>
    <w:p>
      <w:pPr>
        <w:pStyle w:val="17"/>
        <w:tabs>
          <w:tab w:val="right" w:leader="dot" w:pos="9628"/>
        </w:tabs>
        <w:spacing w:before="360" w:after="360"/>
        <w:rPr>
          <w:rFonts w:hint="eastAsia" w:ascii="宋体" w:hAnsi="宋体" w:eastAsia="宋体" w:cs="宋体"/>
          <w:b w:val="0"/>
          <w:bCs w:val="0"/>
          <w:caps w:val="0"/>
          <w:sz w:val="22"/>
          <w:szCs w:val="22"/>
          <w:u w:val="single"/>
          <w:lang w:val="en-US" w:eastAsia="zh-CN"/>
        </w:rPr>
      </w:pPr>
      <w:r>
        <w:rPr>
          <w:rFonts w:hint="eastAsia" w:ascii="宋体" w:hAnsi="宋体" w:eastAsia="宋体" w:cs="宋体"/>
          <w:b w:val="0"/>
          <w:bCs w:val="0"/>
          <w:caps w:val="0"/>
          <w:sz w:val="22"/>
          <w:szCs w:val="22"/>
          <w:u w:val="single"/>
        </w:rPr>
        <w:fldChar w:fldCharType="begin"/>
      </w:r>
      <w:r>
        <w:rPr>
          <w:rFonts w:hint="eastAsia" w:ascii="宋体" w:hAnsi="宋体" w:eastAsia="宋体" w:cs="宋体"/>
          <w:b w:val="0"/>
          <w:bCs w:val="0"/>
          <w:caps w:val="0"/>
          <w:sz w:val="22"/>
          <w:szCs w:val="22"/>
          <w:u w:val="single"/>
        </w:rPr>
        <w:instrText xml:space="preserve"> HYPERLINK \l "_Toc80205932" </w:instrText>
      </w:r>
      <w:r>
        <w:rPr>
          <w:rFonts w:hint="eastAsia" w:ascii="宋体" w:hAnsi="宋体" w:eastAsia="宋体" w:cs="宋体"/>
          <w:b w:val="0"/>
          <w:bCs w:val="0"/>
          <w:caps w:val="0"/>
          <w:sz w:val="22"/>
          <w:szCs w:val="22"/>
          <w:u w:val="single"/>
        </w:rPr>
        <w:fldChar w:fldCharType="separate"/>
      </w:r>
      <w:r>
        <w:rPr>
          <w:rFonts w:hint="eastAsia" w:ascii="宋体" w:hAnsi="宋体" w:eastAsia="宋体" w:cs="宋体"/>
          <w:b/>
          <w:bCs/>
          <w:caps w:val="0"/>
          <w:sz w:val="22"/>
          <w:szCs w:val="22"/>
          <w:u w:val="single"/>
        </w:rPr>
        <w:t>第四章  评审程序、评审方法和成交标准</w:t>
      </w:r>
      <w:r>
        <w:rPr>
          <w:rFonts w:hint="eastAsia" w:ascii="Times New Roman" w:hAnsi="Times New Roman" w:eastAsia="宋体" w:cs="Times New Roman"/>
          <w:b/>
          <w:bCs/>
          <w:caps/>
          <w:smallCaps w:val="0"/>
          <w:kern w:val="2"/>
          <w:sz w:val="20"/>
          <w:szCs w:val="20"/>
          <w:lang w:val="en-US" w:eastAsia="zh-CN" w:bidi="ar-SA"/>
        </w:rPr>
        <w:tab/>
      </w:r>
      <w:r>
        <w:rPr>
          <w:rFonts w:hint="eastAsia" w:ascii="宋体" w:hAnsi="宋体" w:cs="宋体"/>
          <w:b w:val="0"/>
          <w:bCs w:val="0"/>
          <w:caps w:val="0"/>
          <w:sz w:val="22"/>
          <w:szCs w:val="22"/>
          <w:u w:val="single"/>
          <w:lang w:val="en-US" w:eastAsia="zh-CN"/>
        </w:rPr>
        <w:t>4</w:t>
      </w:r>
      <w:r>
        <w:rPr>
          <w:rFonts w:hint="eastAsia" w:ascii="宋体" w:hAnsi="宋体" w:eastAsia="宋体" w:cs="宋体"/>
          <w:b w:val="0"/>
          <w:bCs w:val="0"/>
          <w:caps w:val="0"/>
          <w:sz w:val="22"/>
          <w:szCs w:val="22"/>
          <w:u w:val="single"/>
        </w:rPr>
        <w:fldChar w:fldCharType="end"/>
      </w:r>
      <w:r>
        <w:rPr>
          <w:rFonts w:hint="eastAsia" w:ascii="宋体" w:hAnsi="宋体" w:cs="宋体"/>
          <w:b w:val="0"/>
          <w:bCs w:val="0"/>
          <w:caps w:val="0"/>
          <w:sz w:val="22"/>
          <w:szCs w:val="22"/>
          <w:u w:val="single"/>
          <w:lang w:val="en-US" w:eastAsia="zh-CN"/>
        </w:rPr>
        <w:t>5</w:t>
      </w:r>
    </w:p>
    <w:p>
      <w:pPr>
        <w:pStyle w:val="13"/>
        <w:tabs>
          <w:tab w:val="right" w:leader="dot" w:pos="9628"/>
        </w:tabs>
        <w:ind w:left="0" w:leftChars="0" w:firstLine="0" w:firstLineChars="0"/>
        <w:rPr>
          <w:rStyle w:val="23"/>
          <w:rFonts w:hint="default" w:ascii="Times New Roman" w:hAnsi="Times New Roman" w:eastAsia="宋体" w:cs="Times New Roman"/>
          <w:b w:val="0"/>
          <w:bCs w:val="0"/>
          <w:lang w:val="en-US" w:eastAsia="zh-CN"/>
        </w:rPr>
      </w:pPr>
      <w:r>
        <w:rPr>
          <w:rStyle w:val="23"/>
          <w:rFonts w:hint="eastAsia" w:ascii="Times New Roman" w:hAnsi="Times New Roman" w:eastAsia="宋体" w:cs="Times New Roman"/>
          <w:b w:val="0"/>
          <w:bCs w:val="0"/>
        </w:rPr>
        <w:fldChar w:fldCharType="begin"/>
      </w:r>
      <w:r>
        <w:rPr>
          <w:rStyle w:val="23"/>
          <w:rFonts w:hint="eastAsia" w:ascii="Times New Roman" w:hAnsi="Times New Roman" w:eastAsia="宋体" w:cs="Times New Roman"/>
          <w:b w:val="0"/>
          <w:bCs w:val="0"/>
        </w:rPr>
        <w:instrText xml:space="preserve"> HYPERLINK \l "_Toc80205933" </w:instrText>
      </w:r>
      <w:r>
        <w:rPr>
          <w:rStyle w:val="23"/>
          <w:rFonts w:hint="eastAsia" w:ascii="Times New Roman" w:hAnsi="Times New Roman" w:eastAsia="宋体" w:cs="Times New Roman"/>
          <w:b w:val="0"/>
          <w:bCs w:val="0"/>
        </w:rPr>
        <w:fldChar w:fldCharType="separate"/>
      </w:r>
      <w:r>
        <w:rPr>
          <w:rStyle w:val="23"/>
          <w:rFonts w:hint="eastAsia" w:ascii="Times New Roman" w:hAnsi="Times New Roman" w:eastAsia="宋体" w:cs="Times New Roman"/>
          <w:b w:val="0"/>
          <w:bCs w:val="0"/>
        </w:rPr>
        <w:t>第一节 评审程序和评审方法</w:t>
      </w:r>
      <w:r>
        <w:rPr>
          <w:rStyle w:val="23"/>
          <w:rFonts w:hint="eastAsia" w:ascii="Times New Roman" w:hAnsi="Times New Roman" w:eastAsia="宋体" w:cs="Times New Roman"/>
          <w:b w:val="0"/>
          <w:bCs w:val="0"/>
        </w:rPr>
        <w:tab/>
      </w:r>
      <w:r>
        <w:rPr>
          <w:rStyle w:val="23"/>
          <w:rFonts w:hint="eastAsia" w:ascii="Times New Roman" w:hAnsi="Times New Roman" w:eastAsia="宋体" w:cs="Times New Roman"/>
          <w:b w:val="0"/>
          <w:bCs w:val="0"/>
        </w:rPr>
        <w:fldChar w:fldCharType="end"/>
      </w:r>
      <w:r>
        <w:rPr>
          <w:rStyle w:val="23"/>
          <w:rFonts w:hint="eastAsia" w:cs="Times New Roman"/>
          <w:b w:val="0"/>
          <w:bCs w:val="0"/>
          <w:lang w:val="en-US" w:eastAsia="zh-CN"/>
        </w:rPr>
        <w:t>45</w:t>
      </w:r>
    </w:p>
    <w:p>
      <w:pPr>
        <w:pStyle w:val="13"/>
        <w:tabs>
          <w:tab w:val="right" w:leader="dot" w:pos="9628"/>
        </w:tabs>
        <w:ind w:left="0" w:leftChars="0" w:firstLine="0" w:firstLineChars="0"/>
        <w:rPr>
          <w:rStyle w:val="23"/>
          <w:rFonts w:hint="default" w:ascii="Times New Roman" w:hAnsi="Times New Roman" w:eastAsia="宋体" w:cs="Times New Roman"/>
          <w:b w:val="0"/>
          <w:bCs w:val="0"/>
          <w:lang w:val="en-US" w:eastAsia="zh-CN"/>
        </w:rPr>
      </w:pPr>
      <w:r>
        <w:rPr>
          <w:rStyle w:val="23"/>
          <w:rFonts w:hint="eastAsia" w:ascii="Times New Roman" w:hAnsi="Times New Roman" w:eastAsia="宋体" w:cs="Times New Roman"/>
          <w:b w:val="0"/>
          <w:bCs w:val="0"/>
        </w:rPr>
        <w:fldChar w:fldCharType="begin"/>
      </w:r>
      <w:r>
        <w:rPr>
          <w:rStyle w:val="23"/>
          <w:rFonts w:hint="eastAsia" w:ascii="Times New Roman" w:hAnsi="Times New Roman" w:eastAsia="宋体" w:cs="Times New Roman"/>
          <w:b w:val="0"/>
          <w:bCs w:val="0"/>
        </w:rPr>
        <w:instrText xml:space="preserve"> HYPERLINK \l "_Toc80205934" </w:instrText>
      </w:r>
      <w:r>
        <w:rPr>
          <w:rStyle w:val="23"/>
          <w:rFonts w:hint="eastAsia" w:ascii="Times New Roman" w:hAnsi="Times New Roman" w:eastAsia="宋体" w:cs="Times New Roman"/>
          <w:b w:val="0"/>
          <w:bCs w:val="0"/>
        </w:rPr>
        <w:fldChar w:fldCharType="separate"/>
      </w:r>
      <w:r>
        <w:rPr>
          <w:rStyle w:val="23"/>
          <w:rFonts w:hint="eastAsia" w:ascii="Times New Roman" w:hAnsi="Times New Roman" w:eastAsia="宋体" w:cs="Times New Roman"/>
          <w:b w:val="0"/>
          <w:bCs w:val="0"/>
        </w:rPr>
        <w:t>第二节 评审原则</w:t>
      </w:r>
      <w:r>
        <w:rPr>
          <w:rStyle w:val="23"/>
          <w:rFonts w:hint="eastAsia" w:ascii="Times New Roman" w:hAnsi="Times New Roman" w:eastAsia="宋体" w:cs="Times New Roman"/>
          <w:b w:val="0"/>
          <w:bCs w:val="0"/>
        </w:rPr>
        <w:tab/>
      </w:r>
      <w:r>
        <w:rPr>
          <w:rStyle w:val="23"/>
          <w:rFonts w:hint="eastAsia" w:ascii="Times New Roman" w:hAnsi="Times New Roman" w:eastAsia="宋体" w:cs="Times New Roman"/>
          <w:b w:val="0"/>
          <w:bCs w:val="0"/>
        </w:rPr>
        <w:fldChar w:fldCharType="end"/>
      </w:r>
      <w:r>
        <w:rPr>
          <w:rStyle w:val="23"/>
          <w:rFonts w:hint="eastAsia" w:cs="Times New Roman"/>
          <w:b w:val="0"/>
          <w:bCs w:val="0"/>
          <w:lang w:val="en-US" w:eastAsia="zh-CN"/>
        </w:rPr>
        <w:t>49</w:t>
      </w:r>
    </w:p>
    <w:p>
      <w:pPr>
        <w:pStyle w:val="13"/>
        <w:tabs>
          <w:tab w:val="right" w:leader="dot" w:pos="9628"/>
        </w:tabs>
        <w:ind w:left="0" w:leftChars="0" w:firstLine="0" w:firstLineChars="0"/>
        <w:rPr>
          <w:rStyle w:val="23"/>
          <w:rFonts w:hint="default" w:ascii="Times New Roman" w:hAnsi="Times New Roman" w:eastAsia="宋体" w:cs="Times New Roman"/>
          <w:b w:val="0"/>
          <w:bCs w:val="0"/>
          <w:lang w:val="en-US" w:eastAsia="zh-CN"/>
        </w:rPr>
      </w:pPr>
      <w:r>
        <w:rPr>
          <w:rStyle w:val="23"/>
          <w:rFonts w:hint="eastAsia" w:ascii="Times New Roman" w:hAnsi="Times New Roman" w:eastAsia="宋体" w:cs="Times New Roman"/>
          <w:b w:val="0"/>
          <w:bCs w:val="0"/>
        </w:rPr>
        <w:fldChar w:fldCharType="begin"/>
      </w:r>
      <w:r>
        <w:rPr>
          <w:rStyle w:val="23"/>
          <w:rFonts w:hint="eastAsia" w:ascii="Times New Roman" w:hAnsi="Times New Roman" w:eastAsia="宋体" w:cs="Times New Roman"/>
          <w:b w:val="0"/>
          <w:bCs w:val="0"/>
        </w:rPr>
        <w:instrText xml:space="preserve"> HYPERLINK \l "_Toc80205935" </w:instrText>
      </w:r>
      <w:r>
        <w:rPr>
          <w:rStyle w:val="23"/>
          <w:rFonts w:hint="eastAsia" w:ascii="Times New Roman" w:hAnsi="Times New Roman" w:eastAsia="宋体" w:cs="Times New Roman"/>
          <w:b w:val="0"/>
          <w:bCs w:val="0"/>
        </w:rPr>
        <w:fldChar w:fldCharType="separate"/>
      </w:r>
      <w:r>
        <w:rPr>
          <w:rStyle w:val="23"/>
          <w:rFonts w:hint="eastAsia" w:ascii="Times New Roman" w:hAnsi="Times New Roman" w:eastAsia="宋体" w:cs="Times New Roman"/>
          <w:b w:val="0"/>
          <w:bCs w:val="0"/>
        </w:rPr>
        <w:t>第三节 评标报告</w:t>
      </w:r>
      <w:r>
        <w:rPr>
          <w:rStyle w:val="23"/>
          <w:rFonts w:hint="eastAsia" w:ascii="Times New Roman" w:hAnsi="Times New Roman" w:eastAsia="宋体" w:cs="Times New Roman"/>
          <w:b w:val="0"/>
          <w:bCs w:val="0"/>
        </w:rPr>
        <w:tab/>
      </w:r>
      <w:r>
        <w:rPr>
          <w:rStyle w:val="23"/>
          <w:rFonts w:hint="eastAsia" w:ascii="Times New Roman" w:hAnsi="Times New Roman" w:eastAsia="宋体" w:cs="Times New Roman"/>
          <w:b w:val="0"/>
          <w:bCs w:val="0"/>
        </w:rPr>
        <w:fldChar w:fldCharType="end"/>
      </w:r>
      <w:r>
        <w:rPr>
          <w:rStyle w:val="23"/>
          <w:rFonts w:hint="eastAsia" w:cs="Times New Roman"/>
          <w:b w:val="0"/>
          <w:bCs w:val="0"/>
          <w:lang w:val="en-US" w:eastAsia="zh-CN"/>
        </w:rPr>
        <w:t>50</w:t>
      </w:r>
    </w:p>
    <w:p>
      <w:pPr>
        <w:pStyle w:val="13"/>
        <w:tabs>
          <w:tab w:val="right" w:leader="dot" w:pos="9628"/>
        </w:tabs>
        <w:ind w:left="0" w:leftChars="0" w:firstLine="0" w:firstLineChars="0"/>
        <w:rPr>
          <w:rFonts w:hint="default" w:ascii="宋体" w:hAnsi="宋体" w:eastAsia="宋体" w:cs="宋体"/>
          <w:b w:val="0"/>
          <w:bCs w:val="0"/>
          <w:caps w:val="0"/>
          <w:sz w:val="22"/>
          <w:szCs w:val="22"/>
          <w:u w:val="single"/>
          <w:lang w:val="en-US" w:eastAsia="zh-CN"/>
        </w:rPr>
      </w:pPr>
      <w:r>
        <w:rPr>
          <w:rStyle w:val="23"/>
          <w:rFonts w:hint="eastAsia" w:ascii="Times New Roman" w:hAnsi="Times New Roman" w:eastAsia="宋体" w:cs="Times New Roman"/>
          <w:b w:val="0"/>
          <w:bCs w:val="0"/>
        </w:rPr>
        <w:fldChar w:fldCharType="begin"/>
      </w:r>
      <w:r>
        <w:rPr>
          <w:rStyle w:val="23"/>
          <w:rFonts w:hint="eastAsia" w:ascii="Times New Roman" w:hAnsi="Times New Roman" w:eastAsia="宋体" w:cs="Times New Roman"/>
          <w:b w:val="0"/>
          <w:bCs w:val="0"/>
        </w:rPr>
        <w:instrText xml:space="preserve"> HYPERLINK \l "_Toc80205936" </w:instrText>
      </w:r>
      <w:r>
        <w:rPr>
          <w:rStyle w:val="23"/>
          <w:rFonts w:hint="eastAsia" w:ascii="Times New Roman" w:hAnsi="Times New Roman" w:eastAsia="宋体" w:cs="Times New Roman"/>
          <w:b w:val="0"/>
          <w:bCs w:val="0"/>
        </w:rPr>
        <w:fldChar w:fldCharType="separate"/>
      </w:r>
      <w:r>
        <w:rPr>
          <w:rStyle w:val="23"/>
          <w:rFonts w:hint="eastAsia" w:ascii="Times New Roman" w:hAnsi="Times New Roman" w:eastAsia="宋体" w:cs="Times New Roman"/>
          <w:b w:val="0"/>
          <w:bCs w:val="0"/>
        </w:rPr>
        <w:t>第四节 评审过程的保密与录像</w:t>
      </w:r>
      <w:r>
        <w:rPr>
          <w:rStyle w:val="23"/>
          <w:rFonts w:hint="eastAsia" w:ascii="Times New Roman" w:hAnsi="Times New Roman" w:eastAsia="宋体" w:cs="Times New Roman"/>
          <w:b w:val="0"/>
          <w:bCs w:val="0"/>
        </w:rPr>
        <w:tab/>
      </w:r>
      <w:r>
        <w:rPr>
          <w:rStyle w:val="23"/>
          <w:rFonts w:hint="eastAsia" w:ascii="Times New Roman" w:hAnsi="Times New Roman" w:eastAsia="宋体" w:cs="Times New Roman"/>
          <w:b w:val="0"/>
          <w:bCs w:val="0"/>
        </w:rPr>
        <w:fldChar w:fldCharType="end"/>
      </w:r>
      <w:r>
        <w:rPr>
          <w:rStyle w:val="23"/>
          <w:rFonts w:hint="eastAsia" w:cs="Times New Roman"/>
          <w:b w:val="0"/>
          <w:bCs w:val="0"/>
          <w:lang w:val="en-US" w:eastAsia="zh-CN"/>
        </w:rPr>
        <w:t>50</w:t>
      </w:r>
    </w:p>
    <w:p>
      <w:pPr>
        <w:pStyle w:val="17"/>
        <w:tabs>
          <w:tab w:val="right" w:leader="dot" w:pos="9628"/>
        </w:tabs>
        <w:spacing w:before="360" w:after="360"/>
        <w:rPr>
          <w:rFonts w:hint="eastAsia" w:ascii="宋体" w:hAnsi="宋体" w:eastAsia="宋体" w:cs="宋体"/>
          <w:b w:val="0"/>
          <w:bCs w:val="0"/>
          <w:caps w:val="0"/>
          <w:sz w:val="22"/>
          <w:szCs w:val="22"/>
          <w:u w:val="single"/>
          <w:lang w:val="en-US" w:eastAsia="zh-CN"/>
        </w:rPr>
      </w:pPr>
      <w:r>
        <w:rPr>
          <w:rFonts w:hint="eastAsia" w:ascii="宋体" w:hAnsi="宋体" w:eastAsia="宋体" w:cs="宋体"/>
          <w:b w:val="0"/>
          <w:bCs w:val="0"/>
          <w:caps w:val="0"/>
          <w:sz w:val="22"/>
          <w:szCs w:val="22"/>
          <w:u w:val="single"/>
        </w:rPr>
        <w:fldChar w:fldCharType="begin"/>
      </w:r>
      <w:r>
        <w:rPr>
          <w:rFonts w:hint="eastAsia" w:ascii="宋体" w:hAnsi="宋体" w:eastAsia="宋体" w:cs="宋体"/>
          <w:b w:val="0"/>
          <w:bCs w:val="0"/>
          <w:caps w:val="0"/>
          <w:sz w:val="22"/>
          <w:szCs w:val="22"/>
          <w:u w:val="single"/>
        </w:rPr>
        <w:instrText xml:space="preserve"> HYPERLINK \l "_Toc80205937" </w:instrText>
      </w:r>
      <w:r>
        <w:rPr>
          <w:rFonts w:hint="eastAsia" w:ascii="宋体" w:hAnsi="宋体" w:eastAsia="宋体" w:cs="宋体"/>
          <w:b w:val="0"/>
          <w:bCs w:val="0"/>
          <w:caps w:val="0"/>
          <w:sz w:val="22"/>
          <w:szCs w:val="22"/>
          <w:u w:val="single"/>
        </w:rPr>
        <w:fldChar w:fldCharType="separate"/>
      </w:r>
      <w:r>
        <w:rPr>
          <w:rFonts w:hint="eastAsia" w:ascii="宋体" w:hAnsi="宋体" w:eastAsia="宋体" w:cs="宋体"/>
          <w:b/>
          <w:bCs/>
          <w:caps w:val="0"/>
          <w:sz w:val="22"/>
          <w:szCs w:val="22"/>
          <w:u w:val="single"/>
        </w:rPr>
        <w:t>第五章 响应文件格式</w:t>
      </w:r>
      <w:r>
        <w:rPr>
          <w:rFonts w:hint="eastAsia" w:ascii="Times New Roman" w:hAnsi="Times New Roman" w:eastAsia="宋体" w:cs="Times New Roman"/>
          <w:b w:val="0"/>
          <w:bCs w:val="0"/>
          <w:caps/>
          <w:smallCaps w:val="0"/>
          <w:kern w:val="2"/>
          <w:sz w:val="20"/>
          <w:szCs w:val="20"/>
          <w:lang w:val="en-US" w:eastAsia="zh-CN" w:bidi="ar-SA"/>
        </w:rPr>
        <w:tab/>
      </w:r>
      <w:r>
        <w:rPr>
          <w:rFonts w:hint="eastAsia" w:cs="Times New Roman"/>
          <w:b w:val="0"/>
          <w:bCs w:val="0"/>
          <w:caps/>
          <w:smallCaps w:val="0"/>
          <w:kern w:val="2"/>
          <w:sz w:val="20"/>
          <w:szCs w:val="20"/>
          <w:lang w:val="en-US" w:eastAsia="zh-CN" w:bidi="ar-SA"/>
        </w:rPr>
        <w:t>52</w:t>
      </w:r>
      <w:r>
        <w:rPr>
          <w:rFonts w:hint="eastAsia" w:ascii="宋体" w:hAnsi="宋体" w:eastAsia="宋体" w:cs="宋体"/>
          <w:b w:val="0"/>
          <w:bCs w:val="0"/>
          <w:caps w:val="0"/>
          <w:sz w:val="22"/>
          <w:szCs w:val="22"/>
          <w:u w:val="single"/>
        </w:rPr>
        <w:fldChar w:fldCharType="end"/>
      </w:r>
    </w:p>
    <w:p>
      <w:pPr>
        <w:pStyle w:val="13"/>
        <w:tabs>
          <w:tab w:val="right" w:leader="dot" w:pos="9628"/>
        </w:tabs>
        <w:ind w:left="0" w:leftChars="0" w:firstLine="0" w:firstLineChars="0"/>
        <w:rPr>
          <w:rStyle w:val="23"/>
          <w:rFonts w:hint="default" w:ascii="Times New Roman" w:hAnsi="Times New Roman" w:eastAsia="宋体" w:cs="Times New Roman"/>
          <w:b w:val="0"/>
          <w:bCs w:val="0"/>
          <w:lang w:val="en-US" w:eastAsia="zh-CN"/>
        </w:rPr>
      </w:pPr>
      <w:r>
        <w:rPr>
          <w:rStyle w:val="23"/>
          <w:rFonts w:hint="eastAsia" w:ascii="Times New Roman" w:hAnsi="Times New Roman" w:eastAsia="宋体" w:cs="Times New Roman"/>
          <w:b w:val="0"/>
          <w:bCs w:val="0"/>
        </w:rPr>
        <w:fldChar w:fldCharType="begin"/>
      </w:r>
      <w:r>
        <w:rPr>
          <w:rStyle w:val="23"/>
          <w:rFonts w:hint="eastAsia" w:ascii="Times New Roman" w:hAnsi="Times New Roman" w:eastAsia="宋体" w:cs="Times New Roman"/>
          <w:b w:val="0"/>
          <w:bCs w:val="0"/>
        </w:rPr>
        <w:instrText xml:space="preserve"> HYPERLINK \l "_Toc80205938" </w:instrText>
      </w:r>
      <w:r>
        <w:rPr>
          <w:rStyle w:val="23"/>
          <w:rFonts w:hint="eastAsia" w:ascii="Times New Roman" w:hAnsi="Times New Roman" w:eastAsia="宋体" w:cs="Times New Roman"/>
          <w:b w:val="0"/>
          <w:bCs w:val="0"/>
        </w:rPr>
        <w:fldChar w:fldCharType="separate"/>
      </w:r>
      <w:r>
        <w:rPr>
          <w:rStyle w:val="23"/>
          <w:rFonts w:hint="eastAsia" w:ascii="Times New Roman" w:hAnsi="Times New Roman" w:eastAsia="宋体" w:cs="Times New Roman"/>
          <w:b w:val="0"/>
          <w:bCs w:val="0"/>
        </w:rPr>
        <w:t>第一节 封面格式</w:t>
      </w:r>
      <w:r>
        <w:rPr>
          <w:rStyle w:val="23"/>
          <w:rFonts w:hint="eastAsia" w:ascii="Times New Roman" w:hAnsi="Times New Roman" w:eastAsia="宋体" w:cs="Times New Roman"/>
          <w:b w:val="0"/>
          <w:bCs w:val="0"/>
        </w:rPr>
        <w:tab/>
      </w:r>
      <w:r>
        <w:rPr>
          <w:rStyle w:val="23"/>
          <w:rFonts w:hint="eastAsia" w:ascii="Times New Roman" w:hAnsi="Times New Roman" w:eastAsia="宋体" w:cs="Times New Roman"/>
          <w:b w:val="0"/>
          <w:bCs w:val="0"/>
        </w:rPr>
        <w:fldChar w:fldCharType="end"/>
      </w:r>
      <w:r>
        <w:rPr>
          <w:rStyle w:val="23"/>
          <w:rFonts w:hint="eastAsia" w:cs="Times New Roman"/>
          <w:b w:val="0"/>
          <w:bCs w:val="0"/>
          <w:lang w:val="en-US" w:eastAsia="zh-CN"/>
        </w:rPr>
        <w:t>53</w:t>
      </w:r>
    </w:p>
    <w:p>
      <w:pPr>
        <w:pStyle w:val="13"/>
        <w:tabs>
          <w:tab w:val="right" w:leader="dot" w:pos="9628"/>
        </w:tabs>
        <w:ind w:left="0" w:leftChars="0" w:firstLine="0" w:firstLineChars="0"/>
        <w:rPr>
          <w:rStyle w:val="23"/>
          <w:rFonts w:hint="default" w:ascii="Times New Roman" w:hAnsi="Times New Roman" w:eastAsia="宋体" w:cs="Times New Roman"/>
          <w:b w:val="0"/>
          <w:bCs w:val="0"/>
          <w:lang w:val="en-US" w:eastAsia="zh-CN"/>
        </w:rPr>
      </w:pPr>
      <w:r>
        <w:rPr>
          <w:rStyle w:val="23"/>
          <w:rFonts w:hint="eastAsia" w:ascii="Times New Roman" w:hAnsi="Times New Roman" w:eastAsia="宋体" w:cs="Times New Roman"/>
          <w:b w:val="0"/>
          <w:bCs w:val="0"/>
        </w:rPr>
        <w:fldChar w:fldCharType="begin"/>
      </w:r>
      <w:r>
        <w:rPr>
          <w:rStyle w:val="23"/>
          <w:rFonts w:hint="eastAsia" w:ascii="Times New Roman" w:hAnsi="Times New Roman" w:eastAsia="宋体" w:cs="Times New Roman"/>
          <w:b w:val="0"/>
          <w:bCs w:val="0"/>
        </w:rPr>
        <w:instrText xml:space="preserve"> HYPERLINK \l "_Toc80205939" </w:instrText>
      </w:r>
      <w:r>
        <w:rPr>
          <w:rStyle w:val="23"/>
          <w:rFonts w:hint="eastAsia" w:ascii="Times New Roman" w:hAnsi="Times New Roman" w:eastAsia="宋体" w:cs="Times New Roman"/>
          <w:b w:val="0"/>
          <w:bCs w:val="0"/>
        </w:rPr>
        <w:fldChar w:fldCharType="separate"/>
      </w:r>
      <w:r>
        <w:rPr>
          <w:rStyle w:val="23"/>
          <w:rFonts w:hint="eastAsia" w:ascii="Times New Roman" w:hAnsi="Times New Roman" w:eastAsia="宋体" w:cs="Times New Roman"/>
          <w:b w:val="0"/>
          <w:bCs w:val="0"/>
        </w:rPr>
        <w:t>第二节 资格证明文件格式</w:t>
      </w:r>
      <w:r>
        <w:rPr>
          <w:rStyle w:val="23"/>
          <w:rFonts w:hint="eastAsia" w:ascii="Times New Roman" w:hAnsi="Times New Roman" w:eastAsia="宋体" w:cs="Times New Roman"/>
          <w:b w:val="0"/>
          <w:bCs w:val="0"/>
        </w:rPr>
        <w:tab/>
      </w:r>
      <w:r>
        <w:rPr>
          <w:rStyle w:val="23"/>
          <w:rFonts w:hint="eastAsia" w:ascii="Times New Roman" w:hAnsi="Times New Roman" w:eastAsia="宋体" w:cs="Times New Roman"/>
          <w:b w:val="0"/>
          <w:bCs w:val="0"/>
        </w:rPr>
        <w:fldChar w:fldCharType="end"/>
      </w:r>
      <w:r>
        <w:rPr>
          <w:rStyle w:val="23"/>
          <w:rFonts w:hint="eastAsia" w:cs="Times New Roman"/>
          <w:b w:val="0"/>
          <w:bCs w:val="0"/>
          <w:lang w:val="en-US" w:eastAsia="zh-CN"/>
        </w:rPr>
        <w:t>54</w:t>
      </w:r>
    </w:p>
    <w:p>
      <w:pPr>
        <w:pStyle w:val="13"/>
        <w:tabs>
          <w:tab w:val="right" w:leader="dot" w:pos="9628"/>
        </w:tabs>
        <w:ind w:left="0" w:leftChars="0" w:firstLine="0" w:firstLineChars="0"/>
        <w:rPr>
          <w:rStyle w:val="23"/>
          <w:rFonts w:hint="default" w:ascii="Times New Roman" w:hAnsi="Times New Roman" w:eastAsia="宋体" w:cs="Times New Roman"/>
          <w:b w:val="0"/>
          <w:bCs w:val="0"/>
          <w:lang w:val="en-US" w:eastAsia="zh-CN"/>
        </w:rPr>
      </w:pPr>
      <w:r>
        <w:rPr>
          <w:rStyle w:val="23"/>
          <w:rFonts w:hint="eastAsia" w:ascii="Times New Roman" w:hAnsi="Times New Roman" w:eastAsia="宋体" w:cs="Times New Roman"/>
          <w:b w:val="0"/>
          <w:bCs w:val="0"/>
        </w:rPr>
        <w:fldChar w:fldCharType="begin"/>
      </w:r>
      <w:r>
        <w:rPr>
          <w:rStyle w:val="23"/>
          <w:rFonts w:hint="eastAsia" w:ascii="Times New Roman" w:hAnsi="Times New Roman" w:eastAsia="宋体" w:cs="Times New Roman"/>
          <w:b w:val="0"/>
          <w:bCs w:val="0"/>
        </w:rPr>
        <w:instrText xml:space="preserve"> HYPERLINK \l "_Toc80205940" </w:instrText>
      </w:r>
      <w:r>
        <w:rPr>
          <w:rStyle w:val="23"/>
          <w:rFonts w:hint="eastAsia" w:ascii="Times New Roman" w:hAnsi="Times New Roman" w:eastAsia="宋体" w:cs="Times New Roman"/>
          <w:b w:val="0"/>
          <w:bCs w:val="0"/>
        </w:rPr>
        <w:fldChar w:fldCharType="separate"/>
      </w:r>
      <w:r>
        <w:rPr>
          <w:rStyle w:val="23"/>
          <w:rFonts w:hint="eastAsia" w:ascii="Times New Roman" w:hAnsi="Times New Roman" w:eastAsia="宋体" w:cs="Times New Roman"/>
          <w:b w:val="0"/>
          <w:bCs w:val="0"/>
        </w:rPr>
        <w:t>第</w:t>
      </w:r>
      <w:r>
        <w:rPr>
          <w:rStyle w:val="23"/>
          <w:rFonts w:hint="eastAsia" w:ascii="Times New Roman" w:hAnsi="Times New Roman" w:eastAsia="宋体" w:cs="Times New Roman"/>
          <w:b w:val="0"/>
          <w:bCs w:val="0"/>
          <w:lang w:val="en-US" w:eastAsia="zh-CN"/>
        </w:rPr>
        <w:t>三</w:t>
      </w:r>
      <w:r>
        <w:rPr>
          <w:rStyle w:val="23"/>
          <w:rFonts w:hint="eastAsia" w:ascii="Times New Roman" w:hAnsi="Times New Roman" w:eastAsia="宋体" w:cs="Times New Roman"/>
          <w:b w:val="0"/>
          <w:bCs w:val="0"/>
        </w:rPr>
        <w:t>节 商务技术文件格式</w:t>
      </w:r>
      <w:r>
        <w:rPr>
          <w:rStyle w:val="23"/>
          <w:rFonts w:hint="eastAsia" w:ascii="Times New Roman" w:hAnsi="Times New Roman" w:eastAsia="宋体" w:cs="Times New Roman"/>
          <w:b w:val="0"/>
          <w:bCs w:val="0"/>
        </w:rPr>
        <w:tab/>
      </w:r>
      <w:r>
        <w:rPr>
          <w:rStyle w:val="23"/>
          <w:rFonts w:hint="eastAsia" w:ascii="Times New Roman" w:hAnsi="Times New Roman" w:eastAsia="宋体" w:cs="Times New Roman"/>
          <w:b w:val="0"/>
          <w:bCs w:val="0"/>
        </w:rPr>
        <w:fldChar w:fldCharType="end"/>
      </w:r>
      <w:r>
        <w:rPr>
          <w:rStyle w:val="23"/>
          <w:rFonts w:hint="eastAsia" w:cs="Times New Roman"/>
          <w:b w:val="0"/>
          <w:bCs w:val="0"/>
          <w:lang w:val="en-US" w:eastAsia="zh-CN"/>
        </w:rPr>
        <w:t>61</w:t>
      </w:r>
    </w:p>
    <w:p>
      <w:pPr>
        <w:pStyle w:val="13"/>
        <w:tabs>
          <w:tab w:val="right" w:leader="dot" w:pos="9628"/>
        </w:tabs>
        <w:ind w:left="0" w:leftChars="0" w:firstLine="0" w:firstLineChars="0"/>
        <w:rPr>
          <w:rStyle w:val="23"/>
          <w:rFonts w:hint="default" w:ascii="Times New Roman" w:hAnsi="Times New Roman" w:eastAsia="宋体" w:cs="Times New Roman"/>
          <w:b w:val="0"/>
          <w:bCs w:val="0"/>
          <w:lang w:val="en-US" w:eastAsia="zh-CN"/>
        </w:rPr>
      </w:pPr>
      <w:r>
        <w:rPr>
          <w:rStyle w:val="23"/>
          <w:rFonts w:hint="eastAsia" w:ascii="Times New Roman" w:hAnsi="Times New Roman" w:eastAsia="宋体" w:cs="Times New Roman"/>
          <w:b w:val="0"/>
          <w:bCs w:val="0"/>
        </w:rPr>
        <w:fldChar w:fldCharType="begin"/>
      </w:r>
      <w:r>
        <w:rPr>
          <w:rStyle w:val="23"/>
          <w:rFonts w:hint="eastAsia" w:ascii="Times New Roman" w:hAnsi="Times New Roman" w:eastAsia="宋体" w:cs="Times New Roman"/>
          <w:b w:val="0"/>
          <w:bCs w:val="0"/>
        </w:rPr>
        <w:instrText xml:space="preserve"> HYPERLINK \l "_Toc80205941" </w:instrText>
      </w:r>
      <w:r>
        <w:rPr>
          <w:rStyle w:val="23"/>
          <w:rFonts w:hint="eastAsia" w:ascii="Times New Roman" w:hAnsi="Times New Roman" w:eastAsia="宋体" w:cs="Times New Roman"/>
          <w:b w:val="0"/>
          <w:bCs w:val="0"/>
        </w:rPr>
        <w:fldChar w:fldCharType="separate"/>
      </w:r>
      <w:r>
        <w:rPr>
          <w:rStyle w:val="23"/>
          <w:rFonts w:hint="eastAsia" w:ascii="Times New Roman" w:hAnsi="Times New Roman" w:eastAsia="宋体" w:cs="Times New Roman"/>
          <w:b w:val="0"/>
          <w:bCs w:val="0"/>
        </w:rPr>
        <w:t>第</w:t>
      </w:r>
      <w:r>
        <w:rPr>
          <w:rStyle w:val="23"/>
          <w:rFonts w:hint="eastAsia" w:ascii="Times New Roman" w:hAnsi="Times New Roman" w:eastAsia="宋体" w:cs="Times New Roman"/>
          <w:b w:val="0"/>
          <w:bCs w:val="0"/>
          <w:lang w:val="en-US" w:eastAsia="zh-CN"/>
        </w:rPr>
        <w:t>四</w:t>
      </w:r>
      <w:r>
        <w:rPr>
          <w:rStyle w:val="23"/>
          <w:rFonts w:hint="eastAsia" w:ascii="Times New Roman" w:hAnsi="Times New Roman" w:eastAsia="宋体" w:cs="Times New Roman"/>
          <w:b w:val="0"/>
          <w:bCs w:val="0"/>
        </w:rPr>
        <w:t>节 报价文件格式</w:t>
      </w:r>
      <w:r>
        <w:rPr>
          <w:rStyle w:val="23"/>
          <w:rFonts w:hint="eastAsia" w:ascii="Times New Roman" w:hAnsi="Times New Roman" w:eastAsia="宋体" w:cs="Times New Roman"/>
          <w:b w:val="0"/>
          <w:bCs w:val="0"/>
        </w:rPr>
        <w:tab/>
      </w:r>
      <w:r>
        <w:rPr>
          <w:rStyle w:val="23"/>
          <w:rFonts w:hint="eastAsia" w:ascii="Times New Roman" w:hAnsi="Times New Roman" w:eastAsia="宋体" w:cs="Times New Roman"/>
          <w:b w:val="0"/>
          <w:bCs w:val="0"/>
        </w:rPr>
        <w:fldChar w:fldCharType="end"/>
      </w:r>
      <w:r>
        <w:rPr>
          <w:rStyle w:val="23"/>
          <w:rFonts w:hint="eastAsia" w:cs="Times New Roman"/>
          <w:b w:val="0"/>
          <w:bCs w:val="0"/>
          <w:lang w:val="en-US" w:eastAsia="zh-CN"/>
        </w:rPr>
        <w:t>75</w:t>
      </w:r>
    </w:p>
    <w:p>
      <w:pPr>
        <w:pStyle w:val="13"/>
        <w:tabs>
          <w:tab w:val="right" w:leader="dot" w:pos="9628"/>
        </w:tabs>
        <w:ind w:left="0" w:leftChars="0" w:firstLine="0" w:firstLineChars="0"/>
        <w:rPr>
          <w:rStyle w:val="23"/>
          <w:rFonts w:hint="default" w:ascii="Times New Roman" w:hAnsi="Times New Roman" w:eastAsia="宋体" w:cs="Times New Roman"/>
          <w:lang w:val="en-US" w:eastAsia="zh-CN"/>
        </w:rPr>
      </w:pPr>
      <w:r>
        <w:rPr>
          <w:rStyle w:val="23"/>
          <w:rFonts w:hint="eastAsia" w:ascii="Times New Roman" w:hAnsi="Times New Roman" w:eastAsia="宋体" w:cs="Times New Roman"/>
          <w:b w:val="0"/>
          <w:bCs w:val="0"/>
        </w:rPr>
        <w:fldChar w:fldCharType="begin"/>
      </w:r>
      <w:r>
        <w:rPr>
          <w:rStyle w:val="23"/>
          <w:rFonts w:hint="eastAsia" w:ascii="Times New Roman" w:hAnsi="Times New Roman" w:eastAsia="宋体" w:cs="Times New Roman"/>
          <w:b w:val="0"/>
          <w:bCs w:val="0"/>
        </w:rPr>
        <w:instrText xml:space="preserve"> HYPERLINK \l "_Toc80205942" </w:instrText>
      </w:r>
      <w:r>
        <w:rPr>
          <w:rStyle w:val="23"/>
          <w:rFonts w:hint="eastAsia" w:ascii="Times New Roman" w:hAnsi="Times New Roman" w:eastAsia="宋体" w:cs="Times New Roman"/>
          <w:b w:val="0"/>
          <w:bCs w:val="0"/>
        </w:rPr>
        <w:fldChar w:fldCharType="separate"/>
      </w:r>
      <w:r>
        <w:rPr>
          <w:rStyle w:val="23"/>
          <w:rFonts w:hint="eastAsia" w:ascii="Times New Roman" w:hAnsi="Times New Roman" w:eastAsia="宋体" w:cs="Times New Roman"/>
          <w:b w:val="0"/>
          <w:bCs w:val="0"/>
        </w:rPr>
        <w:t>第</w:t>
      </w:r>
      <w:r>
        <w:rPr>
          <w:rStyle w:val="23"/>
          <w:rFonts w:hint="eastAsia" w:ascii="Times New Roman" w:hAnsi="Times New Roman" w:eastAsia="宋体" w:cs="Times New Roman"/>
          <w:b w:val="0"/>
          <w:bCs w:val="0"/>
          <w:lang w:val="en-US" w:eastAsia="zh-CN"/>
        </w:rPr>
        <w:t>五</w:t>
      </w:r>
      <w:r>
        <w:rPr>
          <w:rStyle w:val="23"/>
          <w:rFonts w:hint="eastAsia" w:ascii="Times New Roman" w:hAnsi="Times New Roman" w:eastAsia="宋体" w:cs="Times New Roman"/>
          <w:b w:val="0"/>
          <w:bCs w:val="0"/>
        </w:rPr>
        <w:t>节 其他文书、文件格式</w:t>
      </w:r>
      <w:r>
        <w:rPr>
          <w:rStyle w:val="23"/>
          <w:rFonts w:hint="eastAsia" w:ascii="Times New Roman" w:hAnsi="Times New Roman" w:eastAsia="宋体" w:cs="Times New Roman"/>
          <w:b w:val="0"/>
          <w:bCs w:val="0"/>
        </w:rPr>
        <w:tab/>
      </w:r>
      <w:r>
        <w:rPr>
          <w:rStyle w:val="23"/>
          <w:rFonts w:hint="eastAsia" w:ascii="Times New Roman" w:hAnsi="Times New Roman" w:eastAsia="宋体" w:cs="Times New Roman"/>
          <w:b w:val="0"/>
          <w:bCs w:val="0"/>
        </w:rPr>
        <w:fldChar w:fldCharType="end"/>
      </w:r>
      <w:r>
        <w:rPr>
          <w:rStyle w:val="23"/>
          <w:rFonts w:hint="eastAsia" w:cs="Times New Roman"/>
          <w:b w:val="0"/>
          <w:bCs w:val="0"/>
          <w:lang w:val="en-US" w:eastAsia="zh-CN"/>
        </w:rPr>
        <w:t>81</w:t>
      </w:r>
    </w:p>
    <w:p>
      <w:pPr>
        <w:pStyle w:val="17"/>
        <w:tabs>
          <w:tab w:val="right" w:leader="dot" w:pos="9628"/>
        </w:tabs>
        <w:spacing w:before="360" w:after="360"/>
        <w:rPr>
          <w:rFonts w:hint="eastAsia" w:ascii="宋体" w:hAnsi="宋体" w:eastAsia="宋体" w:cs="宋体"/>
          <w:b w:val="0"/>
          <w:bCs w:val="0"/>
          <w:caps w:val="0"/>
          <w:sz w:val="22"/>
          <w:szCs w:val="22"/>
          <w:u w:val="single"/>
          <w:lang w:val="en-US" w:eastAsia="zh-CN"/>
        </w:rPr>
      </w:pPr>
      <w:r>
        <w:rPr>
          <w:rFonts w:hint="eastAsia" w:ascii="宋体" w:hAnsi="宋体" w:eastAsia="宋体" w:cs="宋体"/>
          <w:b w:val="0"/>
          <w:bCs w:val="0"/>
          <w:caps w:val="0"/>
          <w:sz w:val="22"/>
          <w:szCs w:val="22"/>
          <w:u w:val="single"/>
        </w:rPr>
        <w:fldChar w:fldCharType="begin"/>
      </w:r>
      <w:r>
        <w:rPr>
          <w:rFonts w:hint="eastAsia" w:ascii="宋体" w:hAnsi="宋体" w:eastAsia="宋体" w:cs="宋体"/>
          <w:b w:val="0"/>
          <w:bCs w:val="0"/>
          <w:caps w:val="0"/>
          <w:sz w:val="22"/>
          <w:szCs w:val="22"/>
          <w:u w:val="single"/>
        </w:rPr>
        <w:instrText xml:space="preserve"> HYPERLINK \l "_Toc80205943" </w:instrText>
      </w:r>
      <w:r>
        <w:rPr>
          <w:rFonts w:hint="eastAsia" w:ascii="宋体" w:hAnsi="宋体" w:eastAsia="宋体" w:cs="宋体"/>
          <w:b w:val="0"/>
          <w:bCs w:val="0"/>
          <w:caps w:val="0"/>
          <w:sz w:val="22"/>
          <w:szCs w:val="22"/>
          <w:u w:val="single"/>
        </w:rPr>
        <w:fldChar w:fldCharType="separate"/>
      </w:r>
      <w:r>
        <w:rPr>
          <w:rFonts w:hint="eastAsia" w:ascii="宋体" w:hAnsi="宋体" w:eastAsia="宋体" w:cs="宋体"/>
          <w:b/>
          <w:bCs/>
          <w:caps w:val="0"/>
          <w:sz w:val="22"/>
          <w:szCs w:val="22"/>
          <w:u w:val="single"/>
        </w:rPr>
        <w:t>第六章  合同文本</w:t>
      </w:r>
      <w:r>
        <w:rPr>
          <w:rFonts w:hint="eastAsia" w:ascii="Times New Roman" w:hAnsi="Times New Roman" w:eastAsia="宋体" w:cs="Times New Roman"/>
          <w:b/>
          <w:bCs/>
          <w:caps/>
          <w:smallCaps w:val="0"/>
          <w:kern w:val="2"/>
          <w:sz w:val="20"/>
          <w:szCs w:val="20"/>
          <w:lang w:val="en-US" w:eastAsia="zh-CN" w:bidi="ar-SA"/>
        </w:rPr>
        <w:tab/>
      </w:r>
      <w:r>
        <w:rPr>
          <w:rFonts w:hint="eastAsia" w:cs="Times New Roman"/>
          <w:b/>
          <w:bCs/>
          <w:caps/>
          <w:smallCaps w:val="0"/>
          <w:kern w:val="2"/>
          <w:sz w:val="20"/>
          <w:szCs w:val="20"/>
          <w:lang w:val="en-US" w:eastAsia="zh-CN" w:bidi="ar-SA"/>
        </w:rPr>
        <w:t>82</w:t>
      </w:r>
      <w:r>
        <w:rPr>
          <w:rFonts w:hint="eastAsia" w:ascii="宋体" w:hAnsi="宋体" w:eastAsia="宋体" w:cs="宋体"/>
          <w:b w:val="0"/>
          <w:bCs w:val="0"/>
          <w:caps w:val="0"/>
          <w:sz w:val="22"/>
          <w:szCs w:val="22"/>
          <w:u w:val="single"/>
        </w:rPr>
        <w:fldChar w:fldCharType="end"/>
      </w:r>
    </w:p>
    <w:p>
      <w:pPr>
        <w:pStyle w:val="13"/>
        <w:tabs>
          <w:tab w:val="right" w:leader="dot" w:pos="9628"/>
        </w:tabs>
        <w:ind w:left="0" w:leftChars="0" w:firstLine="0" w:firstLineChars="0"/>
        <w:rPr>
          <w:rStyle w:val="23"/>
          <w:rFonts w:hint="default" w:ascii="Times New Roman" w:hAnsi="Times New Roman" w:eastAsia="宋体" w:cs="Times New Roman"/>
          <w:lang w:val="en-US" w:eastAsia="zh-CN"/>
        </w:rPr>
      </w:pPr>
      <w:r>
        <w:rPr>
          <w:rStyle w:val="23"/>
          <w:rFonts w:hint="eastAsia" w:ascii="Times New Roman" w:hAnsi="Times New Roman" w:eastAsia="宋体" w:cs="Times New Roman"/>
        </w:rPr>
        <w:fldChar w:fldCharType="begin"/>
      </w:r>
      <w:r>
        <w:rPr>
          <w:rStyle w:val="23"/>
          <w:rFonts w:hint="eastAsia" w:ascii="Times New Roman" w:hAnsi="Times New Roman" w:eastAsia="宋体" w:cs="Times New Roman"/>
        </w:rPr>
        <w:instrText xml:space="preserve"> HYPERLINK \l "_Toc80205944" </w:instrText>
      </w:r>
      <w:r>
        <w:rPr>
          <w:rStyle w:val="23"/>
          <w:rFonts w:hint="eastAsia" w:ascii="Times New Roman" w:hAnsi="Times New Roman" w:eastAsia="宋体" w:cs="Times New Roman"/>
        </w:rPr>
        <w:fldChar w:fldCharType="separate"/>
      </w:r>
      <w:r>
        <w:rPr>
          <w:rStyle w:val="23"/>
          <w:rFonts w:hint="eastAsia" w:ascii="Times New Roman" w:hAnsi="Times New Roman" w:eastAsia="宋体" w:cs="Times New Roman"/>
        </w:rPr>
        <w:t>第一部分 合同书</w:t>
      </w:r>
      <w:r>
        <w:rPr>
          <w:rStyle w:val="23"/>
          <w:rFonts w:hint="eastAsia" w:ascii="Times New Roman" w:hAnsi="Times New Roman" w:eastAsia="宋体" w:cs="Times New Roman"/>
        </w:rPr>
        <w:tab/>
      </w:r>
      <w:r>
        <w:rPr>
          <w:rStyle w:val="23"/>
          <w:rFonts w:hint="eastAsia" w:ascii="Times New Roman" w:hAnsi="Times New Roman" w:eastAsia="宋体" w:cs="Times New Roman"/>
        </w:rPr>
        <w:fldChar w:fldCharType="end"/>
      </w:r>
      <w:r>
        <w:rPr>
          <w:rStyle w:val="23"/>
          <w:rFonts w:hint="eastAsia" w:cs="Times New Roman"/>
          <w:lang w:val="en-US" w:eastAsia="zh-CN"/>
        </w:rPr>
        <w:t>85</w:t>
      </w:r>
    </w:p>
    <w:p>
      <w:pPr>
        <w:pStyle w:val="13"/>
        <w:tabs>
          <w:tab w:val="right" w:leader="dot" w:pos="9628"/>
        </w:tabs>
        <w:ind w:left="0" w:leftChars="0" w:firstLine="0" w:firstLineChars="0"/>
        <w:rPr>
          <w:rStyle w:val="23"/>
          <w:rFonts w:hint="default" w:ascii="Times New Roman" w:hAnsi="Times New Roman" w:eastAsia="宋体" w:cs="Times New Roman"/>
          <w:lang w:val="en-US" w:eastAsia="zh-CN"/>
        </w:rPr>
      </w:pPr>
      <w:r>
        <w:rPr>
          <w:rStyle w:val="23"/>
          <w:rFonts w:hint="eastAsia" w:ascii="Times New Roman" w:hAnsi="Times New Roman" w:eastAsia="宋体" w:cs="Times New Roman"/>
        </w:rPr>
        <w:fldChar w:fldCharType="begin"/>
      </w:r>
      <w:r>
        <w:rPr>
          <w:rStyle w:val="23"/>
          <w:rFonts w:hint="eastAsia" w:ascii="Times New Roman" w:hAnsi="Times New Roman" w:eastAsia="宋体" w:cs="Times New Roman"/>
        </w:rPr>
        <w:instrText xml:space="preserve"> HYPERLINK \l "_Toc80205945" </w:instrText>
      </w:r>
      <w:r>
        <w:rPr>
          <w:rStyle w:val="23"/>
          <w:rFonts w:hint="eastAsia" w:ascii="Times New Roman" w:hAnsi="Times New Roman" w:eastAsia="宋体" w:cs="Times New Roman"/>
        </w:rPr>
        <w:fldChar w:fldCharType="separate"/>
      </w:r>
      <w:r>
        <w:rPr>
          <w:rStyle w:val="23"/>
          <w:rFonts w:hint="eastAsia" w:ascii="Times New Roman" w:hAnsi="Times New Roman" w:eastAsia="宋体" w:cs="Times New Roman"/>
        </w:rPr>
        <w:t>第二部分 合同一般条款</w:t>
      </w:r>
      <w:r>
        <w:rPr>
          <w:rStyle w:val="23"/>
          <w:rFonts w:hint="eastAsia" w:ascii="Times New Roman" w:hAnsi="Times New Roman" w:eastAsia="宋体" w:cs="Times New Roman"/>
        </w:rPr>
        <w:tab/>
      </w:r>
      <w:r>
        <w:rPr>
          <w:rStyle w:val="23"/>
          <w:rFonts w:hint="eastAsia" w:ascii="Times New Roman" w:hAnsi="Times New Roman" w:eastAsia="宋体" w:cs="Times New Roman"/>
        </w:rPr>
        <w:fldChar w:fldCharType="end"/>
      </w:r>
      <w:r>
        <w:rPr>
          <w:rStyle w:val="23"/>
          <w:rFonts w:hint="eastAsia" w:cs="Times New Roman"/>
          <w:lang w:val="en-US" w:eastAsia="zh-CN"/>
        </w:rPr>
        <w:t>89</w:t>
      </w:r>
    </w:p>
    <w:p>
      <w:pPr>
        <w:pStyle w:val="13"/>
        <w:tabs>
          <w:tab w:val="right" w:leader="dot" w:pos="9628"/>
        </w:tabs>
        <w:ind w:left="0" w:leftChars="0" w:firstLine="0" w:firstLineChars="0"/>
        <w:rPr>
          <w:rStyle w:val="23"/>
          <w:rFonts w:hint="default" w:ascii="Times New Roman" w:hAnsi="Times New Roman" w:eastAsia="宋体" w:cs="Times New Roman"/>
          <w:lang w:val="en-US" w:eastAsia="zh-CN"/>
        </w:rPr>
      </w:pPr>
      <w:r>
        <w:rPr>
          <w:rStyle w:val="23"/>
          <w:rFonts w:hint="eastAsia" w:ascii="Times New Roman" w:hAnsi="Times New Roman" w:eastAsia="宋体" w:cs="Times New Roman"/>
        </w:rPr>
        <w:fldChar w:fldCharType="begin"/>
      </w:r>
      <w:r>
        <w:rPr>
          <w:rStyle w:val="23"/>
          <w:rFonts w:hint="eastAsia" w:ascii="Times New Roman" w:hAnsi="Times New Roman" w:eastAsia="宋体" w:cs="Times New Roman"/>
        </w:rPr>
        <w:instrText xml:space="preserve"> HYPERLINK \l "_Toc80205946" </w:instrText>
      </w:r>
      <w:r>
        <w:rPr>
          <w:rStyle w:val="23"/>
          <w:rFonts w:hint="eastAsia" w:ascii="Times New Roman" w:hAnsi="Times New Roman" w:eastAsia="宋体" w:cs="Times New Roman"/>
        </w:rPr>
        <w:fldChar w:fldCharType="separate"/>
      </w:r>
      <w:r>
        <w:rPr>
          <w:rStyle w:val="23"/>
          <w:rFonts w:hint="eastAsia" w:ascii="Times New Roman" w:hAnsi="Times New Roman" w:eastAsia="宋体" w:cs="Times New Roman"/>
        </w:rPr>
        <w:t>第三部分  合同专用条款</w:t>
      </w:r>
      <w:r>
        <w:rPr>
          <w:rStyle w:val="23"/>
          <w:rFonts w:hint="eastAsia" w:ascii="Times New Roman" w:hAnsi="Times New Roman" w:eastAsia="宋体" w:cs="Times New Roman"/>
        </w:rPr>
        <w:tab/>
      </w:r>
      <w:r>
        <w:rPr>
          <w:rStyle w:val="23"/>
          <w:rFonts w:hint="eastAsia" w:ascii="Times New Roman" w:hAnsi="Times New Roman" w:eastAsia="宋体" w:cs="Times New Roman"/>
        </w:rPr>
        <w:fldChar w:fldCharType="end"/>
      </w:r>
      <w:r>
        <w:rPr>
          <w:rStyle w:val="23"/>
          <w:rFonts w:hint="eastAsia" w:cs="Times New Roman"/>
          <w:lang w:val="en-US" w:eastAsia="zh-CN"/>
        </w:rPr>
        <w:t>94</w:t>
      </w:r>
    </w:p>
    <w:p>
      <w:pPr>
        <w:pStyle w:val="17"/>
        <w:tabs>
          <w:tab w:val="right" w:leader="dot" w:pos="9628"/>
        </w:tabs>
        <w:spacing w:before="360" w:after="360"/>
        <w:rPr>
          <w:rFonts w:hint="eastAsia" w:ascii="宋体" w:hAnsi="宋体" w:eastAsia="宋体" w:cs="宋体"/>
          <w:b w:val="0"/>
          <w:bCs w:val="0"/>
          <w:caps w:val="0"/>
          <w:sz w:val="22"/>
          <w:szCs w:val="22"/>
          <w:u w:val="single"/>
          <w:lang w:val="en-US" w:eastAsia="zh-CN"/>
        </w:rPr>
      </w:pPr>
      <w:r>
        <w:rPr>
          <w:rFonts w:hint="eastAsia" w:ascii="宋体" w:hAnsi="宋体" w:eastAsia="宋体" w:cs="宋体"/>
          <w:b w:val="0"/>
          <w:bCs w:val="0"/>
          <w:caps w:val="0"/>
          <w:sz w:val="22"/>
          <w:szCs w:val="22"/>
          <w:u w:val="single"/>
        </w:rPr>
        <w:fldChar w:fldCharType="begin"/>
      </w:r>
      <w:r>
        <w:rPr>
          <w:rFonts w:hint="eastAsia" w:ascii="宋体" w:hAnsi="宋体" w:eastAsia="宋体" w:cs="宋体"/>
          <w:b w:val="0"/>
          <w:bCs w:val="0"/>
          <w:caps w:val="0"/>
          <w:sz w:val="22"/>
          <w:szCs w:val="22"/>
          <w:u w:val="single"/>
        </w:rPr>
        <w:instrText xml:space="preserve"> HYPERLINK \l "_Toc80205947" </w:instrText>
      </w:r>
      <w:r>
        <w:rPr>
          <w:rFonts w:hint="eastAsia" w:ascii="宋体" w:hAnsi="宋体" w:eastAsia="宋体" w:cs="宋体"/>
          <w:b w:val="0"/>
          <w:bCs w:val="0"/>
          <w:caps w:val="0"/>
          <w:sz w:val="22"/>
          <w:szCs w:val="22"/>
          <w:u w:val="single"/>
        </w:rPr>
        <w:fldChar w:fldCharType="separate"/>
      </w:r>
      <w:r>
        <w:rPr>
          <w:rFonts w:hint="eastAsia" w:ascii="宋体" w:hAnsi="宋体" w:eastAsia="宋体" w:cs="宋体"/>
          <w:b/>
          <w:bCs/>
          <w:caps w:val="0"/>
          <w:sz w:val="22"/>
          <w:szCs w:val="22"/>
          <w:u w:val="single"/>
        </w:rPr>
        <w:t>第七章 质疑、投诉材料格式</w:t>
      </w:r>
      <w:r>
        <w:rPr>
          <w:rFonts w:hint="eastAsia" w:ascii="Times New Roman" w:hAnsi="Times New Roman" w:eastAsia="宋体" w:cs="Times New Roman"/>
          <w:b/>
          <w:bCs/>
          <w:caps/>
          <w:smallCaps w:val="0"/>
          <w:kern w:val="2"/>
          <w:sz w:val="20"/>
          <w:szCs w:val="20"/>
          <w:lang w:val="en-US" w:eastAsia="zh-CN" w:bidi="ar-SA"/>
        </w:rPr>
        <w:tab/>
      </w:r>
      <w:r>
        <w:rPr>
          <w:rFonts w:hint="eastAsia" w:ascii="宋体" w:hAnsi="宋体" w:eastAsia="宋体" w:cs="宋体"/>
          <w:b w:val="0"/>
          <w:bCs w:val="0"/>
          <w:caps w:val="0"/>
          <w:sz w:val="22"/>
          <w:szCs w:val="22"/>
          <w:u w:val="single"/>
          <w:lang w:val="en-US" w:eastAsia="zh-CN"/>
        </w:rPr>
        <w:t>9</w:t>
      </w:r>
      <w:r>
        <w:rPr>
          <w:rFonts w:hint="eastAsia" w:ascii="宋体" w:hAnsi="宋体" w:eastAsia="宋体" w:cs="宋体"/>
          <w:b w:val="0"/>
          <w:bCs w:val="0"/>
          <w:caps w:val="0"/>
          <w:sz w:val="22"/>
          <w:szCs w:val="22"/>
          <w:u w:val="single"/>
        </w:rPr>
        <w:fldChar w:fldCharType="end"/>
      </w:r>
      <w:r>
        <w:rPr>
          <w:rFonts w:hint="eastAsia" w:ascii="宋体" w:hAnsi="宋体" w:cs="宋体"/>
          <w:b w:val="0"/>
          <w:bCs w:val="0"/>
          <w:caps w:val="0"/>
          <w:sz w:val="22"/>
          <w:szCs w:val="22"/>
          <w:u w:val="single"/>
          <w:lang w:val="en-US" w:eastAsia="zh-CN"/>
        </w:rPr>
        <w:t>7</w:t>
      </w:r>
    </w:p>
    <w:p>
      <w:pPr>
        <w:spacing w:line="400" w:lineRule="exact"/>
        <w:jc w:val="center"/>
        <w:rPr>
          <w:rFonts w:hint="eastAsia" w:ascii="宋体" w:hAnsi="宋体"/>
          <w:b/>
          <w:sz w:val="32"/>
          <w:szCs w:val="32"/>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r>
        <w:rPr>
          <w:rFonts w:ascii="Calibri" w:hAnsi="宋体"/>
          <w:b w:val="0"/>
          <w:bCs w:val="0"/>
          <w:caps w:val="0"/>
          <w:sz w:val="28"/>
          <w:szCs w:val="28"/>
          <w:u w:val="single"/>
        </w:rPr>
        <w:fldChar w:fldCharType="end"/>
      </w:r>
    </w:p>
    <w:p>
      <w:pPr>
        <w:pStyle w:val="3"/>
        <w:spacing w:line="400" w:lineRule="exact"/>
        <w:jc w:val="center"/>
        <w:rPr>
          <w:rFonts w:hint="eastAsia"/>
        </w:rPr>
      </w:pPr>
      <w:r>
        <mc:AlternateContent>
          <mc:Choice Requires="wps">
            <w:drawing>
              <wp:anchor distT="0" distB="0" distL="114300" distR="114300" simplePos="0" relativeHeight="251663360" behindDoc="0" locked="0" layoutInCell="1" allowOverlap="1">
                <wp:simplePos x="0" y="0"/>
                <wp:positionH relativeFrom="column">
                  <wp:posOffset>-264795</wp:posOffset>
                </wp:positionH>
                <wp:positionV relativeFrom="paragraph">
                  <wp:posOffset>535940</wp:posOffset>
                </wp:positionV>
                <wp:extent cx="5909310" cy="1175385"/>
                <wp:effectExtent l="0" t="0" r="15240" b="5715"/>
                <wp:wrapNone/>
                <wp:docPr id="9" name="文本框 9"/>
                <wp:cNvGraphicFramePr/>
                <a:graphic xmlns:a="http://schemas.openxmlformats.org/drawingml/2006/main">
                  <a:graphicData uri="http://schemas.microsoft.com/office/word/2010/wordprocessingShape">
                    <wps:wsp>
                      <wps:cNvSpPr txBox="1"/>
                      <wps:spPr>
                        <a:xfrm>
                          <a:off x="0" y="0"/>
                          <a:ext cx="5909310" cy="1175385"/>
                        </a:xfrm>
                        <a:prstGeom prst="rect">
                          <a:avLst/>
                        </a:prstGeom>
                        <a:solidFill>
                          <a:srgbClr val="FFFFFF"/>
                        </a:solidFill>
                        <a:ln>
                          <a:noFill/>
                        </a:ln>
                      </wps:spPr>
                      <wps:txbx>
                        <w:txbxContent>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ind w:firstLine="420" w:firstLineChars="200"/>
                              <w:textAlignment w:val="auto"/>
                              <w:rPr>
                                <w:rFonts w:ascii="宋体" w:hAnsi="宋体"/>
                                <w:color w:val="000000"/>
                                <w:szCs w:val="21"/>
                              </w:rPr>
                            </w:pPr>
                            <w:r>
                              <w:rPr>
                                <w:rFonts w:hint="eastAsia" w:ascii="宋体" w:hAnsi="宋体"/>
                                <w:color w:val="000000"/>
                                <w:szCs w:val="21"/>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ind w:firstLine="420" w:firstLineChars="200"/>
                              <w:textAlignment w:val="auto"/>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u w:val="single"/>
                                <w:lang w:eastAsia="zh-CN"/>
                              </w:rPr>
                              <w:t>南宁高新区中考标准化考点建设采购项目</w:t>
                            </w:r>
                            <w:r>
                              <w:rPr>
                                <w:rFonts w:hint="eastAsia" w:ascii="宋体" w:hAnsi="宋体"/>
                                <w:color w:val="000000"/>
                                <w:szCs w:val="21"/>
                                <w:u w:val="single"/>
                              </w:rPr>
                              <w:t xml:space="preserve">  </w:t>
                            </w:r>
                            <w:r>
                              <w:rPr>
                                <w:rFonts w:hint="eastAsia" w:ascii="宋体" w:hAnsi="宋体"/>
                                <w:color w:val="000000"/>
                                <w:szCs w:val="21"/>
                              </w:rPr>
                              <w:t xml:space="preserve"> 采购项目的潜在供应商应</w:t>
                            </w:r>
                            <w:r>
                              <w:rPr>
                                <w:rFonts w:hint="eastAsia" w:ascii="宋体" w:hAnsi="宋体" w:eastAsia="宋体" w:cs="Times New Roman"/>
                                <w:color w:val="000000"/>
                                <w:szCs w:val="21"/>
                              </w:rPr>
                              <w:t>在政采云平台（https://www.zcygov.cn/）获取（下载）获</w:t>
                            </w:r>
                            <w:r>
                              <w:rPr>
                                <w:rFonts w:hint="eastAsia" w:ascii="宋体" w:hAnsi="宋体"/>
                                <w:color w:val="000000"/>
                                <w:szCs w:val="21"/>
                              </w:rPr>
                              <w:t>取竞争性谈判文件，并于</w:t>
                            </w:r>
                            <w:bookmarkStart w:id="264" w:name="PO_3000001871_PM015"/>
                            <w:r>
                              <w:rPr>
                                <w:rFonts w:hint="eastAsia" w:ascii="宋体" w:hAnsi="宋体"/>
                                <w:color w:val="000000"/>
                                <w:szCs w:val="21"/>
                                <w:highlight w:val="none"/>
                                <w:u w:val="single"/>
                                <w:lang w:eastAsia="zh-CN"/>
                              </w:rPr>
                              <w:t>202</w:t>
                            </w:r>
                            <w:r>
                              <w:rPr>
                                <w:rFonts w:hint="eastAsia" w:ascii="宋体" w:hAnsi="宋体"/>
                                <w:color w:val="000000"/>
                                <w:szCs w:val="21"/>
                                <w:highlight w:val="none"/>
                                <w:u w:val="single"/>
                                <w:lang w:val="en-US" w:eastAsia="zh-CN"/>
                              </w:rPr>
                              <w:t>2</w:t>
                            </w:r>
                            <w:r>
                              <w:rPr>
                                <w:rFonts w:hint="eastAsia" w:ascii="宋体" w:hAnsi="宋体"/>
                                <w:color w:val="000000"/>
                                <w:szCs w:val="21"/>
                                <w:highlight w:val="none"/>
                                <w:u w:val="single"/>
                                <w:lang w:eastAsia="zh-CN"/>
                              </w:rPr>
                              <w:t>-</w:t>
                            </w:r>
                            <w:r>
                              <w:rPr>
                                <w:rFonts w:hint="eastAsia" w:ascii="宋体" w:hAnsi="宋体"/>
                                <w:color w:val="000000"/>
                                <w:szCs w:val="21"/>
                                <w:highlight w:val="none"/>
                                <w:u w:val="single"/>
                                <w:lang w:val="en-US" w:eastAsia="zh-CN"/>
                              </w:rPr>
                              <w:t>4</w:t>
                            </w:r>
                            <w:r>
                              <w:rPr>
                                <w:rFonts w:hint="eastAsia" w:ascii="宋体" w:hAnsi="宋体"/>
                                <w:color w:val="000000"/>
                                <w:szCs w:val="21"/>
                                <w:highlight w:val="none"/>
                                <w:u w:val="single"/>
                                <w:lang w:eastAsia="zh-CN"/>
                              </w:rPr>
                              <w:t>-</w:t>
                            </w:r>
                            <w:r>
                              <w:rPr>
                                <w:rFonts w:hint="eastAsia" w:ascii="宋体" w:hAnsi="宋体"/>
                                <w:color w:val="000000"/>
                                <w:szCs w:val="21"/>
                                <w:highlight w:val="none"/>
                                <w:u w:val="single"/>
                                <w:lang w:val="en-US" w:eastAsia="zh-CN"/>
                              </w:rPr>
                              <w:t xml:space="preserve">27 </w:t>
                            </w:r>
                            <w:r>
                              <w:rPr>
                                <w:rFonts w:hint="eastAsia" w:ascii="宋体" w:hAnsi="宋体"/>
                                <w:color w:val="000000"/>
                                <w:szCs w:val="21"/>
                                <w:highlight w:val="none"/>
                                <w:u w:val="single"/>
                                <w:lang w:eastAsia="zh-CN"/>
                              </w:rPr>
                              <w:t xml:space="preserve"> </w:t>
                            </w:r>
                            <w:r>
                              <w:rPr>
                                <w:rFonts w:hint="eastAsia" w:ascii="宋体" w:hAnsi="宋体"/>
                                <w:color w:val="000000"/>
                                <w:szCs w:val="21"/>
                                <w:highlight w:val="none"/>
                                <w:u w:val="single"/>
                                <w:lang w:val="en-US" w:eastAsia="zh-CN"/>
                              </w:rPr>
                              <w:t>9</w:t>
                            </w:r>
                            <w:r>
                              <w:rPr>
                                <w:rFonts w:hint="eastAsia" w:ascii="宋体" w:hAnsi="宋体"/>
                                <w:color w:val="000000"/>
                                <w:szCs w:val="21"/>
                                <w:highlight w:val="none"/>
                                <w:u w:val="single"/>
                                <w:lang w:eastAsia="zh-CN"/>
                              </w:rPr>
                              <w:t>:</w:t>
                            </w:r>
                            <w:r>
                              <w:rPr>
                                <w:rFonts w:hint="eastAsia" w:ascii="宋体" w:hAnsi="宋体"/>
                                <w:color w:val="000000"/>
                                <w:szCs w:val="21"/>
                                <w:highlight w:val="none"/>
                                <w:u w:val="single"/>
                                <w:lang w:val="en-US" w:eastAsia="zh-CN"/>
                              </w:rPr>
                              <w:t>3</w:t>
                            </w:r>
                            <w:r>
                              <w:rPr>
                                <w:rFonts w:hint="eastAsia" w:ascii="宋体" w:hAnsi="宋体"/>
                                <w:color w:val="000000"/>
                                <w:szCs w:val="21"/>
                                <w:highlight w:val="none"/>
                                <w:u w:val="single"/>
                                <w:lang w:eastAsia="zh-CN"/>
                              </w:rPr>
                              <w:t>0:00</w:t>
                            </w:r>
                            <w:bookmarkEnd w:id="264"/>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txbxContent>
                      </wps:txbx>
                      <wps:bodyPr upright="1"/>
                    </wps:wsp>
                  </a:graphicData>
                </a:graphic>
              </wp:anchor>
            </w:drawing>
          </mc:Choice>
          <mc:Fallback>
            <w:pict>
              <v:shape id="_x0000_s1026" o:spid="_x0000_s1026" o:spt="202" type="#_x0000_t202" style="position:absolute;left:0pt;margin-left:-20.85pt;margin-top:42.2pt;height:92.55pt;width:465.3pt;z-index:251663360;mso-width-relative:page;mso-height-relative:page;" fillcolor="#FFFFFF" filled="t" stroked="f" coordsize="21600,21600" o:gfxdata="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0OFqPYAAAACgEAAA8AAAAAAAAAAQAgAAAAIgAAAGRycy9kb3ducmV2Lnht&#10;bFBLAQIUABQAAAAIAIdO4kC4FgTKwAEAAHgDAAAOAAAAAAAAAAEAIAAAACcBAABkcnMvZTJvRG9j&#10;LnhtbFBLBQYAAAAABgAGAFkBAABZBQAAAAA=&#10;">
                <v:fill on="t" focussize="0,0"/>
                <v:stroke on="f"/>
                <v:imagedata o:title=""/>
                <o:lock v:ext="edit" aspectratio="f"/>
                <v:textbox>
                  <w:txbxContent>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ind w:firstLine="420" w:firstLineChars="200"/>
                        <w:textAlignment w:val="auto"/>
                        <w:rPr>
                          <w:rFonts w:ascii="宋体" w:hAnsi="宋体"/>
                          <w:color w:val="000000"/>
                          <w:szCs w:val="21"/>
                        </w:rPr>
                      </w:pPr>
                      <w:r>
                        <w:rPr>
                          <w:rFonts w:hint="eastAsia" w:ascii="宋体" w:hAnsi="宋体"/>
                          <w:color w:val="000000"/>
                          <w:szCs w:val="21"/>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ind w:firstLine="420" w:firstLineChars="200"/>
                        <w:textAlignment w:val="auto"/>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u w:val="single"/>
                          <w:lang w:eastAsia="zh-CN"/>
                        </w:rPr>
                        <w:t>南宁高新区中考标准化考点建设采购项目</w:t>
                      </w:r>
                      <w:r>
                        <w:rPr>
                          <w:rFonts w:hint="eastAsia" w:ascii="宋体" w:hAnsi="宋体"/>
                          <w:color w:val="000000"/>
                          <w:szCs w:val="21"/>
                          <w:u w:val="single"/>
                        </w:rPr>
                        <w:t xml:space="preserve">  </w:t>
                      </w:r>
                      <w:r>
                        <w:rPr>
                          <w:rFonts w:hint="eastAsia" w:ascii="宋体" w:hAnsi="宋体"/>
                          <w:color w:val="000000"/>
                          <w:szCs w:val="21"/>
                        </w:rPr>
                        <w:t xml:space="preserve"> 采购项目的潜在供应商应</w:t>
                      </w:r>
                      <w:r>
                        <w:rPr>
                          <w:rFonts w:hint="eastAsia" w:ascii="宋体" w:hAnsi="宋体" w:eastAsia="宋体" w:cs="Times New Roman"/>
                          <w:color w:val="000000"/>
                          <w:szCs w:val="21"/>
                        </w:rPr>
                        <w:t>在政采云平台（https://www.zcygov.cn/）获取（下载）获</w:t>
                      </w:r>
                      <w:r>
                        <w:rPr>
                          <w:rFonts w:hint="eastAsia" w:ascii="宋体" w:hAnsi="宋体"/>
                          <w:color w:val="000000"/>
                          <w:szCs w:val="21"/>
                        </w:rPr>
                        <w:t>取竞争性谈判文件，并于</w:t>
                      </w:r>
                      <w:bookmarkStart w:id="264" w:name="PO_3000001871_PM015"/>
                      <w:r>
                        <w:rPr>
                          <w:rFonts w:hint="eastAsia" w:ascii="宋体" w:hAnsi="宋体"/>
                          <w:color w:val="000000"/>
                          <w:szCs w:val="21"/>
                          <w:highlight w:val="none"/>
                          <w:u w:val="single"/>
                          <w:lang w:eastAsia="zh-CN"/>
                        </w:rPr>
                        <w:t>202</w:t>
                      </w:r>
                      <w:r>
                        <w:rPr>
                          <w:rFonts w:hint="eastAsia" w:ascii="宋体" w:hAnsi="宋体"/>
                          <w:color w:val="000000"/>
                          <w:szCs w:val="21"/>
                          <w:highlight w:val="none"/>
                          <w:u w:val="single"/>
                          <w:lang w:val="en-US" w:eastAsia="zh-CN"/>
                        </w:rPr>
                        <w:t>2</w:t>
                      </w:r>
                      <w:r>
                        <w:rPr>
                          <w:rFonts w:hint="eastAsia" w:ascii="宋体" w:hAnsi="宋体"/>
                          <w:color w:val="000000"/>
                          <w:szCs w:val="21"/>
                          <w:highlight w:val="none"/>
                          <w:u w:val="single"/>
                          <w:lang w:eastAsia="zh-CN"/>
                        </w:rPr>
                        <w:t>-</w:t>
                      </w:r>
                      <w:r>
                        <w:rPr>
                          <w:rFonts w:hint="eastAsia" w:ascii="宋体" w:hAnsi="宋体"/>
                          <w:color w:val="000000"/>
                          <w:szCs w:val="21"/>
                          <w:highlight w:val="none"/>
                          <w:u w:val="single"/>
                          <w:lang w:val="en-US" w:eastAsia="zh-CN"/>
                        </w:rPr>
                        <w:t>4</w:t>
                      </w:r>
                      <w:r>
                        <w:rPr>
                          <w:rFonts w:hint="eastAsia" w:ascii="宋体" w:hAnsi="宋体"/>
                          <w:color w:val="000000"/>
                          <w:szCs w:val="21"/>
                          <w:highlight w:val="none"/>
                          <w:u w:val="single"/>
                          <w:lang w:eastAsia="zh-CN"/>
                        </w:rPr>
                        <w:t>-</w:t>
                      </w:r>
                      <w:r>
                        <w:rPr>
                          <w:rFonts w:hint="eastAsia" w:ascii="宋体" w:hAnsi="宋体"/>
                          <w:color w:val="000000"/>
                          <w:szCs w:val="21"/>
                          <w:highlight w:val="none"/>
                          <w:u w:val="single"/>
                          <w:lang w:val="en-US" w:eastAsia="zh-CN"/>
                        </w:rPr>
                        <w:t xml:space="preserve">27 </w:t>
                      </w:r>
                      <w:r>
                        <w:rPr>
                          <w:rFonts w:hint="eastAsia" w:ascii="宋体" w:hAnsi="宋体"/>
                          <w:color w:val="000000"/>
                          <w:szCs w:val="21"/>
                          <w:highlight w:val="none"/>
                          <w:u w:val="single"/>
                          <w:lang w:eastAsia="zh-CN"/>
                        </w:rPr>
                        <w:t xml:space="preserve"> </w:t>
                      </w:r>
                      <w:r>
                        <w:rPr>
                          <w:rFonts w:hint="eastAsia" w:ascii="宋体" w:hAnsi="宋体"/>
                          <w:color w:val="000000"/>
                          <w:szCs w:val="21"/>
                          <w:highlight w:val="none"/>
                          <w:u w:val="single"/>
                          <w:lang w:val="en-US" w:eastAsia="zh-CN"/>
                        </w:rPr>
                        <w:t>9</w:t>
                      </w:r>
                      <w:r>
                        <w:rPr>
                          <w:rFonts w:hint="eastAsia" w:ascii="宋体" w:hAnsi="宋体"/>
                          <w:color w:val="000000"/>
                          <w:szCs w:val="21"/>
                          <w:highlight w:val="none"/>
                          <w:u w:val="single"/>
                          <w:lang w:eastAsia="zh-CN"/>
                        </w:rPr>
                        <w:t>:</w:t>
                      </w:r>
                      <w:r>
                        <w:rPr>
                          <w:rFonts w:hint="eastAsia" w:ascii="宋体" w:hAnsi="宋体"/>
                          <w:color w:val="000000"/>
                          <w:szCs w:val="21"/>
                          <w:highlight w:val="none"/>
                          <w:u w:val="single"/>
                          <w:lang w:val="en-US" w:eastAsia="zh-CN"/>
                        </w:rPr>
                        <w:t>3</w:t>
                      </w:r>
                      <w:r>
                        <w:rPr>
                          <w:rFonts w:hint="eastAsia" w:ascii="宋体" w:hAnsi="宋体"/>
                          <w:color w:val="000000"/>
                          <w:szCs w:val="21"/>
                          <w:highlight w:val="none"/>
                          <w:u w:val="single"/>
                          <w:lang w:eastAsia="zh-CN"/>
                        </w:rPr>
                        <w:t>0:00</w:t>
                      </w:r>
                      <w:bookmarkEnd w:id="264"/>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txbxContent>
                </v:textbox>
              </v:shape>
            </w:pict>
          </mc:Fallback>
        </mc:AlternateContent>
      </w:r>
      <w:bookmarkStart w:id="3" w:name="_Toc80205920"/>
      <w:r>
        <w:rPr>
          <w:rFonts w:hint="eastAsia"/>
        </w:rPr>
        <w:t>第一章 竞争性谈判公告</w:t>
      </w:r>
      <w:bookmarkEnd w:id="3"/>
      <w:bookmarkStart w:id="4" w:name="_Toc35393798"/>
      <w:bookmarkStart w:id="5" w:name="_Toc35393629"/>
      <w:bookmarkStart w:id="6" w:name="_Toc28359089"/>
      <w:bookmarkStart w:id="7" w:name="_Toc28359012"/>
      <w:bookmarkStart w:id="8" w:name="_Toc44229878"/>
      <w:bookmarkStart w:id="9" w:name="_Toc28359004"/>
      <w:bookmarkStart w:id="10" w:name="_Toc28359081"/>
      <w:bookmarkStart w:id="11" w:name="_Toc35393792"/>
      <w:bookmarkStart w:id="12" w:name="_Toc35393623"/>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黑体" w:hAnsi="黑体" w:eastAsia="黑体" w:cs="宋体"/>
          <w:bCs/>
          <w:sz w:val="24"/>
        </w:rPr>
      </w:pPr>
    </w:p>
    <w:p>
      <w:pPr>
        <w:keepNext w:val="0"/>
        <w:keepLines w:val="0"/>
        <w:pageBreakBefore w:val="0"/>
        <w:widowControl w:val="0"/>
        <w:kinsoku/>
        <w:wordWrap/>
        <w:overflowPunct/>
        <w:topLinePunct w:val="0"/>
        <w:bidi w:val="0"/>
        <w:spacing w:line="380" w:lineRule="atLeast"/>
        <w:textAlignment w:val="auto"/>
        <w:rPr>
          <w:rFonts w:hint="eastAsia" w:ascii="黑体" w:hAnsi="黑体" w:eastAsia="黑体" w:cs="宋体"/>
          <w:b/>
          <w:kern w:val="44"/>
          <w:sz w:val="24"/>
        </w:rPr>
      </w:pPr>
      <w:r>
        <w:rPr>
          <w:rFonts w:hint="eastAsia" w:ascii="黑体" w:hAnsi="黑体" w:eastAsia="黑体" w:cs="宋体"/>
          <w:b/>
          <w:kern w:val="44"/>
          <w:sz w:val="24"/>
          <w:lang w:val="en-US" w:eastAsia="zh-CN"/>
        </w:rPr>
        <w:t>一、</w:t>
      </w:r>
      <w:r>
        <w:rPr>
          <w:rFonts w:hint="eastAsia" w:ascii="黑体" w:hAnsi="黑体" w:eastAsia="黑体" w:cs="宋体"/>
          <w:b/>
          <w:kern w:val="44"/>
          <w:sz w:val="24"/>
        </w:rPr>
        <w:t>项目基本情况</w:t>
      </w:r>
      <w:bookmarkEnd w:id="4"/>
      <w:bookmarkEnd w:id="5"/>
      <w:bookmarkEnd w:id="6"/>
      <w:bookmarkEnd w:id="7"/>
      <w:bookmarkEnd w:id="8"/>
    </w:p>
    <w:p>
      <w:pPr>
        <w:pStyle w:val="24"/>
        <w:keepNext w:val="0"/>
        <w:keepLines w:val="0"/>
        <w:pageBreakBefore w:val="0"/>
        <w:widowControl w:val="0"/>
        <w:kinsoku/>
        <w:wordWrap/>
        <w:overflowPunct/>
        <w:topLinePunct w:val="0"/>
        <w:bidi w:val="0"/>
        <w:spacing w:line="380" w:lineRule="atLeast"/>
        <w:ind w:firstLine="480" w:firstLineChars="200"/>
        <w:textAlignment w:val="auto"/>
        <w:rPr>
          <w:rFonts w:hint="default" w:eastAsia="宋体"/>
          <w:lang w:val="en-US" w:eastAsia="zh-CN"/>
        </w:rPr>
      </w:pPr>
      <w:r>
        <w:rPr>
          <w:rFonts w:hint="eastAsia"/>
        </w:rPr>
        <w:t>项目编号：</w:t>
      </w:r>
      <w:r>
        <w:rPr>
          <w:rFonts w:hint="eastAsia"/>
          <w:u w:val="single"/>
        </w:rPr>
        <w:t>GXZC202</w:t>
      </w:r>
      <w:r>
        <w:rPr>
          <w:rFonts w:hint="eastAsia"/>
          <w:u w:val="single"/>
          <w:lang w:val="en-US" w:eastAsia="zh-CN"/>
        </w:rPr>
        <w:t>2</w:t>
      </w:r>
      <w:r>
        <w:rPr>
          <w:rFonts w:hint="eastAsia"/>
          <w:u w:val="single"/>
        </w:rPr>
        <w:t>-</w:t>
      </w:r>
      <w:r>
        <w:rPr>
          <w:rFonts w:hint="eastAsia"/>
          <w:u w:val="single"/>
          <w:lang w:val="en-US" w:eastAsia="zh-CN"/>
        </w:rPr>
        <w:t>3J</w:t>
      </w:r>
    </w:p>
    <w:p>
      <w:pPr>
        <w:pStyle w:val="24"/>
        <w:keepNext w:val="0"/>
        <w:keepLines w:val="0"/>
        <w:pageBreakBefore w:val="0"/>
        <w:widowControl w:val="0"/>
        <w:kinsoku/>
        <w:wordWrap/>
        <w:overflowPunct/>
        <w:topLinePunct w:val="0"/>
        <w:bidi w:val="0"/>
        <w:spacing w:line="380" w:lineRule="atLeast"/>
        <w:ind w:left="479" w:leftChars="228" w:firstLine="0" w:firstLineChars="0"/>
        <w:textAlignment w:val="auto"/>
        <w:rPr>
          <w:rFonts w:hint="eastAsia"/>
          <w:u w:val="single"/>
          <w:lang w:val="en-US" w:eastAsia="zh-CN"/>
        </w:rPr>
      </w:pPr>
      <w:r>
        <w:rPr>
          <w:rFonts w:hint="eastAsia"/>
        </w:rPr>
        <w:t>项目名称：</w:t>
      </w:r>
      <w:r>
        <w:rPr>
          <w:rFonts w:hint="eastAsia"/>
          <w:u w:val="single"/>
          <w:lang w:val="en-US" w:eastAsia="zh-CN"/>
        </w:rPr>
        <w:t>南宁高新区中考标准化考点建设采购项目</w:t>
      </w:r>
    </w:p>
    <w:p>
      <w:pPr>
        <w:pStyle w:val="24"/>
        <w:keepNext w:val="0"/>
        <w:keepLines w:val="0"/>
        <w:pageBreakBefore w:val="0"/>
        <w:widowControl w:val="0"/>
        <w:kinsoku/>
        <w:wordWrap/>
        <w:overflowPunct/>
        <w:topLinePunct w:val="0"/>
        <w:bidi w:val="0"/>
        <w:spacing w:line="380" w:lineRule="atLeast"/>
        <w:ind w:left="479" w:leftChars="228" w:firstLine="0" w:firstLineChars="0"/>
        <w:textAlignment w:val="auto"/>
        <w:rPr>
          <w:rFonts w:hint="default"/>
          <w:u w:val="single"/>
          <w:lang w:val="en-US" w:eastAsia="zh-CN"/>
        </w:rPr>
      </w:pPr>
      <w:r>
        <w:rPr>
          <w:rFonts w:hint="eastAsia"/>
          <w:u w:val="none"/>
          <w:lang w:val="en-US" w:eastAsia="zh-CN"/>
        </w:rPr>
        <w:t>采购方式：</w:t>
      </w:r>
      <w:r>
        <w:rPr>
          <w:rFonts w:hint="eastAsia"/>
          <w:u w:val="single"/>
          <w:lang w:val="en-US" w:eastAsia="zh-CN"/>
        </w:rPr>
        <w:t xml:space="preserve">竞争性谈判  </w:t>
      </w:r>
    </w:p>
    <w:p>
      <w:pPr>
        <w:pStyle w:val="24"/>
        <w:keepNext w:val="0"/>
        <w:keepLines w:val="0"/>
        <w:pageBreakBefore w:val="0"/>
        <w:widowControl w:val="0"/>
        <w:kinsoku/>
        <w:wordWrap/>
        <w:overflowPunct/>
        <w:topLinePunct w:val="0"/>
        <w:bidi w:val="0"/>
        <w:spacing w:line="380" w:lineRule="atLeast"/>
        <w:ind w:left="479" w:leftChars="228" w:firstLine="0" w:firstLineChars="0"/>
        <w:textAlignment w:val="auto"/>
        <w:rPr>
          <w:rFonts w:hint="default"/>
          <w:lang w:val="en-US"/>
        </w:rPr>
      </w:pPr>
      <w:r>
        <w:rPr>
          <w:rFonts w:hint="eastAsia"/>
        </w:rPr>
        <w:t>预算金额：</w:t>
      </w:r>
      <w:r>
        <w:rPr>
          <w:rFonts w:hint="eastAsia"/>
          <w:u w:val="single"/>
          <w:lang w:val="en-US" w:eastAsia="zh-CN"/>
        </w:rPr>
        <w:t>630176.50</w:t>
      </w:r>
    </w:p>
    <w:p>
      <w:pPr>
        <w:pStyle w:val="24"/>
        <w:keepNext w:val="0"/>
        <w:keepLines w:val="0"/>
        <w:pageBreakBefore w:val="0"/>
        <w:widowControl w:val="0"/>
        <w:kinsoku/>
        <w:wordWrap/>
        <w:overflowPunct/>
        <w:topLinePunct w:val="0"/>
        <w:bidi w:val="0"/>
        <w:spacing w:line="380" w:lineRule="atLeast"/>
        <w:ind w:firstLine="480" w:firstLineChars="200"/>
        <w:textAlignment w:val="auto"/>
        <w:rPr>
          <w:rFonts w:hint="eastAsia"/>
        </w:rPr>
      </w:pPr>
      <w:r>
        <w:rPr>
          <w:rFonts w:hint="eastAsia"/>
        </w:rPr>
        <w:t>采购需求：</w:t>
      </w:r>
    </w:p>
    <w:tbl>
      <w:tblPr>
        <w:tblStyle w:val="21"/>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1"/>
        <w:gridCol w:w="3373"/>
        <w:gridCol w:w="1418"/>
        <w:gridCol w:w="1418"/>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380" w:lineRule="atLeast"/>
              <w:jc w:val="center"/>
              <w:textAlignment w:val="auto"/>
              <w:rPr>
                <w:rFonts w:ascii="宋体" w:hAnsi="宋体"/>
                <w:color w:val="000000"/>
                <w:szCs w:val="21"/>
              </w:rPr>
            </w:pPr>
            <w:r>
              <w:rPr>
                <w:rFonts w:hint="eastAsia" w:ascii="宋体" w:hAnsi="宋体"/>
                <w:color w:val="000000"/>
                <w:szCs w:val="21"/>
              </w:rPr>
              <w:t>序号</w:t>
            </w:r>
          </w:p>
        </w:tc>
        <w:tc>
          <w:tcPr>
            <w:tcW w:w="3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380" w:lineRule="atLeast"/>
              <w:jc w:val="center"/>
              <w:textAlignment w:val="auto"/>
              <w:rPr>
                <w:rFonts w:ascii="宋体" w:hAnsi="宋体"/>
                <w:color w:val="000000"/>
                <w:szCs w:val="21"/>
              </w:rPr>
            </w:pPr>
            <w:r>
              <w:rPr>
                <w:rFonts w:hint="eastAsia" w:ascii="宋体" w:hAnsi="宋体"/>
                <w:color w:val="000000"/>
                <w:szCs w:val="21"/>
              </w:rPr>
              <w:t>标的的名称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380" w:lineRule="atLeast"/>
              <w:jc w:val="center"/>
              <w:textAlignment w:val="auto"/>
              <w:rPr>
                <w:rFonts w:hint="eastAsia" w:ascii="宋体" w:hAnsi="宋体"/>
                <w:color w:val="000000"/>
                <w:szCs w:val="21"/>
              </w:rPr>
            </w:pPr>
            <w:r>
              <w:rPr>
                <w:rFonts w:hint="eastAsia" w:ascii="宋体" w:hAnsi="宋体"/>
                <w:color w:val="000000"/>
                <w:szCs w:val="21"/>
              </w:rPr>
              <w:t>单位</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380" w:lineRule="atLeast"/>
              <w:jc w:val="center"/>
              <w:textAlignment w:val="auto"/>
              <w:rPr>
                <w:rFonts w:ascii="宋体" w:hAnsi="宋体"/>
                <w:color w:val="000000"/>
                <w:szCs w:val="21"/>
              </w:rPr>
            </w:pPr>
            <w:r>
              <w:rPr>
                <w:rFonts w:hint="eastAsia" w:ascii="宋体" w:hAnsi="宋体"/>
                <w:color w:val="000000"/>
                <w:szCs w:val="21"/>
              </w:rPr>
              <w:t>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380" w:lineRule="atLeast"/>
              <w:jc w:val="center"/>
              <w:textAlignment w:val="auto"/>
              <w:rPr>
                <w:rFonts w:ascii="宋体" w:hAnsi="宋体"/>
                <w:color w:val="000000"/>
                <w:szCs w:val="21"/>
              </w:rPr>
            </w:pPr>
            <w:r>
              <w:rPr>
                <w:rFonts w:hint="eastAsia" w:ascii="宋体" w:hAnsi="宋体"/>
                <w:szCs w:val="21"/>
              </w:rPr>
              <w:t>简要技术需求或者货物要求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4" w:hRule="atLeast"/>
        </w:trPr>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380" w:lineRule="atLeast"/>
              <w:jc w:val="center"/>
              <w:textAlignment w:val="auto"/>
              <w:rPr>
                <w:rFonts w:ascii="宋体" w:hAnsi="宋体"/>
                <w:color w:val="000000"/>
                <w:szCs w:val="21"/>
              </w:rPr>
            </w:pPr>
            <w:r>
              <w:rPr>
                <w:rFonts w:hint="eastAsia" w:ascii="宋体" w:hAnsi="宋体"/>
                <w:color w:val="000000"/>
                <w:szCs w:val="21"/>
              </w:rPr>
              <w:t>01</w:t>
            </w:r>
          </w:p>
        </w:tc>
        <w:tc>
          <w:tcPr>
            <w:tcW w:w="3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380" w:lineRule="atLeast"/>
              <w:jc w:val="left"/>
              <w:textAlignment w:val="auto"/>
              <w:rPr>
                <w:rFonts w:hint="default" w:ascii="宋体" w:hAnsi="宋体" w:eastAsia="宋体"/>
                <w:color w:val="000000"/>
                <w:szCs w:val="21"/>
                <w:lang w:val="en-US" w:eastAsia="zh-CN"/>
              </w:rPr>
            </w:pPr>
            <w:r>
              <w:rPr>
                <w:rFonts w:hint="eastAsia" w:ascii="宋体" w:hAnsi="宋体"/>
                <w:color w:val="000000"/>
                <w:szCs w:val="21"/>
                <w:u w:val="none"/>
              </w:rPr>
              <w:t xml:space="preserve"> </w:t>
            </w:r>
            <w:r>
              <w:rPr>
                <w:rFonts w:hint="eastAsia" w:ascii="宋体" w:hAnsi="宋体"/>
                <w:color w:val="000000"/>
                <w:szCs w:val="21"/>
                <w:u w:val="none"/>
                <w:lang w:eastAsia="zh-CN"/>
              </w:rPr>
              <w:t>南宁高新区中考标准化考点建设采购</w:t>
            </w:r>
          </w:p>
        </w:tc>
        <w:tc>
          <w:tcPr>
            <w:tcW w:w="141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380" w:lineRule="atLeast"/>
              <w:jc w:val="both"/>
              <w:textAlignment w:val="auto"/>
              <w:rPr>
                <w:rFonts w:hint="eastAsia" w:ascii="宋体" w:hAnsi="宋体"/>
                <w:color w:val="000000"/>
                <w:szCs w:val="21"/>
                <w:lang w:val="en-US" w:eastAsia="zh-CN"/>
              </w:rPr>
            </w:pPr>
          </w:p>
          <w:p>
            <w:pPr>
              <w:keepNext w:val="0"/>
              <w:keepLines w:val="0"/>
              <w:pageBreakBefore w:val="0"/>
              <w:widowControl w:val="0"/>
              <w:kinsoku/>
              <w:wordWrap/>
              <w:overflowPunct/>
              <w:topLinePunct w:val="0"/>
              <w:bidi w:val="0"/>
              <w:snapToGrid w:val="0"/>
              <w:spacing w:line="380" w:lineRule="atLeast"/>
              <w:jc w:val="both"/>
              <w:textAlignment w:val="auto"/>
              <w:rPr>
                <w:rFonts w:hint="eastAsia" w:ascii="宋体" w:hAnsi="宋体"/>
                <w:color w:val="000000"/>
                <w:szCs w:val="21"/>
                <w:lang w:val="en-US" w:eastAsia="zh-CN"/>
              </w:rPr>
            </w:pPr>
          </w:p>
          <w:p>
            <w:pPr>
              <w:keepNext w:val="0"/>
              <w:keepLines w:val="0"/>
              <w:pageBreakBefore w:val="0"/>
              <w:widowControl w:val="0"/>
              <w:kinsoku/>
              <w:wordWrap/>
              <w:overflowPunct/>
              <w:topLinePunct w:val="0"/>
              <w:bidi w:val="0"/>
              <w:snapToGrid w:val="0"/>
              <w:spacing w:line="380" w:lineRule="atLeast"/>
              <w:jc w:val="center"/>
              <w:textAlignment w:val="auto"/>
              <w:rPr>
                <w:rFonts w:hint="default" w:ascii="宋体" w:hAnsi="宋体"/>
                <w:color w:val="000000"/>
                <w:szCs w:val="21"/>
                <w:lang w:val="en-US" w:eastAsia="zh-CN"/>
              </w:rPr>
            </w:pPr>
            <w:r>
              <w:rPr>
                <w:rFonts w:hint="eastAsia" w:ascii="宋体" w:hAnsi="宋体"/>
                <w:color w:val="000000"/>
                <w:szCs w:val="21"/>
                <w:lang w:val="en-US" w:eastAsia="zh-CN"/>
              </w:rPr>
              <w:t>批</w:t>
            </w:r>
          </w:p>
          <w:p>
            <w:pPr>
              <w:keepNext w:val="0"/>
              <w:keepLines w:val="0"/>
              <w:pageBreakBefore w:val="0"/>
              <w:widowControl w:val="0"/>
              <w:kinsoku/>
              <w:wordWrap/>
              <w:overflowPunct/>
              <w:topLinePunct w:val="0"/>
              <w:bidi w:val="0"/>
              <w:snapToGrid w:val="0"/>
              <w:spacing w:line="380" w:lineRule="atLeast"/>
              <w:jc w:val="center"/>
              <w:textAlignment w:val="auto"/>
              <w:rPr>
                <w:rFonts w:hint="eastAsia" w:ascii="宋体" w:hAnsi="宋体"/>
                <w:color w:val="000000"/>
                <w:szCs w:val="21"/>
                <w:lang w:val="en-US" w:eastAsia="zh-CN"/>
              </w:rPr>
            </w:pPr>
          </w:p>
          <w:p>
            <w:pPr>
              <w:keepNext w:val="0"/>
              <w:keepLines w:val="0"/>
              <w:pageBreakBefore w:val="0"/>
              <w:widowControl w:val="0"/>
              <w:kinsoku/>
              <w:wordWrap/>
              <w:overflowPunct/>
              <w:topLinePunct w:val="0"/>
              <w:bidi w:val="0"/>
              <w:snapToGrid w:val="0"/>
              <w:spacing w:line="380" w:lineRule="atLeast"/>
              <w:jc w:val="center"/>
              <w:textAlignment w:val="auto"/>
              <w:rPr>
                <w:rFonts w:hint="eastAsia" w:ascii="宋体" w:hAnsi="宋体" w:eastAsia="宋体"/>
                <w:color w:val="000000"/>
                <w:szCs w:val="21"/>
                <w:lang w:val="en-US" w:eastAsia="zh-CN"/>
              </w:rPr>
            </w:pPr>
          </w:p>
        </w:tc>
        <w:tc>
          <w:tcPr>
            <w:tcW w:w="141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380" w:lineRule="atLeast"/>
              <w:textAlignment w:val="auto"/>
              <w:rPr>
                <w:rFonts w:hint="eastAsia" w:ascii="宋体" w:hAnsi="宋体"/>
                <w:color w:val="000000"/>
                <w:szCs w:val="21"/>
                <w:lang w:val="en-US" w:eastAsia="zh-CN"/>
              </w:rPr>
            </w:pPr>
          </w:p>
          <w:p>
            <w:pPr>
              <w:keepNext w:val="0"/>
              <w:keepLines w:val="0"/>
              <w:pageBreakBefore w:val="0"/>
              <w:widowControl w:val="0"/>
              <w:kinsoku/>
              <w:wordWrap/>
              <w:overflowPunct/>
              <w:topLinePunct w:val="0"/>
              <w:bidi w:val="0"/>
              <w:snapToGrid w:val="0"/>
              <w:spacing w:line="380" w:lineRule="atLeast"/>
              <w:textAlignment w:val="auto"/>
              <w:rPr>
                <w:rFonts w:hint="eastAsia" w:ascii="宋体" w:hAnsi="宋体"/>
                <w:color w:val="000000"/>
                <w:szCs w:val="21"/>
                <w:lang w:val="en-US" w:eastAsia="zh-CN"/>
              </w:rPr>
            </w:pPr>
          </w:p>
          <w:p>
            <w:pPr>
              <w:keepNext w:val="0"/>
              <w:keepLines w:val="0"/>
              <w:pageBreakBefore w:val="0"/>
              <w:widowControl w:val="0"/>
              <w:kinsoku/>
              <w:wordWrap/>
              <w:overflowPunct/>
              <w:topLinePunct w:val="0"/>
              <w:bidi w:val="0"/>
              <w:snapToGrid w:val="0"/>
              <w:spacing w:line="380" w:lineRule="atLeast"/>
              <w:jc w:val="center"/>
              <w:textAlignment w:val="auto"/>
              <w:rPr>
                <w:rFonts w:hint="default" w:ascii="宋体" w:hAnsi="宋体"/>
                <w:color w:val="000000"/>
                <w:szCs w:val="21"/>
                <w:lang w:val="en-US" w:eastAsia="zh-CN"/>
              </w:rPr>
            </w:pPr>
            <w:r>
              <w:rPr>
                <w:rFonts w:hint="eastAsia" w:ascii="宋体" w:hAnsi="宋体"/>
                <w:color w:val="000000"/>
                <w:szCs w:val="21"/>
                <w:lang w:val="en-US" w:eastAsia="zh-CN"/>
              </w:rPr>
              <w:t>1</w:t>
            </w:r>
          </w:p>
          <w:p>
            <w:pPr>
              <w:keepNext w:val="0"/>
              <w:keepLines w:val="0"/>
              <w:pageBreakBefore w:val="0"/>
              <w:widowControl w:val="0"/>
              <w:kinsoku/>
              <w:wordWrap/>
              <w:overflowPunct/>
              <w:topLinePunct w:val="0"/>
              <w:bidi w:val="0"/>
              <w:snapToGrid w:val="0"/>
              <w:spacing w:line="380" w:lineRule="atLeast"/>
              <w:textAlignment w:val="auto"/>
              <w:rPr>
                <w:rFonts w:hint="eastAsia" w:ascii="宋体" w:hAnsi="宋体"/>
                <w:color w:val="000000"/>
                <w:szCs w:val="21"/>
                <w:lang w:val="en-US" w:eastAsia="zh-CN"/>
              </w:rPr>
            </w:pPr>
          </w:p>
          <w:p>
            <w:pPr>
              <w:keepNext w:val="0"/>
              <w:keepLines w:val="0"/>
              <w:pageBreakBefore w:val="0"/>
              <w:widowControl w:val="0"/>
              <w:kinsoku/>
              <w:wordWrap/>
              <w:overflowPunct/>
              <w:topLinePunct w:val="0"/>
              <w:bidi w:val="0"/>
              <w:snapToGrid w:val="0"/>
              <w:spacing w:line="380" w:lineRule="atLeast"/>
              <w:jc w:val="center"/>
              <w:textAlignment w:val="auto"/>
              <w:rPr>
                <w:rFonts w:hint="eastAsia" w:ascii="宋体" w:hAnsi="宋体" w:eastAsia="宋体"/>
                <w:color w:val="000000"/>
                <w:szCs w:val="21"/>
                <w:lang w:val="en-US" w:eastAsia="zh-CN"/>
              </w:rPr>
            </w:pPr>
          </w:p>
        </w:tc>
        <w:tc>
          <w:tcPr>
            <w:tcW w:w="155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380" w:lineRule="atLeast"/>
              <w:textAlignment w:val="auto"/>
              <w:rPr>
                <w:rFonts w:hint="default" w:ascii="宋体" w:hAnsi="宋体" w:eastAsia="宋体"/>
                <w:color w:val="000000"/>
                <w:szCs w:val="21"/>
                <w:lang w:val="en-US" w:eastAsia="zh-CN"/>
              </w:rPr>
            </w:pPr>
            <w:r>
              <w:rPr>
                <w:rFonts w:hint="eastAsia" w:ascii="宋体" w:hAnsi="宋体" w:cs="宋体"/>
                <w:szCs w:val="21"/>
              </w:rPr>
              <w:t>如需进一步了解详细内容，具体要求详见竞争性谈判采购文件。</w:t>
            </w:r>
          </w:p>
        </w:tc>
      </w:tr>
    </w:tbl>
    <w:p>
      <w:pPr>
        <w:keepNext w:val="0"/>
        <w:keepLines w:val="0"/>
        <w:pageBreakBefore w:val="0"/>
        <w:widowControl w:val="0"/>
        <w:kinsoku/>
        <w:wordWrap/>
        <w:overflowPunct/>
        <w:topLinePunct w:val="0"/>
        <w:bidi w:val="0"/>
        <w:spacing w:line="380" w:lineRule="atLeast"/>
        <w:ind w:firstLine="480" w:firstLineChars="200"/>
        <w:textAlignment w:val="auto"/>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合同履行期限：自合同签订之日起25日内建设完毕并验收交付使用。</w:t>
      </w:r>
    </w:p>
    <w:p>
      <w:pPr>
        <w:pStyle w:val="24"/>
        <w:keepNext w:val="0"/>
        <w:keepLines w:val="0"/>
        <w:pageBreakBefore w:val="0"/>
        <w:widowControl w:val="0"/>
        <w:kinsoku/>
        <w:wordWrap/>
        <w:overflowPunct/>
        <w:topLinePunct w:val="0"/>
        <w:bidi w:val="0"/>
        <w:spacing w:line="380" w:lineRule="atLeast"/>
        <w:ind w:firstLine="480" w:firstLineChars="200"/>
        <w:textAlignment w:val="auto"/>
        <w:rPr>
          <w:rFonts w:hint="eastAsia"/>
        </w:rPr>
      </w:pPr>
      <w:r>
        <w:rPr>
          <w:rFonts w:hint="eastAsia"/>
        </w:rPr>
        <w:t>本项目是否接受联合体响应：</w:t>
      </w:r>
      <w:r>
        <w:rPr>
          <w:rFonts w:hint="eastAsia"/>
          <w:lang w:eastAsia="zh-CN"/>
        </w:rPr>
        <w:t>□</w:t>
      </w:r>
      <w:r>
        <w:rPr>
          <w:rFonts w:hint="eastAsia"/>
        </w:rPr>
        <w:t>是/</w:t>
      </w:r>
      <w:r>
        <w:rPr>
          <w:rFonts w:hint="eastAsia"/>
          <w:lang w:eastAsia="zh-CN"/>
        </w:rPr>
        <w:t>☑</w:t>
      </w:r>
      <w:r>
        <w:rPr>
          <w:rFonts w:hint="eastAsia"/>
        </w:rPr>
        <w:t>否。</w:t>
      </w:r>
    </w:p>
    <w:p>
      <w:pPr>
        <w:keepNext w:val="0"/>
        <w:keepLines w:val="0"/>
        <w:pageBreakBefore w:val="0"/>
        <w:widowControl w:val="0"/>
        <w:kinsoku/>
        <w:wordWrap/>
        <w:overflowPunct/>
        <w:topLinePunct w:val="0"/>
        <w:bidi w:val="0"/>
        <w:snapToGrid/>
        <w:spacing w:line="380" w:lineRule="atLeast"/>
        <w:textAlignment w:val="auto"/>
        <w:rPr>
          <w:rFonts w:ascii="黑体" w:hAnsi="黑体" w:eastAsia="黑体" w:cs="宋体"/>
          <w:bCs/>
          <w:sz w:val="24"/>
        </w:rPr>
      </w:pPr>
      <w:bookmarkStart w:id="13" w:name="_Toc28359090"/>
      <w:bookmarkStart w:id="14" w:name="_Toc44229879"/>
      <w:bookmarkStart w:id="15" w:name="_Toc28359013"/>
      <w:bookmarkStart w:id="16" w:name="_Toc35393799"/>
      <w:bookmarkStart w:id="17" w:name="_Toc35393630"/>
      <w:r>
        <w:rPr>
          <w:rFonts w:hint="eastAsia" w:ascii="黑体" w:hAnsi="黑体" w:eastAsia="黑体" w:cs="宋体"/>
          <w:b/>
          <w:kern w:val="44"/>
          <w:sz w:val="24"/>
        </w:rPr>
        <w:t>二、供应商的资格条件</w:t>
      </w:r>
      <w:bookmarkEnd w:id="13"/>
      <w:bookmarkEnd w:id="14"/>
      <w:bookmarkEnd w:id="15"/>
      <w:bookmarkEnd w:id="16"/>
      <w:bookmarkEnd w:id="17"/>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rPr>
      </w:pPr>
      <w:r>
        <w:rPr>
          <w:rFonts w:hint="eastAsia"/>
        </w:rPr>
        <w:t>1.满足《中华人民共和国政府采购法》第二十二条规定；</w:t>
      </w: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rPr>
      </w:pPr>
      <w:r>
        <w:rPr>
          <w:rFonts w:hint="eastAsia"/>
        </w:rPr>
        <w:t>2.落实政府采购政策需满足的资格要求：</w:t>
      </w: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rPr>
      </w:pPr>
      <w:r>
        <w:rPr>
          <w:rFonts w:hint="eastAsia"/>
        </w:rPr>
        <w:t>□专门面向中小企业采购的项目（供应商应为中小微企业、监狱企业、残疾人福利性单位</w:t>
      </w:r>
      <w:r>
        <w:rPr>
          <w:rFonts w:hint="eastAsia"/>
          <w:lang w:eastAsia="zh-CN"/>
        </w:rPr>
        <w:t>）</w:t>
      </w: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lang w:eastAsia="zh-CN"/>
        </w:rPr>
      </w:pPr>
      <w:r>
        <w:rPr>
          <w:rFonts w:hint="eastAsia"/>
          <w:lang w:eastAsia="zh-CN"/>
        </w:rPr>
        <w:t>☑非专门面向中小企业采购的项目</w:t>
      </w: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lang w:eastAsia="zh-CN"/>
        </w:rPr>
      </w:pPr>
      <w:bookmarkStart w:id="18" w:name="PO_3000001871_PM005"/>
      <w:r>
        <w:rPr>
          <w:rFonts w:hint="eastAsia"/>
          <w:lang w:val="en-US" w:eastAsia="zh-CN"/>
        </w:rPr>
        <w:t>3.</w:t>
      </w:r>
      <w:r>
        <w:rPr>
          <w:rFonts w:hint="eastAsia"/>
          <w:lang w:eastAsia="zh-CN"/>
        </w:rPr>
        <w:t>未被“信用中国”（www.creditchina.gov.cn）、中国政府采购网（www.ccgp.gov.cn）列入失信被执行人、重大税收违法案件当事人名单、政府采购严重违法失信行为记录名单</w:t>
      </w:r>
      <w:bookmarkEnd w:id="18"/>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lang w:val="en-US" w:eastAsia="zh-CN"/>
        </w:rPr>
      </w:pPr>
      <w:r>
        <w:rPr>
          <w:rFonts w:hint="eastAsia"/>
          <w:lang w:val="en-US" w:eastAsia="zh-CN"/>
        </w:rPr>
        <w:t>4</w:t>
      </w:r>
      <w:r>
        <w:rPr>
          <w:rFonts w:hint="eastAsia"/>
        </w:rPr>
        <w:t>.本项目的特定资格要求：</w:t>
      </w:r>
      <w:r>
        <w:rPr>
          <w:rFonts w:hint="eastAsia"/>
          <w:lang w:val="en-US" w:eastAsia="zh-CN"/>
        </w:rPr>
        <w:t>无</w:t>
      </w: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rPr>
      </w:pPr>
      <w:r>
        <w:rPr>
          <w:rFonts w:hint="eastAsia"/>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rPr>
      </w:pPr>
      <w:r>
        <w:rPr>
          <w:rFonts w:hint="eastAsia"/>
        </w:rPr>
        <w:t>6.对在“信用中国”网站</w:t>
      </w:r>
      <w:r>
        <w:rPr>
          <w:rFonts w:hint="eastAsia"/>
          <w:lang w:eastAsia="zh-CN"/>
        </w:rPr>
        <w:t>（</w:t>
      </w:r>
      <w:r>
        <w:rPr>
          <w:rFonts w:hint="eastAsia"/>
        </w:rPr>
        <w:t>www.creditchina.gov.cn) 、中国政府采购网</w:t>
      </w:r>
      <w:r>
        <w:rPr>
          <w:rFonts w:hint="eastAsia"/>
          <w:lang w:eastAsia="zh-CN"/>
        </w:rPr>
        <w:t>（</w:t>
      </w:r>
      <w:r>
        <w:rPr>
          <w:rFonts w:hint="eastAsia"/>
        </w:rPr>
        <w:t>www.ccgp.gov.cn</w:t>
      </w:r>
      <w:r>
        <w:rPr>
          <w:rFonts w:hint="eastAsia"/>
          <w:lang w:eastAsia="zh-CN"/>
        </w:rPr>
        <w:t>）</w:t>
      </w:r>
      <w:r>
        <w:rPr>
          <w:rFonts w:hint="eastAsia"/>
        </w:rPr>
        <w:t>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bidi w:val="0"/>
        <w:snapToGrid/>
        <w:spacing w:line="380" w:lineRule="atLeast"/>
        <w:textAlignment w:val="auto"/>
        <w:rPr>
          <w:rFonts w:ascii="黑体" w:hAnsi="黑体" w:eastAsia="黑体"/>
          <w:b/>
          <w:bCs/>
          <w:color w:val="000000"/>
          <w:sz w:val="24"/>
        </w:rPr>
      </w:pPr>
      <w:r>
        <w:rPr>
          <w:rFonts w:hint="eastAsia" w:ascii="黑体" w:hAnsi="黑体" w:eastAsia="黑体"/>
          <w:b/>
          <w:bCs/>
          <w:color w:val="000000"/>
          <w:sz w:val="24"/>
        </w:rPr>
        <w:t>三、获取竞争性谈判文件</w:t>
      </w:r>
      <w:bookmarkEnd w:id="9"/>
      <w:bookmarkEnd w:id="10"/>
      <w:bookmarkEnd w:id="11"/>
      <w:bookmarkEnd w:id="12"/>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lang w:eastAsia="zh-CN"/>
        </w:rPr>
      </w:pPr>
      <w:bookmarkStart w:id="19" w:name="_Toc35393624"/>
      <w:bookmarkStart w:id="20" w:name="_Toc28359005"/>
      <w:bookmarkStart w:id="21" w:name="_Toc35393793"/>
      <w:bookmarkStart w:id="22" w:name="_Toc28359082"/>
      <w:r>
        <w:rPr>
          <w:rFonts w:hint="eastAsia"/>
        </w:rPr>
        <w:t>时间：自公告发布之日起</w:t>
      </w:r>
      <w:r>
        <w:rPr>
          <w:rFonts w:hint="eastAsia"/>
          <w:lang w:eastAsia="zh-CN"/>
        </w:rPr>
        <w:t>。</w:t>
      </w: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rPr>
      </w:pPr>
      <w:r>
        <w:rPr>
          <w:rFonts w:hint="eastAsia"/>
        </w:rPr>
        <w:t>获取方式：网上下载。本项目不发放纸质采购文件，供应商可自行在“政采云”平台（</w:t>
      </w:r>
      <w:r>
        <w:rPr>
          <w:rFonts w:ascii="宋体" w:hAnsi="宋体"/>
          <w:szCs w:val="21"/>
        </w:rPr>
        <w:t>https://www.zcygov.cn/</w:t>
      </w:r>
      <w:r>
        <w:rPr>
          <w:rFonts w:hint="eastAsia"/>
        </w:rPr>
        <w:t>）下载采购文件（操作路径：登录“政采云”平台-项目采购-获取采购文件-找到本项目-点击“申请获取采购文件”），电子响应文件制作需要基于“政采云”平台（</w:t>
      </w:r>
      <w:r>
        <w:rPr>
          <w:rFonts w:ascii="宋体" w:hAnsi="宋体"/>
          <w:szCs w:val="21"/>
        </w:rPr>
        <w:t>https://www.zcygov.cn/</w:t>
      </w:r>
      <w:r>
        <w:rPr>
          <w:rFonts w:hint="eastAsia"/>
        </w:rPr>
        <w:t>）获取的采购文件编制。</w:t>
      </w: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rPr>
      </w:pPr>
      <w:r>
        <w:rPr>
          <w:rFonts w:hint="eastAsia"/>
        </w:rPr>
        <w:t>售价：0元。</w:t>
      </w:r>
    </w:p>
    <w:p>
      <w:pPr>
        <w:keepNext w:val="0"/>
        <w:keepLines w:val="0"/>
        <w:pageBreakBefore w:val="0"/>
        <w:widowControl w:val="0"/>
        <w:kinsoku/>
        <w:wordWrap/>
        <w:overflowPunct/>
        <w:topLinePunct w:val="0"/>
        <w:bidi w:val="0"/>
        <w:snapToGrid/>
        <w:spacing w:line="380" w:lineRule="atLeast"/>
        <w:textAlignment w:val="auto"/>
        <w:rPr>
          <w:rFonts w:ascii="黑体" w:hAnsi="黑体" w:eastAsia="黑体"/>
          <w:b/>
          <w:bCs/>
          <w:color w:val="000000"/>
          <w:sz w:val="24"/>
        </w:rPr>
      </w:pPr>
      <w:r>
        <w:rPr>
          <w:rFonts w:hint="eastAsia" w:ascii="黑体" w:hAnsi="黑体" w:eastAsia="黑体"/>
          <w:b/>
          <w:bCs/>
          <w:color w:val="000000"/>
          <w:sz w:val="24"/>
        </w:rPr>
        <w:t>四、</w:t>
      </w:r>
      <w:bookmarkEnd w:id="19"/>
      <w:bookmarkEnd w:id="20"/>
      <w:bookmarkEnd w:id="21"/>
      <w:bookmarkEnd w:id="22"/>
      <w:r>
        <w:rPr>
          <w:rFonts w:hint="eastAsia" w:ascii="黑体" w:hAnsi="黑体" w:eastAsia="黑体"/>
          <w:b/>
          <w:bCs/>
          <w:color w:val="000000"/>
          <w:sz w:val="24"/>
        </w:rPr>
        <w:t>响应文件提交</w:t>
      </w: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rPr>
      </w:pPr>
      <w:r>
        <w:rPr>
          <w:rFonts w:hint="eastAsia"/>
        </w:rPr>
        <w:t>1</w:t>
      </w:r>
      <w:r>
        <w:rPr>
          <w:rFonts w:hint="eastAsia"/>
          <w:lang w:val="en-US" w:eastAsia="zh-CN"/>
        </w:rPr>
        <w:t>.</w:t>
      </w:r>
      <w:r>
        <w:rPr>
          <w:rFonts w:hint="eastAsia"/>
        </w:rPr>
        <w:t>首次响应文件提交截止时间（北京时间）：</w:t>
      </w:r>
      <w:bookmarkStart w:id="23" w:name="PO_3000001871_PM015_1"/>
      <w:r>
        <w:rPr>
          <w:rFonts w:hint="eastAsia"/>
          <w:highlight w:val="none"/>
          <w:lang w:eastAsia="zh-CN"/>
        </w:rPr>
        <w:t>202</w:t>
      </w:r>
      <w:r>
        <w:rPr>
          <w:rFonts w:hint="eastAsia"/>
          <w:highlight w:val="none"/>
          <w:lang w:val="en-US" w:eastAsia="zh-CN"/>
        </w:rPr>
        <w:t>2</w:t>
      </w:r>
      <w:r>
        <w:rPr>
          <w:rFonts w:hint="eastAsia"/>
          <w:highlight w:val="none"/>
          <w:lang w:eastAsia="zh-CN"/>
        </w:rPr>
        <w:t>-0</w:t>
      </w:r>
      <w:r>
        <w:rPr>
          <w:rFonts w:hint="eastAsia"/>
          <w:highlight w:val="none"/>
          <w:lang w:val="en-US" w:eastAsia="zh-CN"/>
        </w:rPr>
        <w:t>4</w:t>
      </w:r>
      <w:r>
        <w:rPr>
          <w:rFonts w:hint="eastAsia"/>
          <w:highlight w:val="none"/>
          <w:lang w:eastAsia="zh-CN"/>
        </w:rPr>
        <w:t>-</w:t>
      </w:r>
      <w:r>
        <w:rPr>
          <w:rFonts w:hint="eastAsia"/>
          <w:highlight w:val="none"/>
          <w:lang w:val="en-US" w:eastAsia="zh-CN"/>
        </w:rPr>
        <w:t>27  9</w:t>
      </w:r>
      <w:r>
        <w:rPr>
          <w:rFonts w:hint="eastAsia"/>
          <w:highlight w:val="none"/>
          <w:lang w:eastAsia="zh-CN"/>
        </w:rPr>
        <w:t>:</w:t>
      </w:r>
      <w:r>
        <w:rPr>
          <w:rFonts w:hint="eastAsia"/>
          <w:highlight w:val="none"/>
          <w:lang w:val="en-US" w:eastAsia="zh-CN"/>
        </w:rPr>
        <w:t>3</w:t>
      </w:r>
      <w:r>
        <w:rPr>
          <w:rFonts w:hint="eastAsia"/>
          <w:highlight w:val="none"/>
          <w:lang w:eastAsia="zh-CN"/>
        </w:rPr>
        <w:t>0:00</w:t>
      </w:r>
      <w:bookmarkEnd w:id="23"/>
      <w:r>
        <w:rPr>
          <w:rFonts w:hint="eastAsia"/>
        </w:rPr>
        <w:t>（从谈判文件开始发出之日起至供应商提交首次响应文件截止之日止不得少于3个工作日）</w:t>
      </w: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rPr>
      </w:pPr>
      <w:r>
        <w:rPr>
          <w:rFonts w:hint="eastAsia"/>
        </w:rPr>
        <w:t>2</w:t>
      </w:r>
      <w:r>
        <w:rPr>
          <w:rFonts w:hint="eastAsia"/>
          <w:lang w:val="en-US" w:eastAsia="zh-CN"/>
        </w:rPr>
        <w:t>.</w:t>
      </w:r>
      <w:r>
        <w:rPr>
          <w:rFonts w:hint="eastAsia"/>
        </w:rPr>
        <w:t>首次响应文件提交地点：</w:t>
      </w: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rPr>
      </w:pPr>
      <w:r>
        <w:rPr>
          <w:rFonts w:hint="eastAsia"/>
        </w:rPr>
        <w:t>（1）响应文件提交方式：本项目为南宁市全流程电子化项目，通过“政采云”平台（http：//www.zcygov.cn）实行在线电子响应，供应商应先安装“政采云电子交易客户端”（请自行前往“政采云”平台进行下载），并按照本项目采购文件和“政采云”平台的要求编制、加密后在投标截止时间前通过网络上传至南宁市“政采云”平台，供应商在“政采云”平台提交电子版响应文件时，请填写参加远程采购活动经办人联系方式，电子响应文件具体操作流程详见本公告附件2。</w:t>
      </w: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rPr>
      </w:pPr>
      <w:r>
        <w:rPr>
          <w:rFonts w:hint="eastAsia"/>
        </w:rPr>
        <w:t>（2）未进行网上注册并办理数字证书（CA认证）的供应商将无法参与本项目政府采购活动，潜在供应商应要尽早完成电子交易平台上的CA数字证书办理（申领流程见本公告附件2），并在首次响应文件提交截止时间前提交响应文件。</w:t>
      </w: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rPr>
      </w:pPr>
      <w:r>
        <w:rPr>
          <w:rFonts w:hint="eastAsia"/>
        </w:rPr>
        <w:t>（3）为确保网上操作合法、有效和安全，请供应商确保在电子响应过程中能够对相关数据电文进行加密和使用电子签章，妥善保管CA数字证书并使用有效的CA数字证书参与整个采购活动。</w:t>
      </w: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u w:val="single"/>
        </w:rPr>
      </w:pPr>
      <w:r>
        <w:rPr>
          <w:rFonts w:hint="eastAsia"/>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rPr>
      </w:pPr>
      <w:r>
        <w:rPr>
          <w:rFonts w:hint="eastAsia"/>
        </w:rPr>
        <w:t>3</w:t>
      </w:r>
      <w:r>
        <w:rPr>
          <w:rFonts w:hint="eastAsia"/>
          <w:lang w:val="en-US" w:eastAsia="zh-CN"/>
        </w:rPr>
        <w:t>.</w:t>
      </w:r>
      <w:r>
        <w:rPr>
          <w:rFonts w:hint="eastAsia"/>
        </w:rPr>
        <w:t>CA证书在线解密：首次响应文件开启时，须要供应商登录“政采云”平台电子开标大厅按规定时间对加密的响应文件进行解密，详见采购文件“第三章供应商须知正文25.2条”，否则后果自负。</w:t>
      </w: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rPr>
      </w:pPr>
      <w:r>
        <w:rPr>
          <w:rFonts w:hint="eastAsia"/>
        </w:rPr>
        <w:t>4</w:t>
      </w:r>
      <w:r>
        <w:rPr>
          <w:rFonts w:hint="eastAsia"/>
          <w:lang w:val="en-US" w:eastAsia="zh-CN"/>
        </w:rPr>
        <w:t>.</w:t>
      </w:r>
      <w:r>
        <w:rPr>
          <w:rFonts w:hint="eastAsia"/>
        </w:rPr>
        <w:t>供应商需要在具备有摄像头及语音功能且互联网网络状况良好的电脑登录“政采云”平台远程开标大厅参与本次谈判，否则后果自负。</w:t>
      </w:r>
    </w:p>
    <w:p>
      <w:pPr>
        <w:keepNext w:val="0"/>
        <w:keepLines w:val="0"/>
        <w:pageBreakBefore w:val="0"/>
        <w:widowControl w:val="0"/>
        <w:kinsoku/>
        <w:wordWrap/>
        <w:overflowPunct/>
        <w:topLinePunct w:val="0"/>
        <w:bidi w:val="0"/>
        <w:snapToGrid/>
        <w:spacing w:line="380" w:lineRule="atLeast"/>
        <w:textAlignment w:val="auto"/>
        <w:rPr>
          <w:rFonts w:ascii="黑体" w:hAnsi="黑体" w:eastAsia="黑体"/>
          <w:b/>
          <w:bCs/>
          <w:color w:val="000000"/>
          <w:sz w:val="24"/>
        </w:rPr>
      </w:pPr>
      <w:r>
        <w:rPr>
          <w:rFonts w:hint="eastAsia" w:ascii="黑体" w:hAnsi="黑体" w:eastAsia="黑体"/>
          <w:b/>
          <w:bCs/>
          <w:color w:val="000000"/>
          <w:sz w:val="24"/>
        </w:rPr>
        <w:t>五、开启（首次响应文件开启时间）</w:t>
      </w: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u w:val="single"/>
        </w:rPr>
      </w:pPr>
      <w:r>
        <w:rPr>
          <w:rFonts w:hint="eastAsia"/>
        </w:rPr>
        <w:t>1.时间（北京时间）：</w:t>
      </w:r>
      <w:bookmarkStart w:id="24" w:name="PO_3000001871_PM015_2"/>
      <w:r>
        <w:rPr>
          <w:rFonts w:hint="eastAsia"/>
          <w:highlight w:val="none"/>
          <w:u w:val="single"/>
          <w:lang w:eastAsia="zh-CN"/>
        </w:rPr>
        <w:t>202</w:t>
      </w:r>
      <w:r>
        <w:rPr>
          <w:rFonts w:hint="eastAsia"/>
          <w:highlight w:val="none"/>
          <w:u w:val="single"/>
          <w:lang w:val="en-US" w:eastAsia="zh-CN"/>
        </w:rPr>
        <w:t>2</w:t>
      </w:r>
      <w:r>
        <w:rPr>
          <w:rFonts w:hint="eastAsia"/>
          <w:highlight w:val="none"/>
          <w:u w:val="single"/>
          <w:lang w:eastAsia="zh-CN"/>
        </w:rPr>
        <w:t>-0</w:t>
      </w:r>
      <w:r>
        <w:rPr>
          <w:rFonts w:hint="eastAsia"/>
          <w:highlight w:val="none"/>
          <w:u w:val="single"/>
          <w:lang w:val="en-US" w:eastAsia="zh-CN"/>
        </w:rPr>
        <w:t>4</w:t>
      </w:r>
      <w:r>
        <w:rPr>
          <w:rFonts w:hint="eastAsia"/>
          <w:highlight w:val="none"/>
          <w:u w:val="single"/>
          <w:lang w:eastAsia="zh-CN"/>
        </w:rPr>
        <w:t>-</w:t>
      </w:r>
      <w:r>
        <w:rPr>
          <w:rFonts w:hint="eastAsia"/>
          <w:highlight w:val="none"/>
          <w:u w:val="single"/>
          <w:lang w:val="en-US" w:eastAsia="zh-CN"/>
        </w:rPr>
        <w:t xml:space="preserve">27  </w:t>
      </w:r>
      <w:r>
        <w:rPr>
          <w:rFonts w:hint="eastAsia"/>
          <w:highlight w:val="none"/>
          <w:u w:val="single"/>
          <w:lang w:eastAsia="zh-CN"/>
        </w:rPr>
        <w:t xml:space="preserve"> </w:t>
      </w:r>
      <w:r>
        <w:rPr>
          <w:rFonts w:hint="eastAsia"/>
          <w:highlight w:val="none"/>
          <w:u w:val="single"/>
          <w:lang w:val="en-US" w:eastAsia="zh-CN"/>
        </w:rPr>
        <w:t>9</w:t>
      </w:r>
      <w:r>
        <w:rPr>
          <w:rFonts w:hint="eastAsia"/>
          <w:highlight w:val="none"/>
          <w:u w:val="single"/>
          <w:lang w:eastAsia="zh-CN"/>
        </w:rPr>
        <w:t>:</w:t>
      </w:r>
      <w:r>
        <w:rPr>
          <w:rFonts w:hint="eastAsia"/>
          <w:highlight w:val="none"/>
          <w:u w:val="single"/>
          <w:lang w:val="en-US" w:eastAsia="zh-CN"/>
        </w:rPr>
        <w:t>3</w:t>
      </w:r>
      <w:r>
        <w:rPr>
          <w:rFonts w:hint="eastAsia"/>
          <w:highlight w:val="none"/>
          <w:u w:val="single"/>
          <w:lang w:eastAsia="zh-CN"/>
        </w:rPr>
        <w:t>0:00</w:t>
      </w:r>
      <w:bookmarkEnd w:id="24"/>
      <w:r>
        <w:rPr>
          <w:rFonts w:hint="eastAsia"/>
          <w:u w:val="single"/>
        </w:rPr>
        <w:t>后</w:t>
      </w: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rPr>
      </w:pPr>
      <w:r>
        <w:rPr>
          <w:rFonts w:hint="eastAsia"/>
        </w:rPr>
        <w:t>2.地点：</w:t>
      </w:r>
      <w:r>
        <w:rPr>
          <w:rFonts w:hint="eastAsia"/>
          <w:u w:val="single"/>
        </w:rPr>
        <w:t xml:space="preserve">  政府采购云平台开标大厅  </w:t>
      </w:r>
    </w:p>
    <w:p>
      <w:pPr>
        <w:keepNext w:val="0"/>
        <w:keepLines w:val="0"/>
        <w:pageBreakBefore w:val="0"/>
        <w:widowControl w:val="0"/>
        <w:kinsoku/>
        <w:wordWrap/>
        <w:overflowPunct/>
        <w:topLinePunct w:val="0"/>
        <w:bidi w:val="0"/>
        <w:snapToGrid/>
        <w:spacing w:line="380" w:lineRule="atLeast"/>
        <w:textAlignment w:val="auto"/>
        <w:rPr>
          <w:rFonts w:ascii="黑体" w:hAnsi="黑体" w:eastAsia="黑体"/>
          <w:b/>
          <w:bCs/>
          <w:color w:val="000000"/>
          <w:sz w:val="24"/>
        </w:rPr>
      </w:pPr>
      <w:bookmarkStart w:id="25" w:name="_Toc35393625"/>
      <w:bookmarkStart w:id="26" w:name="_Toc28359084"/>
      <w:bookmarkStart w:id="27" w:name="_Toc28359007"/>
      <w:bookmarkStart w:id="28" w:name="_Toc35393794"/>
      <w:r>
        <w:rPr>
          <w:rFonts w:hint="eastAsia" w:ascii="黑体" w:hAnsi="黑体" w:eastAsia="黑体"/>
          <w:b/>
          <w:bCs/>
          <w:color w:val="000000"/>
          <w:sz w:val="24"/>
        </w:rPr>
        <w:t>六、公告期限</w:t>
      </w:r>
      <w:bookmarkEnd w:id="25"/>
      <w:bookmarkEnd w:id="26"/>
      <w:bookmarkEnd w:id="27"/>
      <w:bookmarkEnd w:id="28"/>
    </w:p>
    <w:p>
      <w:pPr>
        <w:keepNext w:val="0"/>
        <w:keepLines w:val="0"/>
        <w:pageBreakBefore w:val="0"/>
        <w:widowControl w:val="0"/>
        <w:kinsoku/>
        <w:wordWrap/>
        <w:overflowPunct/>
        <w:topLinePunct w:val="0"/>
        <w:bidi w:val="0"/>
        <w:snapToGrid/>
        <w:spacing w:line="380" w:lineRule="atLeast"/>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自本公告发布之日起3个工作日。</w:t>
      </w:r>
    </w:p>
    <w:p>
      <w:pPr>
        <w:keepNext w:val="0"/>
        <w:keepLines w:val="0"/>
        <w:pageBreakBefore w:val="0"/>
        <w:widowControl w:val="0"/>
        <w:kinsoku/>
        <w:wordWrap/>
        <w:overflowPunct/>
        <w:topLinePunct w:val="0"/>
        <w:bidi w:val="0"/>
        <w:snapToGrid/>
        <w:spacing w:line="380" w:lineRule="atLeast"/>
        <w:textAlignment w:val="auto"/>
        <w:rPr>
          <w:rFonts w:ascii="黑体" w:hAnsi="黑体" w:eastAsia="黑体"/>
          <w:b/>
          <w:bCs/>
          <w:color w:val="000000"/>
          <w:sz w:val="24"/>
        </w:rPr>
      </w:pPr>
      <w:bookmarkStart w:id="29" w:name="_Toc35393795"/>
      <w:bookmarkStart w:id="30" w:name="_Toc35393626"/>
      <w:r>
        <w:rPr>
          <w:rFonts w:hint="eastAsia" w:ascii="黑体" w:hAnsi="黑体" w:eastAsia="黑体"/>
          <w:b/>
          <w:bCs/>
          <w:color w:val="000000"/>
          <w:sz w:val="24"/>
        </w:rPr>
        <w:t>七、其他补充事宜</w:t>
      </w:r>
      <w:bookmarkEnd w:id="29"/>
      <w:bookmarkEnd w:id="30"/>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highlight w:val="none"/>
        </w:rPr>
      </w:pPr>
      <w:r>
        <w:rPr>
          <w:rFonts w:hint="eastAsia"/>
          <w:highlight w:val="none"/>
        </w:rPr>
        <w:t>1.谈判保证金：本项目不收取谈判保证金</w:t>
      </w: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highlight w:val="yellow"/>
        </w:rPr>
      </w:pPr>
      <w:r>
        <w:rPr>
          <w:rFonts w:hint="eastAsia"/>
          <w:highlight w:val="none"/>
        </w:rPr>
        <w:t>2.采购意向公开链接</w:t>
      </w:r>
      <w:r>
        <w:rPr>
          <w:rFonts w:hint="eastAsia"/>
        </w:rPr>
        <w:t>：</w:t>
      </w:r>
      <w:bookmarkStart w:id="31" w:name="_Hlk37429585"/>
      <w:r>
        <w:rPr>
          <w:rFonts w:hint="eastAsia"/>
          <w:highlight w:val="none"/>
        </w:rPr>
        <w:t>http://zfcg.gxzf.gov.cn/reformColumn/ZcyAnnouncement10016/DT9sgGRvxxr9yLQVeQhjqA==.html</w:t>
      </w: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rPr>
      </w:pPr>
      <w:r>
        <w:rPr>
          <w:rFonts w:hint="eastAsia"/>
        </w:rPr>
        <w:t>3.</w:t>
      </w:r>
      <w:bookmarkStart w:id="32" w:name="_Hlk37429595"/>
      <w:r>
        <w:rPr>
          <w:rFonts w:hint="eastAsia"/>
        </w:rPr>
        <w:t>网上查询地址</w:t>
      </w:r>
    </w:p>
    <w:bookmarkEnd w:id="31"/>
    <w:bookmarkEnd w:id="32"/>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rPr>
      </w:pPr>
      <w:bookmarkStart w:id="33" w:name="_Hlk37429674"/>
      <w:r>
        <w:rPr>
          <w:rFonts w:hint="eastAsia"/>
        </w:rPr>
        <w:t xml:space="preserve">http://zfcg.gxzf.gov.cn (广西政府采购网) </w:t>
      </w: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rPr>
      </w:pPr>
      <w:r>
        <w:rPr>
          <w:rFonts w:hint="eastAsia"/>
        </w:rPr>
        <w:fldChar w:fldCharType="begin"/>
      </w:r>
      <w:r>
        <w:rPr>
          <w:rFonts w:hint="eastAsia"/>
        </w:rPr>
        <w:instrText xml:space="preserve"> HYPERLINK "http://ggzy.nanning.gov.cn" </w:instrText>
      </w:r>
      <w:r>
        <w:rPr>
          <w:rFonts w:hint="eastAsia"/>
        </w:rPr>
        <w:fldChar w:fldCharType="separate"/>
      </w:r>
      <w:r>
        <w:rPr>
          <w:rFonts w:hint="eastAsia"/>
        </w:rPr>
        <w:t>http://ggzy.nanning.gov.cn</w:t>
      </w:r>
      <w:r>
        <w:rPr>
          <w:rFonts w:hint="eastAsia"/>
        </w:rPr>
        <w:fldChar w:fldCharType="end"/>
      </w:r>
      <w:r>
        <w:rPr>
          <w:rFonts w:hint="eastAsia"/>
        </w:rPr>
        <w:t>（广西南宁市公共资源交易中心网）</w:t>
      </w: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rPr>
      </w:pPr>
      <w:r>
        <w:rPr>
          <w:rFonts w:hint="eastAsia"/>
        </w:rPr>
        <w:t>gxq.nanning.gov.cn</w:t>
      </w:r>
      <w:r>
        <w:rPr>
          <w:rFonts w:hint="eastAsia"/>
          <w:lang w:eastAsia="zh-CN"/>
        </w:rPr>
        <w:t>（</w:t>
      </w:r>
      <w:r>
        <w:rPr>
          <w:rFonts w:hint="eastAsia"/>
        </w:rPr>
        <w:t>广西南宁高新技术产业开发区管理委员会门户网站）</w:t>
      </w:r>
    </w:p>
    <w:p>
      <w:pPr>
        <w:pStyle w:val="24"/>
        <w:keepNext w:val="0"/>
        <w:keepLines w:val="0"/>
        <w:pageBreakBefore w:val="0"/>
        <w:widowControl w:val="0"/>
        <w:numPr>
          <w:ilvl w:val="0"/>
          <w:numId w:val="2"/>
        </w:numPr>
        <w:kinsoku/>
        <w:wordWrap/>
        <w:overflowPunct/>
        <w:topLinePunct w:val="0"/>
        <w:bidi w:val="0"/>
        <w:snapToGrid/>
        <w:spacing w:line="380" w:lineRule="atLeast"/>
        <w:ind w:firstLine="480" w:firstLineChars="200"/>
        <w:textAlignment w:val="auto"/>
        <w:rPr>
          <w:rFonts w:hint="eastAsia"/>
        </w:rPr>
      </w:pPr>
      <w:r>
        <w:rPr>
          <w:rFonts w:hint="eastAsia"/>
        </w:rPr>
        <w:t>本项目需要落实的政府采购政策</w:t>
      </w:r>
    </w:p>
    <w:p>
      <w:pPr>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（1）政</w:t>
      </w:r>
      <w:r>
        <w:rPr>
          <w:rFonts w:hint="eastAsia" w:ascii="宋体" w:hAnsi="宋体" w:eastAsia="宋体" w:cs="宋体"/>
          <w:color w:val="000000"/>
          <w:kern w:val="0"/>
          <w:sz w:val="24"/>
          <w:szCs w:val="24"/>
          <w:lang w:val="en-US" w:eastAsia="zh-CN" w:bidi="ar-SA"/>
        </w:rPr>
        <w:t>府采购促进中小企业发展。</w:t>
      </w:r>
    </w:p>
    <w:p>
      <w:pPr>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（2）政府采购支持采用本国产品的政策。</w:t>
      </w:r>
    </w:p>
    <w:p>
      <w:pPr>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（3）强制采购、优先采购环境标志产品、节能产品。</w:t>
      </w:r>
    </w:p>
    <w:p>
      <w:pPr>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（4）政府采购促进残疾人就业政策。</w:t>
      </w:r>
    </w:p>
    <w:p>
      <w:pPr>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（5）政府采购支持监狱企业发展。</w:t>
      </w:r>
    </w:p>
    <w:p>
      <w:pPr>
        <w:pStyle w:val="24"/>
        <w:keepNext w:val="0"/>
        <w:keepLines w:val="0"/>
        <w:pageBreakBefore w:val="0"/>
        <w:widowControl w:val="0"/>
        <w:numPr>
          <w:numId w:val="0"/>
        </w:numPr>
        <w:kinsoku/>
        <w:wordWrap/>
        <w:overflowPunct/>
        <w:topLinePunct w:val="0"/>
        <w:bidi w:val="0"/>
        <w:snapToGrid/>
        <w:spacing w:line="380" w:lineRule="atLeast"/>
        <w:textAlignment w:val="auto"/>
        <w:rPr>
          <w:rFonts w:hint="eastAsia"/>
          <w:lang w:eastAsia="zh-CN"/>
        </w:rPr>
      </w:pPr>
      <w:r>
        <w:rPr>
          <w:rFonts w:hint="eastAsia" w:ascii="宋体" w:hAnsi="宋体" w:eastAsia="宋体" w:cs="宋体"/>
          <w:color w:val="000000"/>
          <w:kern w:val="0"/>
          <w:szCs w:val="21"/>
          <w:highlight w:val="none"/>
          <w:u w:val="none"/>
          <w:lang w:eastAsia="zh-CN"/>
        </w:rPr>
        <w:t>（</w:t>
      </w:r>
      <w:r>
        <w:rPr>
          <w:rFonts w:hint="eastAsia" w:ascii="宋体" w:hAnsi="宋体" w:eastAsia="宋体" w:cs="宋体"/>
          <w:color w:val="000000"/>
          <w:kern w:val="0"/>
          <w:szCs w:val="21"/>
          <w:highlight w:val="none"/>
          <w:u w:val="none"/>
          <w:lang w:val="en-US" w:eastAsia="zh-CN"/>
        </w:rPr>
        <w:t>6）</w:t>
      </w:r>
      <w:r>
        <w:rPr>
          <w:rFonts w:hint="eastAsia" w:ascii="宋体" w:hAnsi="宋体" w:eastAsia="宋体" w:cs="宋体"/>
          <w:color w:val="000000"/>
          <w:kern w:val="0"/>
          <w:szCs w:val="21"/>
          <w:highlight w:val="none"/>
          <w:u w:val="none"/>
        </w:rPr>
        <w:t>扶持不发达地区和少数民族地区政策。</w:t>
      </w:r>
    </w:p>
    <w:bookmarkEnd w:id="33"/>
    <w:p>
      <w:pPr>
        <w:pStyle w:val="24"/>
        <w:keepNext w:val="0"/>
        <w:keepLines w:val="0"/>
        <w:pageBreakBefore w:val="0"/>
        <w:widowControl w:val="0"/>
        <w:kinsoku/>
        <w:wordWrap/>
        <w:overflowPunct/>
        <w:topLinePunct w:val="0"/>
        <w:autoSpaceDE w:val="0"/>
        <w:autoSpaceDN w:val="0"/>
        <w:bidi w:val="0"/>
        <w:adjustRightInd w:val="0"/>
        <w:snapToGrid/>
        <w:spacing w:line="380" w:lineRule="atLeast"/>
        <w:ind w:firstLine="480" w:firstLineChars="200"/>
        <w:textAlignment w:val="auto"/>
        <w:rPr>
          <w:rFonts w:hint="eastAsia"/>
        </w:rPr>
      </w:pPr>
      <w:r>
        <w:rPr>
          <w:rFonts w:hint="eastAsia"/>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pPr>
        <w:pStyle w:val="24"/>
        <w:keepNext w:val="0"/>
        <w:keepLines w:val="0"/>
        <w:pageBreakBefore w:val="0"/>
        <w:widowControl w:val="0"/>
        <w:kinsoku/>
        <w:wordWrap/>
        <w:overflowPunct/>
        <w:topLinePunct w:val="0"/>
        <w:autoSpaceDE w:val="0"/>
        <w:autoSpaceDN w:val="0"/>
        <w:bidi w:val="0"/>
        <w:adjustRightInd w:val="0"/>
        <w:snapToGrid/>
        <w:spacing w:line="380" w:lineRule="atLeast"/>
        <w:ind w:firstLine="480" w:firstLineChars="200"/>
        <w:textAlignment w:val="auto"/>
        <w:rPr>
          <w:rFonts w:hint="eastAsia"/>
        </w:rPr>
      </w:pPr>
      <w:r>
        <w:rPr>
          <w:rFonts w:hint="eastAsia"/>
        </w:rPr>
        <w:t>6. 若对项目采购电子交易系统操作有疑问，可登录“政采云”平台（https://www.zcygov.cn/），点击右侧咨询小采，获取采小蜜智能服务管家帮助，或拨打政采云服务热线400-881-7190获取热线服务帮助。</w:t>
      </w:r>
    </w:p>
    <w:p>
      <w:pPr>
        <w:keepNext w:val="0"/>
        <w:keepLines w:val="0"/>
        <w:pageBreakBefore w:val="0"/>
        <w:widowControl w:val="0"/>
        <w:kinsoku/>
        <w:wordWrap/>
        <w:overflowPunct/>
        <w:topLinePunct w:val="0"/>
        <w:bidi w:val="0"/>
        <w:snapToGrid/>
        <w:spacing w:line="380" w:lineRule="atLeast"/>
        <w:textAlignment w:val="auto"/>
        <w:rPr>
          <w:rFonts w:hint="eastAsia" w:ascii="黑体" w:hAnsi="黑体" w:eastAsia="黑体" w:cs="宋体"/>
          <w:bCs/>
          <w:sz w:val="24"/>
        </w:rPr>
      </w:pPr>
      <w:r>
        <w:rPr>
          <w:rFonts w:hint="eastAsia" w:ascii="黑体" w:hAnsi="黑体" w:eastAsia="黑体" w:cs="宋体"/>
          <w:b/>
          <w:kern w:val="44"/>
          <w:sz w:val="24"/>
        </w:rPr>
        <w:t>八、凡对本次采购提出询问，请按</w:t>
      </w:r>
      <w:r>
        <w:rPr>
          <w:rFonts w:ascii="黑体" w:hAnsi="黑体" w:eastAsia="黑体" w:cs="宋体"/>
          <w:b/>
          <w:kern w:val="44"/>
          <w:sz w:val="24"/>
        </w:rPr>
        <w:t>以下方式</w:t>
      </w:r>
      <w:r>
        <w:rPr>
          <w:rFonts w:hint="eastAsia" w:ascii="黑体" w:hAnsi="黑体" w:eastAsia="黑体" w:cs="宋体"/>
          <w:b/>
          <w:kern w:val="44"/>
          <w:sz w:val="24"/>
        </w:rPr>
        <w:t>联系</w:t>
      </w: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rPr>
      </w:pPr>
      <w:r>
        <w:rPr>
          <w:rFonts w:hint="eastAsia"/>
        </w:rPr>
        <w:t>1.采购人信息</w:t>
      </w: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u w:val="single"/>
          <w:lang w:eastAsia="zh-CN"/>
        </w:rPr>
      </w:pPr>
      <w:r>
        <w:rPr>
          <w:rFonts w:hint="eastAsia"/>
        </w:rPr>
        <w:t>名 称：</w:t>
      </w:r>
      <w:bookmarkStart w:id="34" w:name="PO_3000001871_PM026_1"/>
      <w:r>
        <w:rPr>
          <w:rFonts w:hint="eastAsia"/>
          <w:u w:val="single"/>
          <w:lang w:eastAsia="zh-CN"/>
        </w:rPr>
        <w:t>南宁高新技术产业开发区</w:t>
      </w:r>
      <w:r>
        <w:rPr>
          <w:rFonts w:hint="eastAsia"/>
          <w:u w:val="single"/>
          <w:lang w:val="en-US" w:eastAsia="zh-CN"/>
        </w:rPr>
        <w:t>教育</w:t>
      </w:r>
      <w:r>
        <w:rPr>
          <w:rFonts w:hint="eastAsia"/>
          <w:u w:val="single"/>
          <w:lang w:eastAsia="zh-CN"/>
        </w:rPr>
        <w:t>局</w:t>
      </w:r>
      <w:bookmarkEnd w:id="34"/>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lang w:eastAsia="zh-CN"/>
        </w:rPr>
      </w:pPr>
      <w:r>
        <w:rPr>
          <w:rFonts w:hint="eastAsia"/>
        </w:rPr>
        <w:t>地 址：</w:t>
      </w:r>
      <w:bookmarkStart w:id="35" w:name="PO_3000001871_PM030"/>
      <w:r>
        <w:rPr>
          <w:rFonts w:hint="eastAsia" w:ascii="宋体" w:hAnsi="宋体"/>
          <w:color w:val="000000"/>
          <w:szCs w:val="21"/>
          <w:u w:val="single"/>
          <w:lang w:eastAsia="zh-CN"/>
        </w:rPr>
        <w:t>南宁市西乡塘区滨河路1号火炬大厦8楼80</w:t>
      </w:r>
      <w:r>
        <w:rPr>
          <w:rFonts w:hint="eastAsia"/>
          <w:color w:val="000000"/>
          <w:szCs w:val="21"/>
          <w:u w:val="single"/>
          <w:lang w:val="en-US" w:eastAsia="zh-CN"/>
        </w:rPr>
        <w:t>3-2</w:t>
      </w:r>
      <w:r>
        <w:rPr>
          <w:rFonts w:hint="eastAsia" w:ascii="宋体" w:hAnsi="宋体"/>
          <w:color w:val="000000"/>
          <w:szCs w:val="21"/>
          <w:u w:val="single"/>
          <w:lang w:eastAsia="zh-CN"/>
        </w:rPr>
        <w:t xml:space="preserve"> </w:t>
      </w:r>
      <w:bookmarkEnd w:id="35"/>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lang w:eastAsia="zh-CN"/>
        </w:rPr>
      </w:pPr>
      <w:r>
        <w:rPr>
          <w:rFonts w:hint="eastAsia"/>
        </w:rPr>
        <w:t>项目联系人：</w:t>
      </w:r>
      <w:r>
        <w:rPr>
          <w:rFonts w:hint="eastAsia"/>
          <w:u w:val="single"/>
          <w:lang w:val="en-US" w:eastAsia="zh-CN"/>
        </w:rPr>
        <w:t>谢琼辉</w:t>
      </w: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default"/>
          <w:lang w:val="en-US" w:eastAsia="zh-CN"/>
        </w:rPr>
      </w:pPr>
      <w:r>
        <w:rPr>
          <w:rFonts w:hint="eastAsia"/>
        </w:rPr>
        <w:t>联系电话：</w:t>
      </w:r>
      <w:bookmarkStart w:id="36" w:name="PO_3000001871_PM028"/>
      <w:r>
        <w:rPr>
          <w:rFonts w:hint="eastAsia" w:ascii="宋体" w:hAnsi="宋体"/>
          <w:color w:val="000000"/>
          <w:szCs w:val="21"/>
          <w:u w:val="single"/>
          <w:lang w:eastAsia="zh-CN"/>
        </w:rPr>
        <w:t>0771-</w:t>
      </w:r>
      <w:bookmarkEnd w:id="36"/>
      <w:r>
        <w:rPr>
          <w:rFonts w:hint="eastAsia"/>
          <w:color w:val="000000"/>
          <w:szCs w:val="21"/>
          <w:u w:val="single"/>
          <w:lang w:val="en-US" w:eastAsia="zh-CN"/>
        </w:rPr>
        <w:t>3368232</w:t>
      </w: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rPr>
      </w:pPr>
      <w:r>
        <w:rPr>
          <w:rFonts w:hint="eastAsia"/>
        </w:rPr>
        <w:t>2.采购代理机构信息</w:t>
      </w: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lang w:eastAsia="zh-CN"/>
        </w:rPr>
      </w:pPr>
      <w:r>
        <w:rPr>
          <w:rFonts w:hint="eastAsia"/>
        </w:rPr>
        <w:t>名 称：</w:t>
      </w:r>
      <w:bookmarkStart w:id="37" w:name="PO_3000001871_PM031_1"/>
      <w:r>
        <w:rPr>
          <w:rFonts w:hint="eastAsia" w:ascii="宋体" w:hAnsi="宋体"/>
          <w:color w:val="000000"/>
          <w:szCs w:val="21"/>
          <w:u w:val="single"/>
          <w:lang w:eastAsia="zh-CN"/>
        </w:rPr>
        <w:t>南宁高新技术产业开发区</w:t>
      </w:r>
      <w:r>
        <w:rPr>
          <w:rFonts w:hint="eastAsia" w:ascii="宋体" w:hAnsi="宋体"/>
          <w:color w:val="000000"/>
          <w:szCs w:val="21"/>
          <w:u w:val="single"/>
          <w:lang w:val="en-US" w:eastAsia="zh-CN"/>
        </w:rPr>
        <w:t>公共资源交易</w:t>
      </w:r>
      <w:r>
        <w:rPr>
          <w:rFonts w:hint="eastAsia" w:ascii="宋体" w:hAnsi="宋体"/>
          <w:color w:val="000000"/>
          <w:szCs w:val="21"/>
          <w:u w:val="single"/>
          <w:lang w:eastAsia="zh-CN"/>
        </w:rPr>
        <w:t>中心</w:t>
      </w:r>
      <w:bookmarkEnd w:id="37"/>
    </w:p>
    <w:p>
      <w:pPr>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ascii="宋体" w:hAnsi="宋体" w:eastAsia="宋体"/>
          <w:color w:val="000000"/>
          <w:szCs w:val="21"/>
          <w:lang w:eastAsia="zh-CN"/>
        </w:rPr>
      </w:pPr>
      <w:r>
        <w:rPr>
          <w:rFonts w:hint="eastAsia" w:ascii="宋体" w:hAnsi="宋体" w:eastAsia="宋体" w:cs="宋体"/>
          <w:color w:val="000000"/>
          <w:kern w:val="0"/>
          <w:sz w:val="24"/>
          <w:szCs w:val="24"/>
          <w:lang w:val="en-US" w:eastAsia="zh-CN" w:bidi="ar-SA"/>
        </w:rPr>
        <w:t>地　址：</w:t>
      </w:r>
      <w:bookmarkStart w:id="38" w:name="PO_3000001871_PM030_1"/>
      <w:r>
        <w:rPr>
          <w:rFonts w:hint="eastAsia" w:ascii="宋体" w:hAnsi="宋体" w:eastAsia="宋体" w:cs="宋体"/>
          <w:color w:val="000000"/>
          <w:kern w:val="0"/>
          <w:sz w:val="24"/>
          <w:szCs w:val="24"/>
          <w:u w:val="single"/>
          <w:lang w:val="en-US" w:eastAsia="zh-CN" w:bidi="ar-SA"/>
        </w:rPr>
        <w:t>南宁市西乡塘区滨河路1号火炬大厦11楼1105</w:t>
      </w:r>
      <w:bookmarkEnd w:id="38"/>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default"/>
          <w:lang w:val="en-US" w:eastAsia="zh-CN"/>
        </w:rPr>
      </w:pPr>
      <w:r>
        <w:rPr>
          <w:rFonts w:hint="eastAsia"/>
        </w:rPr>
        <w:t>项目联系人：</w:t>
      </w:r>
      <w:r>
        <w:rPr>
          <w:rFonts w:hint="eastAsia"/>
          <w:u w:val="single"/>
          <w:lang w:val="en-US" w:eastAsia="zh-CN"/>
        </w:rPr>
        <w:t>杨孟仁、黄晓雲</w:t>
      </w: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default"/>
          <w:lang w:val="en-US" w:eastAsia="zh-CN"/>
        </w:rPr>
      </w:pPr>
      <w:r>
        <w:rPr>
          <w:rFonts w:hint="eastAsia"/>
        </w:rPr>
        <w:t>电    话：</w:t>
      </w:r>
      <w:r>
        <w:rPr>
          <w:rFonts w:hint="eastAsia"/>
          <w:lang w:val="en-US" w:eastAsia="zh-CN"/>
        </w:rPr>
        <w:t>0771-5816874、0771-5816774</w:t>
      </w: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rPr>
      </w:pP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rPr>
      </w:pPr>
    </w:p>
    <w:p>
      <w:pPr>
        <w:pStyle w:val="24"/>
        <w:keepNext w:val="0"/>
        <w:keepLines w:val="0"/>
        <w:pageBreakBefore w:val="0"/>
        <w:widowControl w:val="0"/>
        <w:kinsoku/>
        <w:wordWrap/>
        <w:overflowPunct/>
        <w:topLinePunct w:val="0"/>
        <w:bidi w:val="0"/>
        <w:snapToGrid/>
        <w:spacing w:line="380" w:lineRule="atLeast"/>
        <w:textAlignment w:val="auto"/>
        <w:rPr>
          <w:rFonts w:hint="eastAsia"/>
        </w:rPr>
      </w:pPr>
      <w:r>
        <w:rPr>
          <w:rFonts w:hint="eastAsia"/>
        </w:rPr>
        <w:t xml:space="preserve">附件： </w:t>
      </w:r>
    </w:p>
    <w:p>
      <w:pPr>
        <w:pStyle w:val="24"/>
        <w:keepNext w:val="0"/>
        <w:keepLines w:val="0"/>
        <w:pageBreakBefore w:val="0"/>
        <w:widowControl w:val="0"/>
        <w:kinsoku/>
        <w:wordWrap/>
        <w:overflowPunct/>
        <w:topLinePunct w:val="0"/>
        <w:autoSpaceDE w:val="0"/>
        <w:autoSpaceDN w:val="0"/>
        <w:bidi w:val="0"/>
        <w:adjustRightInd w:val="0"/>
        <w:snapToGrid/>
        <w:spacing w:line="380" w:lineRule="atLeast"/>
        <w:ind w:firstLine="480" w:firstLineChars="200"/>
        <w:textAlignment w:val="auto"/>
        <w:rPr>
          <w:rFonts w:hint="eastAsia"/>
        </w:rPr>
      </w:pPr>
      <w:r>
        <w:rPr>
          <w:rFonts w:hint="eastAsia"/>
        </w:rPr>
        <w:t>1.CA证书申请方式及操作指南下载地址（现场申请方式见网址：</w:t>
      </w:r>
      <w:r>
        <w:rPr>
          <w:rFonts w:hint="eastAsia"/>
        </w:rPr>
        <w:fldChar w:fldCharType="begin"/>
      </w:r>
      <w:r>
        <w:rPr>
          <w:rFonts w:hint="eastAsia"/>
        </w:rPr>
        <w:instrText xml:space="preserve"> HYPERLINK "http://www.ccgp-guangxi.gov.cn/OfficeService/DownloadArea/8354055.html?utm=a0003.39a112b4.cmp001.d0002.f0464b20ff2a11eb873141bf9e381949" </w:instrText>
      </w:r>
      <w:r>
        <w:rPr>
          <w:rFonts w:hint="eastAsia"/>
        </w:rPr>
        <w:fldChar w:fldCharType="separate"/>
      </w:r>
      <w:r>
        <w:rPr>
          <w:rFonts w:hint="eastAsia"/>
        </w:rPr>
        <w:t>http://www.ccgp-guangxi.gov.cn/OfficeService/DownloadArea/8354055.html?utm=a0003.39a112b4.cmp001.d0002.f0464b20ff2a11eb873141bf9e381949</w:t>
      </w:r>
      <w:r>
        <w:rPr>
          <w:rFonts w:hint="eastAsia"/>
        </w:rPr>
        <w:fldChar w:fldCharType="end"/>
      </w:r>
      <w:r>
        <w:rPr>
          <w:rFonts w:hint="eastAsia"/>
        </w:rPr>
        <w:t xml:space="preserve">（广西政府采购网）/网上申请方式见网址： </w:t>
      </w:r>
      <w:r>
        <w:rPr>
          <w:rFonts w:hint="eastAsia"/>
        </w:rPr>
        <w:fldChar w:fldCharType="begin"/>
      </w:r>
      <w:r>
        <w:rPr>
          <w:rFonts w:hint="eastAsia"/>
        </w:rPr>
        <w:instrText xml:space="preserve"> HYPERLINK "http://nncz.nanning.gov.cn/" </w:instrText>
      </w:r>
      <w:r>
        <w:rPr>
          <w:rFonts w:hint="eastAsia"/>
        </w:rPr>
        <w:fldChar w:fldCharType="separate"/>
      </w:r>
      <w:r>
        <w:rPr>
          <w:rFonts w:hint="eastAsia"/>
        </w:rPr>
        <w:t>http://nncz.nanning.gov.cn/</w:t>
      </w:r>
      <w:r>
        <w:rPr>
          <w:rFonts w:hint="eastAsia"/>
        </w:rPr>
        <w:fldChar w:fldCharType="end"/>
      </w:r>
      <w:r>
        <w:rPr>
          <w:rFonts w:hint="eastAsia"/>
        </w:rPr>
        <w:t>（南宁市财政局官网）-下载专区-南宁市政采云CA证书办理操作指南）</w:t>
      </w:r>
    </w:p>
    <w:p>
      <w:pPr>
        <w:pStyle w:val="24"/>
        <w:keepNext w:val="0"/>
        <w:keepLines w:val="0"/>
        <w:pageBreakBefore w:val="0"/>
        <w:widowControl w:val="0"/>
        <w:kinsoku/>
        <w:wordWrap/>
        <w:overflowPunct/>
        <w:topLinePunct w:val="0"/>
        <w:autoSpaceDE w:val="0"/>
        <w:autoSpaceDN w:val="0"/>
        <w:bidi w:val="0"/>
        <w:adjustRightInd w:val="0"/>
        <w:snapToGrid/>
        <w:spacing w:line="380" w:lineRule="atLeast"/>
        <w:ind w:firstLine="480" w:firstLineChars="200"/>
        <w:textAlignment w:val="auto"/>
        <w:rPr>
          <w:rFonts w:hint="eastAsia"/>
          <w:color w:val="FF0000"/>
          <w:u w:val="single"/>
        </w:rPr>
      </w:pPr>
      <w:r>
        <w:rPr>
          <w:rFonts w:hint="eastAsia"/>
          <w:color w:val="FF0000"/>
          <w:u w:val="single"/>
        </w:rPr>
        <w:t>2.电子投标文件制作与投送教程（在此网址下载：</w:t>
      </w:r>
      <w:r>
        <w:rPr>
          <w:rFonts w:hint="eastAsia"/>
          <w:color w:val="FF0000"/>
          <w:u w:val="single"/>
        </w:rPr>
        <w:fldChar w:fldCharType="begin"/>
      </w:r>
      <w:r>
        <w:rPr>
          <w:rFonts w:hint="eastAsia"/>
          <w:color w:val="FF0000"/>
          <w:u w:val="single"/>
        </w:rPr>
        <w:instrText xml:space="preserve"> HYPERLINK "http://nncz.nanning.gov.cn/" </w:instrText>
      </w:r>
      <w:r>
        <w:rPr>
          <w:rFonts w:hint="eastAsia"/>
          <w:color w:val="FF0000"/>
          <w:u w:val="single"/>
        </w:rPr>
        <w:fldChar w:fldCharType="separate"/>
      </w:r>
      <w:r>
        <w:rPr>
          <w:rFonts w:hint="eastAsia"/>
          <w:color w:val="FF0000"/>
          <w:u w:val="single"/>
        </w:rPr>
        <w:t>http://nncz.nanning.gov.cn/</w:t>
      </w:r>
      <w:r>
        <w:rPr>
          <w:rFonts w:hint="eastAsia"/>
          <w:color w:val="FF0000"/>
          <w:u w:val="single"/>
        </w:rPr>
        <w:fldChar w:fldCharType="end"/>
      </w:r>
      <w:r>
        <w:rPr>
          <w:rFonts w:hint="eastAsia"/>
          <w:color w:val="FF0000"/>
          <w:u w:val="single"/>
        </w:rPr>
        <w:t>（南宁市财政局官网）-下载专区）</w:t>
      </w: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color w:val="FF0000"/>
          <w:u w:val="single"/>
        </w:rPr>
      </w:pP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color w:val="FF0000"/>
          <w:u w:val="single"/>
        </w:rPr>
      </w:pPr>
    </w:p>
    <w:p>
      <w:pPr>
        <w:pStyle w:val="24"/>
        <w:keepNext w:val="0"/>
        <w:keepLines w:val="0"/>
        <w:pageBreakBefore w:val="0"/>
        <w:widowControl w:val="0"/>
        <w:kinsoku/>
        <w:wordWrap/>
        <w:overflowPunct/>
        <w:topLinePunct w:val="0"/>
        <w:bidi w:val="0"/>
        <w:snapToGrid/>
        <w:spacing w:line="380" w:lineRule="atLeast"/>
        <w:ind w:firstLine="480" w:firstLineChars="200"/>
        <w:textAlignment w:val="auto"/>
        <w:rPr>
          <w:rFonts w:hint="eastAsia"/>
          <w:color w:val="FF0000"/>
          <w:u w:val="single"/>
        </w:rPr>
      </w:pPr>
    </w:p>
    <w:p>
      <w:pPr>
        <w:pStyle w:val="24"/>
        <w:keepNext w:val="0"/>
        <w:keepLines w:val="0"/>
        <w:pageBreakBefore w:val="0"/>
        <w:widowControl w:val="0"/>
        <w:kinsoku/>
        <w:wordWrap/>
        <w:overflowPunct/>
        <w:topLinePunct w:val="0"/>
        <w:bidi w:val="0"/>
        <w:spacing w:line="380" w:lineRule="atLeast"/>
        <w:ind w:firstLine="480" w:firstLineChars="200"/>
        <w:jc w:val="right"/>
        <w:textAlignment w:val="auto"/>
        <w:rPr>
          <w:rFonts w:hint="eastAsia"/>
          <w:lang w:eastAsia="zh-CN"/>
        </w:rPr>
      </w:pPr>
      <w:bookmarkStart w:id="39" w:name="PO_3000001871_PM031_2"/>
      <w:r>
        <w:rPr>
          <w:rFonts w:hint="eastAsia"/>
          <w:lang w:eastAsia="zh-CN"/>
        </w:rPr>
        <w:t>南宁高新技术产业开发区</w:t>
      </w:r>
      <w:bookmarkEnd w:id="39"/>
      <w:r>
        <w:rPr>
          <w:rFonts w:hint="eastAsia"/>
          <w:lang w:val="en-US" w:eastAsia="zh-CN"/>
        </w:rPr>
        <w:t>公共资源交易中心</w:t>
      </w:r>
    </w:p>
    <w:p>
      <w:pPr>
        <w:pStyle w:val="24"/>
        <w:keepNext w:val="0"/>
        <w:keepLines w:val="0"/>
        <w:pageBreakBefore w:val="0"/>
        <w:widowControl w:val="0"/>
        <w:kinsoku/>
        <w:wordWrap/>
        <w:overflowPunct/>
        <w:topLinePunct w:val="0"/>
        <w:bidi w:val="0"/>
        <w:spacing w:line="380" w:lineRule="atLeast"/>
        <w:ind w:firstLine="480" w:firstLineChars="200"/>
        <w:jc w:val="center"/>
        <w:textAlignment w:val="auto"/>
        <w:rPr>
          <w:rFonts w:ascii="宋体" w:hAnsi="宋体"/>
          <w:color w:val="000000"/>
          <w:szCs w:val="21"/>
        </w:rPr>
        <w:sectPr>
          <w:pgSz w:w="11910" w:h="16840"/>
          <w:pgMar w:top="1520" w:right="1500" w:bottom="280" w:left="1680" w:header="720" w:footer="720" w:gutter="0"/>
          <w:cols w:space="720" w:num="1"/>
        </w:sectPr>
      </w:pPr>
      <w:r>
        <w:rPr>
          <w:rFonts w:hint="eastAsia"/>
          <w:lang w:val="en-US" w:eastAsia="zh-CN"/>
        </w:rPr>
        <w:t xml:space="preserve">                                      </w:t>
      </w:r>
      <w:r>
        <w:rPr>
          <w:rFonts w:hint="eastAsia"/>
          <w:highlight w:val="none"/>
          <w:lang w:val="en-US" w:eastAsia="zh-CN"/>
        </w:rPr>
        <w:t xml:space="preserve"> 2022</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19日</w:t>
      </w:r>
      <w:r>
        <w:rPr>
          <w:rFonts w:hint="eastAsia" w:ascii="宋体" w:hAnsi="宋体"/>
          <w:color w:val="000000"/>
          <w:szCs w:val="21"/>
          <w:highlight w:val="none"/>
        </w:rPr>
        <w:t xml:space="preserve"> </w:t>
      </w:r>
    </w:p>
    <w:p>
      <w:pPr>
        <w:pStyle w:val="3"/>
        <w:jc w:val="center"/>
        <w:rPr>
          <w:rFonts w:hint="eastAsia"/>
        </w:rPr>
      </w:pPr>
      <w:bookmarkStart w:id="40" w:name="_Toc80205921"/>
      <w:r>
        <w:rPr>
          <w:rFonts w:hint="eastAsia" w:ascii="Cambria" w:hAnsi="Cambria"/>
          <w:bCs w:val="0"/>
          <w:sz w:val="32"/>
          <w:szCs w:val="32"/>
        </w:rPr>
        <w:t>第二章 采购需求</w:t>
      </w:r>
      <w:bookmarkEnd w:id="40"/>
    </w:p>
    <w:p>
      <w:pPr>
        <w:pStyle w:val="24"/>
        <w:spacing w:line="360" w:lineRule="auto"/>
        <w:rPr>
          <w:rFonts w:hint="eastAsia"/>
          <w:b/>
          <w:bCs/>
        </w:rPr>
      </w:pPr>
      <w:r>
        <w:rPr>
          <w:rFonts w:hint="eastAsia"/>
          <w:b/>
          <w:bCs/>
        </w:rPr>
        <w:t>说明：</w:t>
      </w:r>
    </w:p>
    <w:p>
      <w:pPr>
        <w:pStyle w:val="24"/>
        <w:spacing w:line="360" w:lineRule="auto"/>
        <w:ind w:firstLine="480" w:firstLineChars="200"/>
        <w:rPr>
          <w:rFonts w:hint="eastAsia"/>
        </w:rPr>
      </w:pPr>
      <w:r>
        <w:rPr>
          <w:rFonts w:hint="eastAsia"/>
        </w:rPr>
        <w:t>1.为落实政府采购政策需满足的要求</w:t>
      </w:r>
    </w:p>
    <w:p>
      <w:pPr>
        <w:pStyle w:val="24"/>
        <w:spacing w:line="360" w:lineRule="auto"/>
        <w:ind w:firstLine="480" w:firstLineChars="200"/>
        <w:rPr>
          <w:rFonts w:hint="eastAsia"/>
        </w:rPr>
      </w:pPr>
      <w:r>
        <w:rPr>
          <w:rFonts w:hint="eastAsia"/>
        </w:rPr>
        <w:t>（1）本竞争性谈判采购文件所称中小企业必须符合《政府采购促进中小企业发展管理办法》（财库〔2020〕46号）的规定。</w:t>
      </w:r>
    </w:p>
    <w:p>
      <w:pPr>
        <w:spacing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pPr>
        <w:pStyle w:val="24"/>
        <w:spacing w:line="360" w:lineRule="auto"/>
        <w:ind w:firstLine="482" w:firstLineChars="200"/>
        <w:rPr>
          <w:rFonts w:hint="eastAsia"/>
          <w:b/>
          <w:bCs/>
        </w:rPr>
      </w:pPr>
      <w:r>
        <w:rPr>
          <w:rFonts w:hint="eastAsia"/>
          <w:b/>
          <w:bCs/>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pPr>
        <w:pStyle w:val="24"/>
        <w:spacing w:line="360" w:lineRule="auto"/>
        <w:ind w:firstLine="482" w:firstLineChars="200"/>
        <w:rPr>
          <w:rFonts w:hint="eastAsia"/>
          <w:b/>
          <w:bCs/>
        </w:rPr>
      </w:pPr>
      <w:r>
        <w:rPr>
          <w:rFonts w:hint="eastAsia"/>
          <w:b/>
          <w:bCs/>
        </w:rPr>
        <w:t>2.“实质性要求”是指采购需求中带“▲”的条款或者不能负偏离的条款或者已经指明不满足按响应文件作无效处理的条款。</w:t>
      </w:r>
    </w:p>
    <w:p>
      <w:pPr>
        <w:pStyle w:val="24"/>
        <w:spacing w:line="360" w:lineRule="auto"/>
        <w:ind w:firstLine="480" w:firstLineChars="200"/>
        <w:rPr>
          <w:rFonts w:hint="eastAsia"/>
          <w:lang w:eastAsia="zh-CN"/>
        </w:rPr>
      </w:pPr>
      <w:r>
        <w:rPr>
          <w:rFonts w:hint="eastAsia"/>
        </w:rPr>
        <w:t>3.供应商必须自行为其竞标产品侵犯他人的知识产权或者专利成果的行为承担相应法律责任。</w:t>
      </w:r>
    </w:p>
    <w:p>
      <w:pPr>
        <w:pStyle w:val="8"/>
        <w:spacing w:line="420" w:lineRule="exact"/>
        <w:rPr>
          <w:rFonts w:hint="eastAsia" w:ascii="宋体" w:hAnsi="宋体" w:cs="宋体"/>
          <w:b/>
          <w:bCs/>
          <w:sz w:val="24"/>
        </w:rPr>
      </w:pPr>
      <w:r>
        <w:rPr>
          <w:rFonts w:hint="eastAsia" w:ascii="宋体" w:hAnsi="宋体" w:cs="宋体"/>
          <w:b/>
          <w:bCs/>
          <w:szCs w:val="21"/>
        </w:rPr>
        <w:br w:type="page"/>
      </w:r>
    </w:p>
    <w:tbl>
      <w:tblPr>
        <w:tblStyle w:val="21"/>
        <w:tblW w:w="89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95"/>
        <w:gridCol w:w="307"/>
        <w:gridCol w:w="1144"/>
        <w:gridCol w:w="499"/>
        <w:gridCol w:w="450"/>
        <w:gridCol w:w="4279"/>
        <w:gridCol w:w="1000"/>
        <w:gridCol w:w="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9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bookmarkStart w:id="41" w:name="PO_TDCUS_ITEM_PB_REQ_FILE_2_1"/>
            <w:r>
              <w:rPr>
                <w:rFonts w:hint="eastAsia" w:ascii="宋体" w:hAnsi="宋体" w:eastAsia="宋体" w:cs="宋体"/>
                <w:b/>
                <w:i w:val="0"/>
                <w:color w:val="000000"/>
                <w:kern w:val="0"/>
                <w:sz w:val="21"/>
                <w:szCs w:val="21"/>
                <w:u w:val="none"/>
                <w:lang w:val="en-US" w:eastAsia="zh-CN" w:bidi="ar"/>
              </w:rPr>
              <w:t>货物需求一览表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采购清单及货物参数</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项号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采购货物名称</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单位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数量</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货物参数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分项预算合计（元）</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中小企业划分标准所属行业名称（行业名称及划分见本章附件</w:t>
            </w:r>
            <w:r>
              <w:rPr>
                <w:rStyle w:val="27"/>
                <w:rFonts w:eastAsia="宋体"/>
                <w:b w:val="0"/>
                <w:bCs w:val="0"/>
                <w:sz w:val="21"/>
                <w:szCs w:val="21"/>
                <w:lang w:val="en-US" w:eastAsia="zh-CN" w:bidi="ar"/>
              </w:rPr>
              <w:t>2</w:t>
            </w:r>
            <w:r>
              <w:rPr>
                <w:rStyle w:val="33"/>
                <w:b w:val="0"/>
                <w:bCs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6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一、标准化考场视频监控系统</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1"/>
                <w:szCs w:val="21"/>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网络摄像机</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1"/>
                <w:szCs w:val="21"/>
                <w:highlight w:val="yellow"/>
                <w:u w:val="none"/>
                <w:lang w:val="en-US" w:eastAsia="zh-CN" w:bidi="ar"/>
              </w:rPr>
            </w:pPr>
            <w:r>
              <w:rPr>
                <w:rFonts w:hint="eastAsia" w:ascii="宋体" w:hAnsi="宋体" w:cs="宋体"/>
                <w:color w:val="000000"/>
                <w:szCs w:val="21"/>
              </w:rPr>
              <w:t>▲</w:t>
            </w: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符合《国家教育考试网上巡查系统视频标准技术规范（2017版）》相关技术规范</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color w:val="000000"/>
                <w:szCs w:val="21"/>
              </w:rPr>
              <w:t>▲</w:t>
            </w:r>
            <w:r>
              <w:rPr>
                <w:rFonts w:hint="eastAsia" w:ascii="宋体" w:hAnsi="宋体" w:eastAsia="宋体" w:cs="宋体"/>
                <w:i w:val="0"/>
                <w:color w:val="000000"/>
                <w:kern w:val="0"/>
                <w:sz w:val="21"/>
                <w:szCs w:val="21"/>
                <w:u w:val="none"/>
                <w:lang w:val="en-US" w:eastAsia="zh-CN" w:bidi="ar"/>
              </w:rPr>
              <w:t>2.</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采用超低照度，≥</w:t>
            </w:r>
            <w:r>
              <w:rPr>
                <w:rFonts w:hint="eastAsia" w:ascii="宋体" w:hAnsi="宋体" w:eastAsia="宋体" w:cs="宋体"/>
                <w:i w:val="0"/>
                <w:color w:val="000000"/>
                <w:kern w:val="0"/>
                <w:sz w:val="21"/>
                <w:szCs w:val="21"/>
                <w:highlight w:val="none"/>
                <w:u w:val="none"/>
                <w:lang w:val="en-US" w:eastAsia="zh-CN" w:bidi="ar"/>
              </w:rPr>
              <w:t>200万(1920×1080)像素，1/2.7英寸C</w:t>
            </w:r>
            <w:r>
              <w:rPr>
                <w:rFonts w:hint="eastAsia" w:ascii="宋体" w:hAnsi="宋体" w:eastAsia="宋体" w:cs="宋体"/>
                <w:i w:val="0"/>
                <w:color w:val="000000"/>
                <w:kern w:val="0"/>
                <w:sz w:val="21"/>
                <w:szCs w:val="21"/>
                <w:u w:val="none"/>
                <w:lang w:val="en-US" w:eastAsia="zh-CN" w:bidi="ar"/>
              </w:rPr>
              <w:t>MOS图像传感器，低照度（彩色</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0.001Lx,黑白</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0.0001Lx）；镜头焦距：2.</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7mm~12mm</w:t>
            </w:r>
            <w:r>
              <w:rPr>
                <w:rFonts w:hint="eastAsia" w:ascii="宋体" w:hAnsi="宋体" w:cs="宋体"/>
                <w:i w:val="0"/>
                <w:color w:val="000000"/>
                <w:kern w:val="0"/>
                <w:sz w:val="21"/>
                <w:szCs w:val="21"/>
                <w:u w:val="none"/>
                <w:lang w:val="en-US" w:eastAsia="zh-CN" w:bidi="ar"/>
              </w:rPr>
              <w:t>。</w:t>
            </w:r>
            <w:r>
              <w:rPr>
                <w:rFonts w:hint="eastAsia" w:ascii="宋体" w:hAnsi="宋体" w:cs="宋体"/>
                <w:color w:val="000000"/>
                <w:kern w:val="0"/>
                <w:szCs w:val="21"/>
                <w:highlight w:val="none"/>
                <w:u w:val="none"/>
                <w:lang w:bidi="ar"/>
              </w:rPr>
              <w:t>投标时提供国家认可的有资质的第三方检验检测机构出具的合格检验检测报告复印件，检验检测报告可以是投标人自己送检的，也可以是生产厂家的或者是原材料供应商的，并加盖投标人公章,签订合同前须提供原件备查或提供可以查询证明复印件真实性和完整性的方式和渠道</w:t>
            </w:r>
            <w:r>
              <w:rPr>
                <w:rFonts w:hint="eastAsia" w:ascii="宋体" w:hAnsi="宋体" w:cs="宋体"/>
                <w:color w:val="000000"/>
                <w:kern w:val="0"/>
                <w:szCs w:val="21"/>
                <w:highlight w:val="none"/>
                <w:u w:val="none"/>
                <w:lang w:eastAsia="zh-CN" w:bidi="ar"/>
              </w:rPr>
              <w:t>。</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输出≥200万（1920*1080）像素，达到高分辨率实时或高帧率图像输出</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采用H.264 High profile编码，压缩比高，超低码流；支持MPEG-4视频编码、支持MPEG  Layer II、G711和AAC音频编码标准，并支持PS系统流和TS传输流的封装</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支持感兴趣区域(ROI)编码，保证有用图像质量</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支持可伸缩视频编码（SVC）技术，可根据网络环境，自适应传输码率</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支持三码流，ACF（活动帧率控制）；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智能侦测：支持区域入侵，拌线入侵，物品遗留/消失，虚焦侦测，场景变更的侦测，并且可以与报警联动；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支持宽动态，3D降噪、强光抑制、背光补偿；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支持≥128G micro SD卡存储、报警等接口及录像断网续传；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color w:val="000000"/>
                <w:szCs w:val="21"/>
              </w:rPr>
              <w:t>▲</w:t>
            </w:r>
            <w:r>
              <w:rPr>
                <w:rFonts w:hint="eastAsia" w:ascii="宋体" w:hAnsi="宋体" w:eastAsia="宋体" w:cs="宋体"/>
                <w:i w:val="0"/>
                <w:color w:val="000000"/>
                <w:kern w:val="0"/>
                <w:sz w:val="21"/>
                <w:szCs w:val="21"/>
                <w:u w:val="none"/>
                <w:lang w:val="en-US" w:eastAsia="zh-CN" w:bidi="ar"/>
              </w:rPr>
              <w:t>11.支持智能红外功能：当开启红外灯光功能后，能根据所射目标距离自动调节红外辐射功率</w:t>
            </w:r>
            <w:r>
              <w:rPr>
                <w:rFonts w:hint="eastAsia" w:ascii="宋体" w:hAnsi="宋体" w:cs="宋体"/>
                <w:i w:val="0"/>
                <w:color w:val="000000"/>
                <w:kern w:val="0"/>
                <w:sz w:val="21"/>
                <w:szCs w:val="21"/>
                <w:u w:val="none"/>
                <w:lang w:val="en-US" w:eastAsia="zh-CN" w:bidi="ar"/>
              </w:rPr>
              <w:t>。</w:t>
            </w:r>
            <w:r>
              <w:rPr>
                <w:rFonts w:hint="eastAsia" w:ascii="宋体" w:hAnsi="宋体" w:cs="宋体"/>
                <w:color w:val="000000"/>
                <w:kern w:val="0"/>
                <w:szCs w:val="21"/>
                <w:highlight w:val="none"/>
                <w:u w:val="none"/>
                <w:lang w:bidi="ar"/>
              </w:rPr>
              <w:t>投标时提供国家认可的有资质的第三方检验检测机构出具的合格检验检测报告复印件，检验检测报告可以是投标人自己送检的，也可以是生产厂家的或者是原材料供应商的，并加盖投标人公章,签订合同前须提供原件备查或提供可以查询证明复印件真实性和完整性的方式和渠道</w:t>
            </w:r>
            <w:r>
              <w:rPr>
                <w:rFonts w:hint="eastAsia" w:ascii="宋体" w:hAnsi="宋体" w:cs="宋体"/>
                <w:color w:val="000000"/>
                <w:kern w:val="0"/>
                <w:szCs w:val="21"/>
                <w:highlight w:val="none"/>
                <w:u w:val="none"/>
                <w:lang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color w:val="000000"/>
                <w:szCs w:val="21"/>
              </w:rPr>
              <w:t>▲</w:t>
            </w:r>
            <w:r>
              <w:rPr>
                <w:rFonts w:hint="eastAsia" w:ascii="宋体" w:hAnsi="宋体" w:eastAsia="宋体" w:cs="宋体"/>
                <w:i w:val="0"/>
                <w:color w:val="000000"/>
                <w:kern w:val="0"/>
                <w:sz w:val="21"/>
                <w:szCs w:val="21"/>
                <w:u w:val="none"/>
                <w:lang w:val="en-US" w:eastAsia="zh-CN" w:bidi="ar"/>
              </w:rPr>
              <w:t>12.支持DC12V/POE;AC24V/POE供电方式，采用三轴旋转结构</w:t>
            </w:r>
            <w:r>
              <w:rPr>
                <w:rFonts w:hint="eastAsia" w:ascii="宋体" w:hAnsi="宋体" w:cs="宋体"/>
                <w:i w:val="0"/>
                <w:color w:val="000000"/>
                <w:kern w:val="0"/>
                <w:sz w:val="21"/>
                <w:szCs w:val="21"/>
                <w:u w:val="none"/>
                <w:lang w:val="en-US" w:eastAsia="zh-CN" w:bidi="ar"/>
              </w:rPr>
              <w:t>。</w:t>
            </w:r>
            <w:r>
              <w:rPr>
                <w:rFonts w:hint="eastAsia" w:ascii="宋体" w:hAnsi="宋体" w:cs="宋体"/>
                <w:color w:val="000000"/>
                <w:kern w:val="0"/>
                <w:szCs w:val="21"/>
                <w:highlight w:val="none"/>
                <w:u w:val="none"/>
                <w:lang w:bidi="ar"/>
              </w:rPr>
              <w:t>投标时提供国家认可的有资质的第三方检验检测机构出具的合格检验检测报告复印件，检验检测报告可以是投标人自己送检的，也可以是生产厂家的或者是原材料供应商的，并加盖投标人公章,签订合同前须提供原件备查或提供可以查询证明复印件真实性和完整性的方式和渠道</w:t>
            </w:r>
            <w:r>
              <w:rPr>
                <w:rFonts w:hint="eastAsia" w:ascii="宋体" w:hAnsi="宋体" w:cs="宋体"/>
                <w:color w:val="000000"/>
                <w:kern w:val="0"/>
                <w:szCs w:val="21"/>
                <w:highlight w:val="none"/>
                <w:u w:val="none"/>
                <w:lang w:eastAsia="zh-CN" w:bidi="ar"/>
              </w:rPr>
              <w:t>。</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13.支持人脸侦测，侦测视频的中是否有人脸出现，并根据判断结果联动；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14.支持音频侦测，检测出无音源输入、环境噪声过滤、突发尖叫事件提醒；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15.防护等级</w:t>
            </w:r>
            <w:r>
              <w:rPr>
                <w:rFonts w:hint="eastAsia" w:ascii="宋体" w:hAnsi="宋体" w:eastAsia="宋体" w:cs="宋体"/>
                <w:i w:val="0"/>
                <w:color w:val="000000"/>
                <w:kern w:val="0"/>
                <w:sz w:val="21"/>
                <w:szCs w:val="21"/>
                <w:highlight w:val="none"/>
                <w:u w:val="none"/>
                <w:lang w:val="en-US" w:eastAsia="zh-CN" w:bidi="ar"/>
              </w:rPr>
              <w:t>：≥IP67，≥IK10。</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lang w:eastAsia="zh-CN"/>
              </w:rPr>
            </w:pPr>
            <w:r>
              <w:rPr>
                <w:rFonts w:hint="eastAsia" w:ascii="宋体" w:hAnsi="宋体" w:cs="宋体"/>
                <w:color w:val="000000"/>
                <w:szCs w:val="21"/>
              </w:rPr>
              <w:t>▲</w:t>
            </w: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.必须实现与南宁市高新区教育局标准化考场指挥中心系统互联互通，与南宁市招生考试院国家教育考试巡查指挥中心互联互通，投标时投标人提供互联</w:t>
            </w:r>
            <w:r>
              <w:rPr>
                <w:rFonts w:hint="eastAsia" w:ascii="宋体" w:hAnsi="宋体" w:eastAsia="宋体" w:cs="宋体"/>
                <w:i w:val="0"/>
                <w:color w:val="000000"/>
                <w:kern w:val="0"/>
                <w:sz w:val="21"/>
                <w:szCs w:val="21"/>
                <w:highlight w:val="none"/>
                <w:u w:val="none"/>
                <w:lang w:val="en-US" w:eastAsia="zh-CN" w:bidi="ar"/>
              </w:rPr>
              <w:t>互通承诺函。</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112860.00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拾音器</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音频传输距离：</w:t>
            </w:r>
            <w:r>
              <w:rPr>
                <w:rFonts w:hint="eastAsia" w:ascii="宋体" w:hAnsi="宋体" w:eastAsia="宋体" w:cs="宋体"/>
                <w:i w:val="0"/>
                <w:color w:val="000000"/>
                <w:kern w:val="0"/>
                <w:sz w:val="21"/>
                <w:szCs w:val="21"/>
                <w:highlight w:val="none"/>
                <w:u w:val="none"/>
                <w:lang w:val="en-US" w:eastAsia="zh-CN" w:bidi="ar"/>
              </w:rPr>
              <w:t>≥300米</w:t>
            </w:r>
            <w:r>
              <w:rPr>
                <w:rFonts w:hint="eastAsia" w:ascii="宋体" w:hAnsi="宋体" w:cs="宋体"/>
                <w:i w:val="0"/>
                <w:color w:val="000000"/>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频率响应：100Hz～10000Hz</w:t>
            </w:r>
            <w:r>
              <w:rPr>
                <w:rFonts w:hint="eastAsia" w:ascii="宋体" w:hAnsi="宋体" w:cs="宋体"/>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 xml:space="preserve">灵 敏 度：－50dB </w:t>
            </w:r>
            <w:r>
              <w:rPr>
                <w:rFonts w:hint="eastAsia" w:ascii="宋体" w:hAnsi="宋体" w:cs="宋体"/>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 xml:space="preserve">指向特性：全向性 </w:t>
            </w:r>
            <w:r>
              <w:rPr>
                <w:rFonts w:hint="eastAsia" w:ascii="宋体" w:hAnsi="宋体" w:cs="宋体"/>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最大承受音压：120dB SPL（1KHz,THD 1%）</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输出阻抗：600～1000欧姆非平衡</w:t>
            </w:r>
            <w:r>
              <w:rPr>
                <w:rFonts w:hint="eastAsia" w:ascii="宋体" w:hAnsi="宋体" w:cs="宋体"/>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输出信号幅度：2.5Vpp/-25db</w:t>
            </w:r>
            <w:r>
              <w:rPr>
                <w:rFonts w:hint="eastAsia" w:ascii="宋体" w:hAnsi="宋体" w:cs="宋体"/>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麦 克 风：电容咪头</w:t>
            </w:r>
            <w:r>
              <w:rPr>
                <w:rFonts w:hint="eastAsia" w:ascii="宋体" w:hAnsi="宋体" w:cs="宋体"/>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电源电压：直流稳压DC4V～14V</w:t>
            </w:r>
            <w:r>
              <w:rPr>
                <w:rFonts w:hint="eastAsia" w:ascii="宋体" w:hAnsi="宋体" w:cs="宋体"/>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w:t>
            </w:r>
            <w:r>
              <w:rPr>
                <w:rFonts w:hint="eastAsia" w:ascii="宋体" w:hAnsi="宋体" w:eastAsia="宋体" w:cs="宋体"/>
                <w:i w:val="0"/>
                <w:color w:val="000000"/>
                <w:kern w:val="0"/>
                <w:sz w:val="21"/>
                <w:szCs w:val="21"/>
                <w:u w:val="none"/>
                <w:lang w:val="en-US" w:eastAsia="zh-CN" w:bidi="ar"/>
              </w:rPr>
              <w:t>电源电流：15 mA</w:t>
            </w:r>
            <w:r>
              <w:rPr>
                <w:rFonts w:hint="eastAsia" w:ascii="宋体" w:hAnsi="宋体" w:cs="宋体"/>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11.</w:t>
            </w:r>
            <w:r>
              <w:rPr>
                <w:rFonts w:hint="eastAsia" w:ascii="宋体" w:hAnsi="宋体" w:eastAsia="宋体" w:cs="宋体"/>
                <w:i w:val="0"/>
                <w:color w:val="000000"/>
                <w:kern w:val="0"/>
                <w:sz w:val="21"/>
                <w:szCs w:val="21"/>
                <w:u w:val="none"/>
                <w:lang w:val="en-US" w:eastAsia="zh-CN" w:bidi="ar"/>
              </w:rPr>
              <w:t>环境温度：－25℃～50℃</w:t>
            </w:r>
            <w:r>
              <w:rPr>
                <w:rFonts w:hint="eastAsia" w:ascii="宋体" w:hAnsi="宋体" w:cs="宋体"/>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12.</w:t>
            </w:r>
            <w:r>
              <w:rPr>
                <w:rFonts w:hint="eastAsia" w:ascii="宋体" w:hAnsi="宋体" w:eastAsia="宋体" w:cs="宋体"/>
                <w:i w:val="0"/>
                <w:color w:val="000000"/>
                <w:kern w:val="0"/>
                <w:sz w:val="21"/>
                <w:szCs w:val="21"/>
                <w:u w:val="none"/>
                <w:lang w:val="en-US" w:eastAsia="zh-CN" w:bidi="ar"/>
              </w:rPr>
              <w:t>颜色：白色</w:t>
            </w:r>
            <w:r>
              <w:rPr>
                <w:rFonts w:hint="eastAsia" w:ascii="宋体" w:hAnsi="宋体" w:cs="宋体"/>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13.</w:t>
            </w:r>
            <w:r>
              <w:rPr>
                <w:rFonts w:hint="eastAsia" w:ascii="宋体" w:hAnsi="宋体" w:eastAsia="宋体" w:cs="宋体"/>
                <w:i w:val="0"/>
                <w:color w:val="000000"/>
                <w:kern w:val="0"/>
                <w:sz w:val="21"/>
                <w:szCs w:val="21"/>
                <w:u w:val="none"/>
                <w:lang w:val="en-US" w:eastAsia="zh-CN" w:bidi="ar"/>
              </w:rPr>
              <w:t>外壳材质：PVC</w:t>
            </w:r>
            <w:r>
              <w:rPr>
                <w:rFonts w:hint="eastAsia" w:ascii="宋体" w:hAnsi="宋体" w:cs="宋体"/>
                <w:i w:val="0"/>
                <w:color w:val="00000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4560.00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标考高清SIP转发管理三合一平台</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Cs w:val="21"/>
                <w:highlight w:val="none"/>
                <w:u w:val="none"/>
                <w:lang w:eastAsia="zh-CN" w:bidi="ar"/>
              </w:rPr>
            </w:pPr>
            <w:r>
              <w:rPr>
                <w:rFonts w:hint="eastAsia" w:ascii="宋体" w:hAnsi="宋体" w:cs="宋体"/>
                <w:color w:val="000000"/>
                <w:szCs w:val="21"/>
              </w:rPr>
              <w:t>▲</w:t>
            </w:r>
            <w:r>
              <w:rPr>
                <w:rFonts w:hint="eastAsia" w:ascii="宋体" w:hAnsi="宋体" w:eastAsia="宋体" w:cs="宋体"/>
                <w:i w:val="0"/>
                <w:color w:val="000000"/>
                <w:kern w:val="0"/>
                <w:sz w:val="21"/>
                <w:szCs w:val="21"/>
                <w:u w:val="none"/>
                <w:lang w:val="en-US" w:eastAsia="zh-CN" w:bidi="ar"/>
              </w:rPr>
              <w:t>1.符合《国家教育考试网上巡查系统视频标准技术规范（2017版）》</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2.嵌入式设备，具备实时操作系统，本身具有抗病毒和抗攻击能力</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color w:val="000000"/>
                <w:szCs w:val="21"/>
              </w:rPr>
              <w:t>▲</w:t>
            </w:r>
            <w:r>
              <w:rPr>
                <w:rFonts w:hint="eastAsia" w:ascii="宋体" w:hAnsi="宋体" w:eastAsia="宋体" w:cs="宋体"/>
                <w:i w:val="0"/>
                <w:color w:val="000000"/>
                <w:kern w:val="0"/>
                <w:sz w:val="21"/>
                <w:szCs w:val="21"/>
                <w:u w:val="none"/>
                <w:lang w:val="en-US" w:eastAsia="zh-CN" w:bidi="ar"/>
              </w:rPr>
              <w:t>3.支持IP、UDP、RTP、RTCP、SIP、TCP/IP、DHCP、PPPOE等网络协议</w:t>
            </w:r>
            <w:r>
              <w:rPr>
                <w:rFonts w:hint="eastAsia" w:ascii="宋体" w:hAnsi="宋体" w:cs="宋体"/>
                <w:i w:val="0"/>
                <w:color w:val="000000"/>
                <w:kern w:val="0"/>
                <w:sz w:val="21"/>
                <w:szCs w:val="21"/>
                <w:u w:val="none"/>
                <w:lang w:val="en-US" w:eastAsia="zh-CN" w:bidi="ar"/>
              </w:rPr>
              <w:t>。</w:t>
            </w:r>
            <w:r>
              <w:rPr>
                <w:rFonts w:hint="eastAsia" w:ascii="宋体" w:hAnsi="宋体" w:cs="宋体"/>
                <w:color w:val="000000"/>
                <w:kern w:val="0"/>
                <w:szCs w:val="21"/>
                <w:highlight w:val="none"/>
                <w:u w:val="none"/>
                <w:lang w:bidi="ar"/>
              </w:rPr>
              <w:t>投标时提供国家认可的有资质的第三方检验检测机构出具的合格检验检测报告复印件，检验检测报告可以是投标人自己送检的，也可以是生产厂家的或者是原材料供应商的，并加盖投标人公章,签订合同前须提供原件备查或提供可以查询证明复印件真实性和完整性的方式和渠道</w:t>
            </w:r>
            <w:r>
              <w:rPr>
                <w:rFonts w:hint="eastAsia" w:ascii="宋体" w:hAnsi="宋体" w:cs="宋体"/>
                <w:color w:val="000000"/>
                <w:kern w:val="0"/>
                <w:szCs w:val="21"/>
                <w:highlight w:val="none"/>
                <w:u w:val="none"/>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4.双转发分布式部署协同工作，满足大路数高清视频流的转发需求；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5.支持用户与考场进行实时语音对讲；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6.支持点播、组播、广播，支持视频多路复用，视频传输优先级控制；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7.支持转发干线传输协议：在巡查系统中转发服务器与转发服务器之间建立一个双向视频传输通道</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实现最底层巡查系统（学校级巡查系统）不需要外网IP(或NAT映射)就可实现和上级巡查系统的对接</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8.支持网络拥塞控制等功能；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9.支持视频多路复用；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10.视频路由控制；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11.视频传输优先级控制；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12.音/视频数据压缩及封装；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color w:val="000000"/>
                <w:szCs w:val="21"/>
              </w:rPr>
              <w:t>▲</w:t>
            </w:r>
            <w:r>
              <w:rPr>
                <w:rFonts w:hint="eastAsia" w:ascii="宋体" w:hAnsi="宋体" w:eastAsia="宋体" w:cs="宋体"/>
                <w:i w:val="0"/>
                <w:color w:val="000000"/>
                <w:kern w:val="0"/>
                <w:sz w:val="21"/>
                <w:szCs w:val="21"/>
                <w:u w:val="none"/>
                <w:lang w:val="en-US" w:eastAsia="zh-CN" w:bidi="ar"/>
              </w:rPr>
              <w:t>13.必须实现与南宁市高新区教育局标准化考场指挥中心系统互联互通，与南宁市招生考试院国家教育考试巡查指挥中心互联互通，投标时投标人提供互联互通</w:t>
            </w:r>
            <w:r>
              <w:rPr>
                <w:rFonts w:hint="eastAsia" w:ascii="宋体" w:hAnsi="宋体" w:eastAsia="宋体" w:cs="宋体"/>
                <w:i w:val="0"/>
                <w:color w:val="000000"/>
                <w:kern w:val="0"/>
                <w:sz w:val="21"/>
                <w:szCs w:val="21"/>
                <w:highlight w:val="none"/>
                <w:u w:val="none"/>
                <w:lang w:val="en-US" w:eastAsia="zh-CN" w:bidi="ar"/>
              </w:rPr>
              <w:t>承诺函</w:t>
            </w:r>
            <w:r>
              <w:rPr>
                <w:rFonts w:hint="eastAsia" w:ascii="宋体" w:hAnsi="宋体" w:eastAsia="宋体" w:cs="宋体"/>
                <w:i w:val="0"/>
                <w:color w:val="00000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48800.00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标考网络流媒体存储平台</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Cs w:val="21"/>
                <w:highlight w:val="none"/>
                <w:u w:val="none"/>
                <w:lang w:eastAsia="zh-CN" w:bidi="ar"/>
              </w:rPr>
            </w:pPr>
            <w:r>
              <w:rPr>
                <w:rFonts w:hint="eastAsia" w:ascii="宋体" w:hAnsi="宋体" w:cs="宋体"/>
                <w:color w:val="000000"/>
                <w:szCs w:val="21"/>
              </w:rPr>
              <w:t>▲</w:t>
            </w:r>
            <w:r>
              <w:rPr>
                <w:rFonts w:hint="eastAsia" w:ascii="宋体" w:hAnsi="宋体" w:eastAsia="宋体" w:cs="宋体"/>
                <w:i w:val="0"/>
                <w:color w:val="000000"/>
                <w:kern w:val="0"/>
                <w:sz w:val="21"/>
                <w:szCs w:val="21"/>
                <w:u w:val="none"/>
                <w:lang w:val="en-US" w:eastAsia="zh-CN" w:bidi="ar"/>
              </w:rPr>
              <w:t>1.符合《国家教育考试网上巡查系统视频标准技术规范（2017版）》相关技术规范；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2.支持嵌入式Linux系统，工业级嵌入式微控制器</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3.支持最大64路网络视频接入，网络性能不低于接入384Mbps，储存384Mbps，转发384Mbps</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color w:val="000000"/>
                <w:szCs w:val="21"/>
              </w:rPr>
              <w:t>▲</w:t>
            </w:r>
            <w:r>
              <w:rPr>
                <w:rFonts w:hint="eastAsia" w:ascii="宋体" w:hAnsi="宋体" w:eastAsia="宋体" w:cs="宋体"/>
                <w:i w:val="0"/>
                <w:color w:val="000000"/>
                <w:kern w:val="0"/>
                <w:sz w:val="21"/>
                <w:szCs w:val="21"/>
                <w:u w:val="none"/>
                <w:lang w:val="en-US" w:eastAsia="zh-CN" w:bidi="ar"/>
              </w:rPr>
              <w:t>4.支持≥16个SATA接口，单盘容量支持6TB，支持Raid0、Raid1、Raid5、Raid6、JBOD等多种数据模式。</w:t>
            </w:r>
            <w:r>
              <w:rPr>
                <w:rFonts w:hint="eastAsia" w:ascii="宋体" w:hAnsi="宋体" w:cs="宋体"/>
                <w:color w:val="000000"/>
                <w:kern w:val="0"/>
                <w:szCs w:val="21"/>
                <w:highlight w:val="none"/>
                <w:u w:val="none"/>
                <w:lang w:bidi="ar"/>
              </w:rPr>
              <w:t>投标时提供国家认可的有资质的第三方检验检测机构出具的合格检验检测报告复印件，检验检测报告可以是投标人自己送检的，也可以是生产厂家的或者是原材料供应商的，并加盖投标人公章,签订合同前须提供原件备查或提供可以查询证明复印件真实性和完整性的方式和渠道</w:t>
            </w:r>
            <w:r>
              <w:rPr>
                <w:rFonts w:hint="eastAsia" w:ascii="宋体" w:hAnsi="宋体" w:cs="宋体"/>
                <w:color w:val="000000"/>
                <w:kern w:val="0"/>
                <w:szCs w:val="21"/>
                <w:highlight w:val="none"/>
                <w:u w:val="none"/>
                <w:lang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5.支持IPv4、IPv6、HTTP、UPnP、NTP、SNMP、PPPOE、DNS、FTP、SIP、RTP、RTCP等网络协议。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color w:val="000000"/>
                <w:szCs w:val="21"/>
              </w:rPr>
              <w:t>▲</w:t>
            </w:r>
            <w:r>
              <w:rPr>
                <w:rFonts w:hint="eastAsia" w:ascii="宋体" w:hAnsi="宋体" w:eastAsia="宋体" w:cs="宋体"/>
                <w:i w:val="0"/>
                <w:color w:val="000000"/>
                <w:kern w:val="0"/>
                <w:sz w:val="21"/>
                <w:szCs w:val="21"/>
                <w:u w:val="none"/>
                <w:lang w:val="en-US" w:eastAsia="zh-CN" w:bidi="ar"/>
              </w:rPr>
              <w:t>6.支持断网续传功能，能将前端网络摄像机断网这段时间内SD卡中的录像回传到NVR；</w:t>
            </w:r>
            <w:r>
              <w:rPr>
                <w:rFonts w:hint="eastAsia" w:ascii="宋体" w:hAnsi="宋体" w:cs="宋体"/>
                <w:color w:val="000000"/>
                <w:kern w:val="0"/>
                <w:szCs w:val="21"/>
                <w:highlight w:val="none"/>
                <w:u w:val="none"/>
                <w:lang w:bidi="ar"/>
              </w:rPr>
              <w:t>投标时提供国家认可的有资质的第三方检验检测机构出具的合格检验检测报告复印件，检验检测报告可以是投标人自己送检的，也可以是生产厂家的或者是原材料供应商的，并加盖投标人公章,签订合同前须提供原件备查或提供可以查询证明复印件真实性和完整性的方式和渠道</w:t>
            </w:r>
            <w:r>
              <w:rPr>
                <w:rFonts w:hint="eastAsia" w:ascii="宋体" w:hAnsi="宋体" w:cs="宋体"/>
                <w:color w:val="000000"/>
                <w:kern w:val="0"/>
                <w:szCs w:val="21"/>
                <w:highlight w:val="none"/>
                <w:u w:val="none"/>
                <w:lang w:eastAsia="zh-CN" w:bidi="ar"/>
              </w:rPr>
              <w:t>。</w:t>
            </w:r>
            <w:r>
              <w:rPr>
                <w:rFonts w:hint="eastAsia" w:ascii="宋体" w:hAnsi="宋体" w:eastAsia="宋体" w:cs="宋体"/>
                <w:i w:val="0"/>
                <w:color w:val="000000"/>
                <w:kern w:val="0"/>
                <w:sz w:val="21"/>
                <w:szCs w:val="21"/>
                <w:highlight w:val="red"/>
                <w:u w:val="none"/>
                <w:lang w:val="en-US" w:eastAsia="zh-CN" w:bidi="ar"/>
              </w:rPr>
              <w:br w:type="textWrapping"/>
            </w:r>
            <w:r>
              <w:rPr>
                <w:rFonts w:hint="eastAsia" w:ascii="宋体" w:hAnsi="宋体" w:cs="宋体"/>
                <w:color w:val="000000"/>
                <w:szCs w:val="21"/>
              </w:rPr>
              <w:t>▲</w:t>
            </w:r>
            <w:r>
              <w:rPr>
                <w:rFonts w:hint="eastAsia" w:ascii="宋体" w:hAnsi="宋体" w:eastAsia="宋体" w:cs="宋体"/>
                <w:i w:val="0"/>
                <w:color w:val="000000"/>
                <w:kern w:val="0"/>
                <w:sz w:val="21"/>
                <w:szCs w:val="21"/>
                <w:u w:val="none"/>
                <w:lang w:val="en-US" w:eastAsia="zh-CN" w:bidi="ar"/>
              </w:rPr>
              <w:t>7.支持录像回放时智能搜索功能，按图像的来源、记录时间、报警事件类别等多种方式对存储的图像数据进行检索；</w:t>
            </w:r>
            <w:r>
              <w:rPr>
                <w:rFonts w:hint="eastAsia" w:ascii="宋体" w:hAnsi="宋体" w:cs="宋体"/>
                <w:color w:val="000000"/>
                <w:kern w:val="0"/>
                <w:szCs w:val="21"/>
                <w:highlight w:val="none"/>
                <w:u w:val="none"/>
                <w:lang w:bidi="ar"/>
              </w:rPr>
              <w:t>投标时提供国家认可的有资质的第三方检验检测机构出具的合格检验检测报告复印件，检验检测报告可以是投标人自己送检的，也可以是生产厂家的或者是原材料供应商的，并加盖投标人公章,签订合同前须提供原件备查或提供可以查询证明复印件真实性和完整性的方式和渠道</w:t>
            </w:r>
            <w:r>
              <w:rPr>
                <w:rFonts w:hint="eastAsia" w:ascii="宋体" w:hAnsi="宋体" w:cs="宋体"/>
                <w:color w:val="000000"/>
                <w:kern w:val="0"/>
                <w:szCs w:val="21"/>
                <w:highlight w:val="none"/>
                <w:u w:val="none"/>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8.支持走廊模式功能，支持IPC画面</w:t>
            </w:r>
            <w:r>
              <w:rPr>
                <w:rFonts w:hint="eastAsia" w:ascii="宋体" w:hAnsi="宋体" w:eastAsia="宋体" w:cs="宋体"/>
                <w:i w:val="0"/>
                <w:color w:val="000000"/>
                <w:kern w:val="0"/>
                <w:sz w:val="21"/>
                <w:szCs w:val="21"/>
                <w:highlight w:val="none"/>
                <w:u w:val="none"/>
                <w:lang w:val="en-US" w:eastAsia="zh-CN" w:bidi="ar"/>
              </w:rPr>
              <w:t>旋转90°或270°，成9:16走廊模式</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9.支持鱼眼矫正功能，本地和web端在预览和回放模式下，支持对接入鱼眼视频以拼接的方式进行矫正功能</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10.支持设置九宫格图案密码，用户通过绘制九宫格图案来解锁并登陆</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11.支持视频质量诊断（条纹干扰、视频偏色、视频噪声、视频虚焦、视频过曝）当检测到视频质量异常时，进行告警上报并进行联动处理</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12.支持网络检测（网络流量监控、网络抓包、网络通畅）功能</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13.支持N+M集群管理功能，当主机发生故障时，备机可替换故障主机继续录像，故障恢复后，备机可将存储的录像回传至故障主机</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14.支持硬盘配额和硬盘盘组两种存储模式，可对不同通道分配不同的录像保存容量或周期</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15.支持≥16个SATA接口 ，</w:t>
            </w:r>
            <w:r>
              <w:rPr>
                <w:rFonts w:hint="eastAsia" w:ascii="宋体" w:hAnsi="宋体" w:eastAsia="宋体" w:cs="宋体"/>
                <w:i w:val="0"/>
                <w:color w:val="000000"/>
                <w:kern w:val="0"/>
                <w:sz w:val="21"/>
                <w:szCs w:val="21"/>
                <w:highlight w:val="none"/>
                <w:u w:val="none"/>
                <w:lang w:val="en-US" w:eastAsia="zh-CN" w:bidi="ar"/>
              </w:rPr>
              <w:t>≥1个eSATA盘库</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16.≥4个千兆以太网接口、≥2个千兆光口、≥1个RCA输出接口、≥8个报警输入、输出接口</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17.支持网卡绑定：负载均衡，容错模式。网络容错可将4个网络接口绑定为1个IP地址，当其中1个网络接口损坏时样机仍能正常工作</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color w:val="000000"/>
                <w:szCs w:val="21"/>
              </w:rPr>
              <w:t>▲</w:t>
            </w:r>
            <w:r>
              <w:rPr>
                <w:rFonts w:hint="eastAsia" w:ascii="宋体" w:hAnsi="宋体" w:eastAsia="宋体" w:cs="宋体"/>
                <w:i w:val="0"/>
                <w:color w:val="000000"/>
                <w:kern w:val="0"/>
                <w:sz w:val="21"/>
                <w:szCs w:val="21"/>
                <w:u w:val="none"/>
                <w:lang w:val="en-US" w:eastAsia="zh-CN" w:bidi="ar"/>
              </w:rPr>
              <w:t>18.必须实现与南宁市高新区教育局标准化考场指挥中心系统互联互通，与南宁市招生考试院国家教育考试巡查指挥中心互联互通，投标时投标人提供互联互通承诺函。</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44700.00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监控硬盘</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4TB 5900转64M SATA3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7040.00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移动硬盘</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SATA硬盘/容量2T /5400转</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1344.00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有源音箱</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 2路AV输入插口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 音量调节：高低音音量可单独调节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640.00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学校监控电脑</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一.硬件配置：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1.CPU:10代英特尔酷睿六核12线程处理器I5-10400  2.9GHz 最高睿频：4.3GHz 12M三级缓存；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2.主板：英特尔B460系列芯片组主板，带BIOS自动控制的可变速CPU风扇，配备智能散热系统包括由BIOS管理的智能风扇通过对机箱内部的温度感应来调节风扇速度，有效的降低噪音的同时高效散热功能；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3.扩展插槽：1个M.2(用于无线网卡)，1个M.2 2230/2280(用于SSD硬盘)，1个PCIe x1，1个PCIe x16，1个PCI；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4.内存：8G DDR4 2933，2个DIMM插槽，最高支持64G内存,支持双通道内存；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5.端口和接口：前置≥1个麦克风/耳机组合插孔，≥6个USB 3.1 Gen 1；后置≥1个HDMI+板载DP接口，≥1个音频输入，≥1个音频输出，≥1个麦克风输入，≥1个RJ-45，≥1个VGA，≥4个USB 2.0，9针串口卡；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6.硬盘：1TB SATA Ⅲ（7200rpm）；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7.显卡：集成显卡；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8.网络接口：集成千兆网卡10/100/1000M以太网卡；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9.电源：300W额定电源；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10.键盘/鼠标：原厂同品牌标准键盘和抗菌鼠标；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11.机箱：前置电源开</w:t>
            </w:r>
            <w:r>
              <w:rPr>
                <w:rFonts w:hint="eastAsia" w:ascii="宋体" w:hAnsi="宋体" w:eastAsia="宋体" w:cs="宋体"/>
                <w:i w:val="0"/>
                <w:color w:val="000000"/>
                <w:kern w:val="0"/>
                <w:sz w:val="21"/>
                <w:szCs w:val="21"/>
                <w:highlight w:val="none"/>
                <w:u w:val="none"/>
                <w:lang w:val="en-US" w:eastAsia="zh-CN" w:bidi="ar"/>
              </w:rPr>
              <w:t>关, 内置≥2W扬声器/≥0.6mm厚精钢防辐射机箱，不大</w:t>
            </w:r>
            <w:r>
              <w:rPr>
                <w:rFonts w:hint="eastAsia" w:ascii="宋体" w:hAnsi="宋体" w:eastAsia="宋体" w:cs="宋体"/>
                <w:i w:val="0"/>
                <w:color w:val="000000"/>
                <w:kern w:val="0"/>
                <w:sz w:val="21"/>
                <w:szCs w:val="21"/>
                <w:u w:val="none"/>
                <w:lang w:val="en-US" w:eastAsia="zh-CN" w:bidi="ar"/>
              </w:rPr>
              <w:t>于</w:t>
            </w:r>
            <w:r>
              <w:rPr>
                <w:rFonts w:hint="eastAsia" w:ascii="宋体" w:hAnsi="宋体" w:eastAsia="宋体" w:cs="宋体"/>
                <w:i w:val="0"/>
                <w:color w:val="000000"/>
                <w:kern w:val="0"/>
                <w:sz w:val="21"/>
                <w:szCs w:val="21"/>
                <w:highlight w:val="none"/>
                <w:u w:val="none"/>
                <w:lang w:val="en-US" w:eastAsia="zh-CN" w:bidi="ar"/>
              </w:rPr>
              <w:t>17L机箱；适配电脑桌尺寸；显示器同品牌≥23.8英寸宽屏LED背光液晶显示器，最高分辨率≥</w:t>
            </w:r>
            <w:r>
              <w:rPr>
                <w:rFonts w:hint="eastAsia" w:ascii="宋体" w:hAnsi="宋体" w:eastAsia="宋体" w:cs="宋体"/>
                <w:i w:val="0"/>
                <w:color w:val="000000"/>
                <w:kern w:val="0"/>
                <w:sz w:val="21"/>
                <w:szCs w:val="21"/>
                <w:u w:val="none"/>
                <w:lang w:val="en-US" w:eastAsia="zh-CN" w:bidi="ar"/>
              </w:rPr>
              <w:t>1920*1080；通过蓝光危害试验，最大可降低70%蓝光危害辐照度值</w:t>
            </w:r>
            <w:r>
              <w:rPr>
                <w:rFonts w:hint="eastAsia" w:ascii="宋体" w:hAnsi="宋体" w:cs="宋体"/>
                <w:i w:val="0"/>
                <w:color w:val="00000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27600.00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24口汇聚交换机</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color w:val="000000"/>
                <w:szCs w:val="21"/>
                <w:highlight w:val="yellow"/>
              </w:rPr>
            </w:pPr>
            <w:r>
              <w:rPr>
                <w:rFonts w:hint="eastAsia" w:ascii="宋体" w:hAnsi="宋体" w:cs="宋体"/>
                <w:color w:val="000000"/>
                <w:szCs w:val="21"/>
              </w:rPr>
              <w:t>▲1.千兆电口≥24个、千兆光口≥4个</w:t>
            </w:r>
            <w:r>
              <w:rPr>
                <w:rFonts w:hint="eastAsia" w:ascii="宋体" w:hAnsi="宋体" w:cs="宋体"/>
                <w:color w:val="000000"/>
                <w:szCs w:val="21"/>
                <w:highlight w:val="none"/>
              </w:rPr>
              <w:t>、</w:t>
            </w:r>
            <w:r>
              <w:rPr>
                <w:rFonts w:hint="eastAsia" w:ascii="宋体" w:hAnsi="宋体" w:eastAsia="宋体" w:cs="宋体"/>
                <w:i w:val="0"/>
                <w:color w:val="000000"/>
                <w:kern w:val="0"/>
                <w:sz w:val="21"/>
                <w:szCs w:val="21"/>
                <w:highlight w:val="none"/>
                <w:u w:val="none"/>
                <w:lang w:val="en-US" w:eastAsia="zh-CN" w:bidi="ar"/>
              </w:rPr>
              <w:t>≥</w:t>
            </w:r>
            <w:r>
              <w:rPr>
                <w:rFonts w:hint="eastAsia" w:ascii="宋体" w:hAnsi="宋体" w:cs="宋体"/>
                <w:color w:val="000000"/>
                <w:szCs w:val="21"/>
                <w:highlight w:val="none"/>
              </w:rPr>
              <w:t>1个Console口，</w:t>
            </w:r>
            <w:r>
              <w:rPr>
                <w:rFonts w:hint="eastAsia" w:ascii="宋体" w:hAnsi="宋体" w:eastAsia="宋体" w:cs="宋体"/>
                <w:i w:val="0"/>
                <w:color w:val="000000"/>
                <w:kern w:val="0"/>
                <w:sz w:val="21"/>
                <w:szCs w:val="21"/>
                <w:highlight w:val="none"/>
                <w:u w:val="none"/>
                <w:lang w:val="en-US" w:eastAsia="zh-CN" w:bidi="ar"/>
              </w:rPr>
              <w:t>≥</w:t>
            </w:r>
            <w:r>
              <w:rPr>
                <w:rFonts w:hint="eastAsia" w:ascii="宋体" w:hAnsi="宋体" w:cs="宋体"/>
                <w:color w:val="000000"/>
                <w:szCs w:val="21"/>
                <w:highlight w:val="none"/>
              </w:rPr>
              <w:t>1个Manage口；</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color w:val="000000"/>
                <w:szCs w:val="21"/>
              </w:rPr>
            </w:pPr>
            <w:r>
              <w:rPr>
                <w:rFonts w:hint="eastAsia" w:ascii="宋体" w:hAnsi="宋体" w:cs="宋体"/>
                <w:color w:val="000000"/>
                <w:szCs w:val="21"/>
              </w:rPr>
              <w:t>2.交换性能≥336 Gbps，包转发率≥96 Mpps；</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color w:val="000000"/>
                <w:szCs w:val="21"/>
              </w:rPr>
            </w:pPr>
            <w:r>
              <w:rPr>
                <w:rFonts w:hint="eastAsia" w:ascii="宋体" w:hAnsi="宋体" w:cs="宋体"/>
                <w:color w:val="000000"/>
                <w:szCs w:val="21"/>
              </w:rPr>
              <w:t>3.工作温度：-5°C～45°C，存储温度：-20°C～70°C；</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color w:val="000000"/>
                <w:szCs w:val="21"/>
              </w:rPr>
            </w:pPr>
            <w:r>
              <w:rPr>
                <w:rFonts w:hint="eastAsia" w:ascii="宋体" w:hAnsi="宋体" w:cs="宋体"/>
                <w:color w:val="000000"/>
                <w:szCs w:val="21"/>
              </w:rPr>
              <w:t>4.支持胖瘦一体化，支持智能交换机和普通交换机两种工作模式，可以根据不同的组网需要，随时灵活的进行切换；</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color w:val="000000"/>
                <w:szCs w:val="21"/>
              </w:rPr>
            </w:pPr>
            <w:r>
              <w:rPr>
                <w:rFonts w:hint="eastAsia" w:ascii="宋体" w:hAnsi="宋体" w:cs="宋体"/>
                <w:color w:val="000000"/>
                <w:szCs w:val="21"/>
              </w:rPr>
              <w:t>▲5.可通过配置静态IP地址，DHCP Option43方式，DNS域名等方式发现控制器平台；</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color w:val="000000"/>
                <w:szCs w:val="21"/>
              </w:rPr>
            </w:pPr>
            <w:r>
              <w:rPr>
                <w:rFonts w:hint="eastAsia" w:ascii="宋体" w:hAnsi="宋体" w:cs="宋体"/>
                <w:color w:val="000000"/>
                <w:szCs w:val="21"/>
              </w:rPr>
              <w:t>6.支持通过控制器平台一键替换“按钮”即可完成故障设备替换；</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color w:val="000000"/>
                <w:szCs w:val="21"/>
              </w:rPr>
            </w:pPr>
            <w:r>
              <w:rPr>
                <w:rFonts w:hint="eastAsia" w:ascii="宋体" w:hAnsi="宋体" w:cs="宋体"/>
                <w:color w:val="000000"/>
                <w:szCs w:val="21"/>
              </w:rPr>
              <w:t>7.支持STP、RSTP、MSTP协议，支持IGMP v1/v2/v3 Snooping；</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color w:val="000000"/>
                <w:szCs w:val="21"/>
              </w:rPr>
            </w:pPr>
            <w:r>
              <w:rPr>
                <w:rFonts w:hint="eastAsia" w:ascii="宋体" w:hAnsi="宋体" w:cs="宋体"/>
                <w:color w:val="000000"/>
                <w:szCs w:val="21"/>
              </w:rPr>
              <w:t>8.支持IEEE 802.3az 标准的 EEE节能技术：当EEE使能时，从而大幅度的减小端口在该阶段的功耗，达到了节能的目的；</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color w:val="000000"/>
                <w:szCs w:val="21"/>
              </w:rPr>
            </w:pPr>
            <w:r>
              <w:rPr>
                <w:rFonts w:hint="eastAsia" w:ascii="宋体" w:hAnsi="宋体" w:cs="宋体"/>
                <w:color w:val="000000"/>
                <w:szCs w:val="21"/>
              </w:rPr>
              <w:t>9.支持MAC地址自动学习；</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color w:val="000000"/>
                <w:szCs w:val="21"/>
              </w:rPr>
            </w:pPr>
            <w:r>
              <w:rPr>
                <w:rFonts w:hint="eastAsia" w:ascii="宋体" w:hAnsi="宋体" w:cs="宋体"/>
                <w:color w:val="000000"/>
                <w:szCs w:val="21"/>
              </w:rPr>
              <w:t>▲10.为提高设备可靠性，支持M-LAG技术；</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color w:val="000000"/>
                <w:szCs w:val="21"/>
              </w:rPr>
            </w:pPr>
            <w:r>
              <w:rPr>
                <w:rFonts w:hint="eastAsia" w:ascii="宋体" w:hAnsi="宋体" w:cs="宋体"/>
                <w:color w:val="000000"/>
                <w:szCs w:val="21"/>
              </w:rPr>
              <w:t>▲11.支持通过控制器平台查看交换机端口负载情况；</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color w:val="000000"/>
                <w:szCs w:val="21"/>
              </w:rPr>
            </w:pPr>
            <w:r>
              <w:rPr>
                <w:rFonts w:hint="eastAsia" w:ascii="宋体" w:hAnsi="宋体" w:cs="宋体"/>
                <w:color w:val="000000"/>
                <w:szCs w:val="21"/>
              </w:rPr>
              <w:t>12.支持控制器统一管理，调试，运维；</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color w:val="000000"/>
                <w:szCs w:val="21"/>
              </w:rPr>
            </w:pPr>
            <w:r>
              <w:rPr>
                <w:rFonts w:hint="eastAsia" w:ascii="宋体" w:hAnsi="宋体" w:cs="宋体"/>
                <w:color w:val="000000"/>
                <w:szCs w:val="21"/>
              </w:rPr>
              <w:t>▲13.为禁止非法终端(例如私接路由器)接入，需支持终端类型库，能自动识别PC电脑终端、路由器、监控摄像头终端设备等；</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color w:val="000000"/>
                <w:szCs w:val="21"/>
              </w:rPr>
            </w:pPr>
            <w:r>
              <w:rPr>
                <w:rFonts w:hint="eastAsia" w:ascii="宋体" w:hAnsi="宋体" w:cs="宋体"/>
                <w:color w:val="000000"/>
                <w:szCs w:val="21"/>
              </w:rPr>
              <w:t>14.支持防网关ARP欺骗，管理员分级管理，支持防止DOS、ARP攻击功能；</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color w:val="000000"/>
                <w:szCs w:val="21"/>
              </w:rPr>
            </w:pPr>
            <w:r>
              <w:rPr>
                <w:rFonts w:hint="eastAsia" w:ascii="宋体" w:hAnsi="宋体" w:cs="宋体"/>
                <w:color w:val="000000"/>
                <w:szCs w:val="21"/>
              </w:rPr>
              <w:t>15.支持通过APP进行远程管理，并且可以修改交换机网络配置；</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color w:val="000000"/>
                <w:szCs w:val="21"/>
              </w:rPr>
            </w:pPr>
            <w:r>
              <w:rPr>
                <w:rFonts w:hint="eastAsia" w:ascii="宋体" w:hAnsi="宋体" w:cs="宋体"/>
                <w:color w:val="000000"/>
                <w:szCs w:val="21"/>
              </w:rPr>
              <w:t>16.支持通过在控制器平台的Web页面对交换机进行可视化管理查看，包括交换机的端口状态及配置、vlan信息；</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color w:val="000000"/>
                <w:szCs w:val="21"/>
              </w:rPr>
            </w:pPr>
            <w:r>
              <w:rPr>
                <w:rFonts w:hint="eastAsia" w:ascii="宋体" w:hAnsi="宋体" w:cs="宋体"/>
                <w:color w:val="000000"/>
                <w:szCs w:val="21"/>
              </w:rPr>
              <w:t>▲17.支持通过控制器平台对交换机端口进行开启与关闭；</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color w:val="000000"/>
                <w:szCs w:val="21"/>
              </w:rPr>
            </w:pPr>
            <w:r>
              <w:rPr>
                <w:rFonts w:hint="eastAsia" w:ascii="宋体" w:hAnsi="宋体" w:cs="宋体"/>
                <w:color w:val="000000"/>
                <w:szCs w:val="21"/>
              </w:rPr>
              <w:t>▲18.支持安全状态页面中显示安全事件；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color w:val="000000"/>
                <w:szCs w:val="21"/>
              </w:rPr>
            </w:pPr>
            <w:r>
              <w:rPr>
                <w:rFonts w:hint="eastAsia" w:ascii="宋体" w:hAnsi="宋体" w:cs="宋体"/>
                <w:color w:val="000000"/>
                <w:szCs w:val="21"/>
              </w:rPr>
              <w:t>19.支持交换机端口终端类型变更后，通过APP、短信告警；</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color w:val="000000"/>
                <w:szCs w:val="21"/>
              </w:rPr>
            </w:pPr>
            <w:r>
              <w:rPr>
                <w:rFonts w:hint="eastAsia" w:ascii="宋体" w:hAnsi="宋体" w:cs="宋体"/>
                <w:color w:val="000000"/>
                <w:szCs w:val="21"/>
              </w:rPr>
              <w:t>20.支持通过控制器平台查看交换机面板端口工作状态，通过端口颜色显示状态即可判断端口是否在线工作；</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cs="宋体"/>
                <w:color w:val="000000"/>
                <w:szCs w:val="21"/>
              </w:rPr>
              <w:t>▲21.为实现远程运维，支持通过手机APP对交换机进行管理；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2460.00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24口接入交换机</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单台配置要求</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highlight w:val="none"/>
                <w:u w:val="none"/>
                <w:lang w:val="en-US" w:eastAsia="zh-CN" w:bidi="ar"/>
              </w:rPr>
              <w:t>.提供≥24个10/100/1000Base-T以太网端口</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 技术参数要求</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1.交换容量≥256Gbps，包转发率≥48Mpps；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2.支持基于端口的双向镜像, 支持端口自动翻转（Auto MDI/MDIX）;</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3.支持地址自动学习、自动老化（老化时间为5分钟），支持MAC（Media Access Control）地址≥8K；</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4.支持广播、组播、ICMP、未知单播风暴抑制；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5.防雷：共模防护7KV，防雷等级4级</w:t>
            </w:r>
            <w:r>
              <w:rPr>
                <w:rFonts w:hint="eastAsia" w:ascii="宋体" w:hAnsi="宋体" w:cs="宋体"/>
                <w:i w:val="0"/>
                <w:color w:val="00000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4350.00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53"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8口交换机</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cs="宋体"/>
                <w:color w:val="000000"/>
                <w:szCs w:val="21"/>
                <w:highlight w:val="none"/>
              </w:rPr>
              <w:t>▲</w:t>
            </w:r>
            <w:r>
              <w:rPr>
                <w:rFonts w:hint="eastAsia" w:ascii="宋体" w:hAnsi="宋体" w:eastAsia="宋体" w:cs="宋体"/>
                <w:i w:val="0"/>
                <w:color w:val="000000"/>
                <w:kern w:val="0"/>
                <w:sz w:val="21"/>
                <w:szCs w:val="21"/>
                <w:highlight w:val="none"/>
                <w:u w:val="none"/>
                <w:lang w:val="en-US" w:eastAsia="zh-CN" w:bidi="ar"/>
              </w:rPr>
              <w:t>一</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单台配置要求</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1.提供≥8个10/100/1000Base-T以太网端口</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二</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技术参数要求</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1.交换容量≥56Gbps，包转发率≥14.88Mpps</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2.支持基于端口的双向镜像,支持端口自动翻转（Auto MDI/MDIX）；</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3.支持地址自动学习、自动老化（老化时间为≥5分钟），支持MAC（Media Access Control）地址≥8K；</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4.支持广播、组播、ICMP、未知单播风暴抑制；</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5.防雷：共模防护≥7KV，防雷等级≥4级</w:t>
            </w:r>
            <w:r>
              <w:rPr>
                <w:rFonts w:hint="eastAsia" w:ascii="宋体" w:hAnsi="宋体" w:cs="宋体"/>
                <w:i w:val="0"/>
                <w:color w:val="000000"/>
                <w:kern w:val="0"/>
                <w:sz w:val="21"/>
                <w:szCs w:val="21"/>
                <w:highlight w:val="none"/>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1310.00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考场时钟</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≥14寸风格现代</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中式.机芯类别石英.静音功能</w:t>
            </w:r>
            <w:r>
              <w:rPr>
                <w:rFonts w:hint="eastAsia" w:ascii="宋体" w:hAnsi="宋体" w:cs="宋体"/>
                <w:i w:val="0"/>
                <w:color w:val="000000"/>
                <w:kern w:val="0"/>
                <w:sz w:val="21"/>
                <w:szCs w:val="21"/>
                <w:highlight w:val="none"/>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5400.00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无线隐形耳机探测器</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1.基本功能：探测无线隐形语音作弊工具、无线作弊设备、隐形耳机；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2.集成考场无线调度终端功能，可实现考场中的无声调度；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3.被动探测，无电磁辐射，对人体无害；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4.全贴片IC电路设计,功耗极低,待机超长；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5.智能芯片内嵌智能信号分析处理软件,探测及时准确；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6.独特近距信号处理电路,密集人群精确定位无误；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7.高音质监听信号输出,支持录音取证；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8.多级强度指示,支持振动、静音两种报警提示；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9.人性化薄膜微触式设备面板设计,操控简单,示意明确,方向感强；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10.系统开机自动检测，确保功能正常；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11.探测范围：探测半径R=3~18m；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12.定位精度：R=10~30厘米；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13.供电电源：2节AAA电池（7号电池）；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14.方向辨别：＜±13°；</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15.信号指示：LED分级指示；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16.信号指示颜色：3种（兰/黄/红）；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17.工作电流：＜50mA；</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18.待机时长：6-8小时连续监测；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19.重量：小于300克；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20.增益级别：</w:t>
            </w:r>
            <w:r>
              <w:rPr>
                <w:rFonts w:hint="eastAsia" w:ascii="宋体" w:hAnsi="宋体" w:eastAsia="宋体" w:cs="宋体"/>
                <w:i w:val="0"/>
                <w:color w:val="000000"/>
                <w:kern w:val="0"/>
                <w:sz w:val="21"/>
                <w:szCs w:val="21"/>
                <w:highlight w:val="none"/>
                <w:u w:val="none"/>
                <w:lang w:val="en-US" w:eastAsia="zh-CN" w:bidi="ar"/>
              </w:rPr>
              <w:t>≥4级</w:t>
            </w:r>
            <w:r>
              <w:rPr>
                <w:rFonts w:hint="eastAsia" w:ascii="宋体" w:hAnsi="宋体" w:cs="宋体"/>
                <w:i w:val="0"/>
                <w:color w:val="000000"/>
                <w:kern w:val="0"/>
                <w:sz w:val="21"/>
                <w:szCs w:val="21"/>
                <w:highlight w:val="none"/>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2450.00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增强型手机信号屏蔽器-5G标准版</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可有效屏蔽手机</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2G、3G、4G、5G、2.4GWIFI</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蓝牙与手机嫁接的无线隐形耳机、骨传导耳机等作弊信号。</w:t>
            </w:r>
            <w:r>
              <w:rPr>
                <w:rFonts w:hint="eastAsia" w:ascii="宋体" w:hAnsi="宋体" w:eastAsia="宋体" w:cs="宋体"/>
                <w:i w:val="0"/>
                <w:iCs w:val="0"/>
                <w:color w:val="auto"/>
                <w:kern w:val="0"/>
                <w:sz w:val="21"/>
                <w:szCs w:val="21"/>
                <w:highlight w:val="green"/>
                <w:u w:val="none"/>
                <w:lang w:val="en-US" w:eastAsia="zh-CN" w:bidi="ar"/>
              </w:rPr>
              <w:br w:type="textWrapping"/>
            </w:r>
            <w:r>
              <w:rPr>
                <w:rFonts w:hint="eastAsia" w:ascii="宋体" w:hAnsi="宋体" w:cs="宋体"/>
                <w:color w:val="000000"/>
                <w:szCs w:val="21"/>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外壳防护等级不低于IP20</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cs="宋体"/>
                <w:color w:val="000000"/>
                <w:kern w:val="0"/>
                <w:szCs w:val="21"/>
                <w:highlight w:val="none"/>
                <w:u w:val="none"/>
                <w:lang w:bidi="ar"/>
              </w:rPr>
              <w:t>投标时提供国家认可的有资质的第三方检验检测机构出具的合格检验检测报告复印件，检验检测报告可以是投标人自己送检的，也可以是生产厂家的或者是原材料供应商的，并加盖投标人公章,签订合同前须提供原件备查或提供可以查询证明复印件真实性和完整性的方式和渠道</w:t>
            </w:r>
            <w:r>
              <w:rPr>
                <w:rFonts w:hint="eastAsia" w:ascii="宋体" w:hAnsi="宋体" w:cs="宋体"/>
                <w:color w:val="000000"/>
                <w:kern w:val="0"/>
                <w:szCs w:val="21"/>
                <w:highlight w:val="none"/>
                <w:u w:val="none"/>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噪声等级应不大于45dB</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发射方式：采用高增益天线外置发射</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射频电磁场辐射应符合GB/T17626.3-2006标准规定</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采用绿色环保的可回收塑料外壳，低功耗节能设计，严格控制的发射电磁场强度低于国家标准，对人体无任何影响</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中文版标识注明考场专用，设备上直接印刷有中文简易使用说明、明确注明厂家与联系方式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采用ACG主动时频闸控技术，通过对IBPC工作信道的有效控制，可实现仅对目标考场屏蔽区域信号进行控制，对考场外没有干扰，更不会干扰到基站正常工作。仅屏蔽发射基站的下行频率而不影响上行频率。并可以进行有效的手动干预屏蔽器的工作范围与工作功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color w:val="000000"/>
                <w:szCs w:val="21"/>
              </w:rPr>
              <w:t>▲</w:t>
            </w:r>
            <w:r>
              <w:rPr>
                <w:rFonts w:hint="eastAsia" w:ascii="宋体" w:hAnsi="宋体" w:eastAsia="宋体" w:cs="宋体"/>
                <w:i w:val="0"/>
                <w:iCs w:val="0"/>
                <w:color w:val="auto"/>
                <w:kern w:val="0"/>
                <w:sz w:val="21"/>
                <w:szCs w:val="21"/>
                <w:highlight w:val="none"/>
                <w:u w:val="none"/>
                <w:lang w:val="en-US" w:eastAsia="zh-CN" w:bidi="ar"/>
              </w:rPr>
              <w:t>9</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cs="宋体"/>
                <w:color w:val="000000"/>
                <w:kern w:val="0"/>
                <w:szCs w:val="21"/>
                <w:highlight w:val="none"/>
                <w:u w:val="none"/>
                <w:lang w:bidi="ar"/>
              </w:rPr>
              <w:t>投标时提供国家认可的有资质的第三方检测机构出具的</w:t>
            </w:r>
            <w:r>
              <w:rPr>
                <w:rFonts w:hint="eastAsia" w:ascii="宋体" w:hAnsi="宋体" w:eastAsia="宋体" w:cs="宋体"/>
                <w:i w:val="0"/>
                <w:iCs w:val="0"/>
                <w:color w:val="auto"/>
                <w:kern w:val="0"/>
                <w:sz w:val="21"/>
                <w:szCs w:val="21"/>
                <w:highlight w:val="none"/>
                <w:u w:val="none"/>
                <w:lang w:val="en-US" w:eastAsia="zh-CN" w:bidi="ar"/>
              </w:rPr>
              <w:t>产品符合电磁环境控制限值（GB8</w:t>
            </w:r>
            <w:r>
              <w:rPr>
                <w:rFonts w:hint="default" w:ascii="宋体" w:hAnsi="宋体" w:eastAsia="宋体" w:cs="宋体"/>
                <w:i w:val="0"/>
                <w:iCs w:val="0"/>
                <w:color w:val="auto"/>
                <w:kern w:val="0"/>
                <w:sz w:val="21"/>
                <w:szCs w:val="21"/>
                <w:highlight w:val="none"/>
                <w:u w:val="none"/>
                <w:lang w:eastAsia="zh-CN" w:bidi="ar"/>
              </w:rPr>
              <w:t>70</w:t>
            </w:r>
            <w:r>
              <w:rPr>
                <w:rFonts w:hint="eastAsia" w:ascii="宋体" w:hAnsi="宋体" w:eastAsia="宋体" w:cs="宋体"/>
                <w:i w:val="0"/>
                <w:iCs w:val="0"/>
                <w:color w:val="auto"/>
                <w:kern w:val="0"/>
                <w:sz w:val="21"/>
                <w:szCs w:val="21"/>
                <w:highlight w:val="none"/>
                <w:u w:val="none"/>
                <w:lang w:val="en-US" w:eastAsia="zh-CN" w:bidi="ar"/>
              </w:rPr>
              <w:t>2-2014）的检测</w:t>
            </w:r>
            <w:r>
              <w:rPr>
                <w:rFonts w:hint="eastAsia" w:ascii="宋体" w:hAnsi="宋体" w:cs="宋体"/>
                <w:i w:val="0"/>
                <w:iCs w:val="0"/>
                <w:color w:val="auto"/>
                <w:kern w:val="0"/>
                <w:sz w:val="21"/>
                <w:szCs w:val="21"/>
                <w:highlight w:val="none"/>
                <w:u w:val="none"/>
                <w:lang w:val="en-US" w:eastAsia="zh-CN" w:bidi="ar"/>
              </w:rPr>
              <w:t>报告</w:t>
            </w:r>
            <w:r>
              <w:rPr>
                <w:rFonts w:hint="eastAsia" w:ascii="宋体" w:hAnsi="宋体" w:cs="宋体"/>
                <w:color w:val="000000"/>
                <w:kern w:val="0"/>
                <w:szCs w:val="21"/>
                <w:highlight w:val="none"/>
                <w:u w:val="none"/>
                <w:lang w:bidi="ar"/>
              </w:rPr>
              <w:t>复印件，检测报告可以是投标人自己送检的，也可以是生产厂家的或者是原材料供应商的，并加盖投标人公章,签订合同前须提供原件备查或提供可以查询证明复印件真实性和完整性的方式和渠道</w:t>
            </w:r>
            <w:r>
              <w:rPr>
                <w:rFonts w:hint="eastAsia" w:ascii="宋体" w:hAnsi="宋体" w:cs="宋体"/>
                <w:color w:val="000000"/>
                <w:kern w:val="0"/>
                <w:szCs w:val="21"/>
                <w:highlight w:val="none"/>
                <w:u w:val="none"/>
                <w:lang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56700.00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3"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金属探测器</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lang w:val="en-US" w:eastAsia="zh-CN"/>
              </w:rPr>
            </w:pPr>
            <w:r>
              <w:rPr>
                <w:rFonts w:hint="eastAsia"/>
                <w:lang w:val="en-US" w:eastAsia="zh-CN"/>
              </w:rPr>
              <w:t>54</w:t>
            </w:r>
          </w:p>
          <w:p>
            <w:pPr>
              <w:pStyle w:val="10"/>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kern w:val="0"/>
                <w:sz w:val="21"/>
                <w:szCs w:val="21"/>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kern w:val="0"/>
                <w:sz w:val="21"/>
                <w:szCs w:val="21"/>
                <w:u w:val="none"/>
                <w:lang w:val="en-US" w:eastAsia="zh-CN" w:bidi="ar"/>
              </w:rPr>
            </w:pP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rPr>
            </w:pPr>
            <w:r>
              <w:rPr>
                <w:rFonts w:hint="eastAsia"/>
              </w:rPr>
              <w:t>▲</w:t>
            </w:r>
            <w:r>
              <w:rPr>
                <w:rFonts w:hint="eastAsia"/>
                <w:lang w:val="en-US" w:eastAsia="zh-CN"/>
              </w:rPr>
              <w:t>1.直板手持式；</w:t>
            </w:r>
            <w:r>
              <w:rPr>
                <w:rFonts w:hint="eastAsia"/>
                <w:lang w:val="en-US" w:eastAsia="zh-CN"/>
              </w:rPr>
              <w:br w:type="textWrapping"/>
            </w:r>
            <w:r>
              <w:rPr>
                <w:rFonts w:hint="eastAsia"/>
                <w:lang w:val="en-US" w:eastAsia="zh-CN"/>
              </w:rPr>
              <w:t>2.探测方式：支持接近方式与掠过方式探测；</w:t>
            </w:r>
            <w:r>
              <w:rPr>
                <w:rFonts w:hint="eastAsia"/>
                <w:lang w:val="en-US" w:eastAsia="zh-CN"/>
              </w:rPr>
              <w:br w:type="textWrapping"/>
            </w:r>
            <w:r>
              <w:rPr>
                <w:rFonts w:hint="eastAsia"/>
                <w:lang w:val="en-US" w:eastAsia="zh-CN"/>
              </w:rPr>
              <w:t>3.报警方式：声光同步报警，支持震动报警，在静音或嘈杂的环境中均可使用。其中声音报警为70-80dB，报警显示在光照25-100001x的环境下均可见；</w:t>
            </w:r>
            <w:r>
              <w:rPr>
                <w:rFonts w:hint="eastAsia"/>
                <w:lang w:val="en-US" w:eastAsia="zh-CN"/>
              </w:rPr>
              <w:br w:type="textWrapping"/>
            </w:r>
            <w:r>
              <w:rPr>
                <w:rFonts w:hint="eastAsia"/>
                <w:lang w:val="en-US" w:eastAsia="zh-CN"/>
              </w:rPr>
              <w:t>4.报警状态恢复：离开报警测试物规定距离后，立即停止报警；</w:t>
            </w:r>
            <w:r>
              <w:rPr>
                <w:rFonts w:hint="eastAsia"/>
                <w:lang w:val="en-US" w:eastAsia="zh-CN"/>
              </w:rPr>
              <w:br w:type="textWrapping"/>
            </w:r>
            <w:r>
              <w:rPr>
                <w:rFonts w:hint="eastAsia"/>
                <w:lang w:val="en-US" w:eastAsia="zh-CN"/>
              </w:rPr>
              <w:t>5.产品复位：具有极强抗干扰的复位键功能；</w:t>
            </w:r>
            <w:r>
              <w:rPr>
                <w:rFonts w:hint="eastAsia"/>
                <w:lang w:val="en-US" w:eastAsia="zh-CN"/>
              </w:rPr>
              <w:br w:type="textWrapping"/>
            </w:r>
            <w:r>
              <w:rPr>
                <w:rFonts w:hint="eastAsia"/>
                <w:lang w:val="en-US" w:eastAsia="zh-CN"/>
              </w:rPr>
              <w:t>6.低电压工作：电池电压降至80%左右时，探测距离不变；</w:t>
            </w:r>
            <w:r>
              <w:rPr>
                <w:rFonts w:hint="eastAsia"/>
                <w:lang w:val="en-US" w:eastAsia="zh-CN"/>
              </w:rPr>
              <w:br w:type="textWrapping"/>
            </w:r>
            <w:r>
              <w:rPr>
                <w:rFonts w:hint="eastAsia"/>
                <w:lang w:val="en-US" w:eastAsia="zh-CN"/>
              </w:rPr>
              <w:t>7.欠压状态：电池用完时，有自动连续的告警声；</w:t>
            </w:r>
            <w:r>
              <w:rPr>
                <w:rFonts w:hint="eastAsia"/>
                <w:lang w:val="en-US" w:eastAsia="zh-CN"/>
              </w:rPr>
              <w:br w:type="textWrapping"/>
            </w:r>
            <w:r>
              <w:rPr>
                <w:rFonts w:hint="eastAsia"/>
                <w:lang w:val="en-US" w:eastAsia="zh-CN"/>
              </w:rPr>
              <w:t>8.具有较强机壳强度，设备应可在1m高度任意6面自由跌落后仍工作正常；</w:t>
            </w:r>
            <w:r>
              <w:rPr>
                <w:rFonts w:hint="eastAsia"/>
                <w:lang w:val="en-US" w:eastAsia="zh-CN"/>
              </w:rPr>
              <w:br w:type="textWrapping"/>
            </w:r>
            <w:r>
              <w:rPr>
                <w:rFonts w:hint="eastAsia"/>
                <w:lang w:val="en-US" w:eastAsia="zh-CN"/>
              </w:rPr>
              <w:t>9.防滑设计：手握部分采用防滑材料或设计；</w:t>
            </w:r>
            <w:r>
              <w:rPr>
                <w:rFonts w:hint="eastAsia"/>
                <w:lang w:val="en-US" w:eastAsia="zh-CN"/>
              </w:rPr>
              <w:br w:type="textWrapping"/>
            </w:r>
            <w:r>
              <w:rPr>
                <w:rFonts w:hint="eastAsia"/>
                <w:lang w:val="en-US" w:eastAsia="zh-CN"/>
              </w:rPr>
              <w:t>10.探测速度：0-1.8m/s。常规速度1m/s；</w:t>
            </w:r>
            <w:r>
              <w:rPr>
                <w:rFonts w:hint="eastAsia"/>
                <w:lang w:val="en-US" w:eastAsia="zh-CN"/>
              </w:rPr>
              <w:br w:type="textWrapping"/>
            </w:r>
            <w:r>
              <w:rPr>
                <w:rFonts w:hint="eastAsia"/>
                <w:lang w:val="en-US" w:eastAsia="zh-CN"/>
              </w:rPr>
              <w:t>11.最高探测灵敏度：≥0.7∮的大头针针尖；</w:t>
            </w:r>
            <w:r>
              <w:rPr>
                <w:rFonts w:hint="eastAsia"/>
                <w:lang w:val="en-US" w:eastAsia="zh-CN"/>
              </w:rPr>
              <w:br w:type="textWrapping"/>
            </w:r>
            <w:r>
              <w:rPr>
                <w:rFonts w:hint="eastAsia"/>
                <w:lang w:val="en-US" w:eastAsia="zh-CN"/>
              </w:rPr>
              <w:t>12.辐射磁场：设备产生辐射磁场，表面任何一点磁场强度小于20μT；</w:t>
            </w:r>
            <w:r>
              <w:rPr>
                <w:rFonts w:hint="eastAsia"/>
                <w:lang w:val="en-US" w:eastAsia="zh-CN"/>
              </w:rPr>
              <w:br w:type="textWrapping"/>
            </w:r>
            <w:r>
              <w:rPr>
                <w:rFonts w:hint="eastAsia"/>
                <w:lang w:val="en-US" w:eastAsia="zh-CN"/>
              </w:rPr>
              <w:t>13.设备抗互干</w:t>
            </w:r>
            <w:r>
              <w:rPr>
                <w:rFonts w:hint="eastAsia"/>
                <w:highlight w:val="none"/>
                <w:lang w:val="en-US" w:eastAsia="zh-CN"/>
              </w:rPr>
              <w:t>扰：多台设备相隔</w:t>
            </w:r>
            <w:r>
              <w:rPr>
                <w:rFonts w:hint="eastAsia" w:ascii="宋体" w:hAnsi="宋体" w:eastAsia="宋体" w:cs="宋体"/>
                <w:i w:val="0"/>
                <w:color w:val="000000"/>
                <w:kern w:val="0"/>
                <w:sz w:val="21"/>
                <w:szCs w:val="21"/>
                <w:highlight w:val="none"/>
                <w:u w:val="none"/>
                <w:lang w:val="en-US" w:eastAsia="zh-CN" w:bidi="ar"/>
              </w:rPr>
              <w:t>≥</w:t>
            </w:r>
            <w:r>
              <w:rPr>
                <w:rFonts w:hint="eastAsia"/>
                <w:highlight w:val="none"/>
                <w:lang w:val="en-US" w:eastAsia="zh-CN"/>
              </w:rPr>
              <w:t>0.5M，同时使用，均正常工作，无误报警；</w:t>
            </w:r>
            <w:r>
              <w:rPr>
                <w:rFonts w:hint="eastAsia"/>
                <w:lang w:val="en-US" w:eastAsia="zh-CN"/>
              </w:rPr>
              <w:br w:type="textWrapping"/>
            </w:r>
            <w:r>
              <w:rPr>
                <w:rFonts w:hint="eastAsia"/>
                <w:lang w:val="en-US" w:eastAsia="zh-CN"/>
              </w:rPr>
              <w:t>14.设备要求：设备上含有注明电池安装方向、极性的示意图，需用中文标出文字清晰牢固；要求有中文包装和说明书,明确注明生产厂家与联系方式，标识考场专用设备。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9180.00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服务器机柜</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1.尺寸：宽600mm*深1070</w:t>
            </w:r>
            <w:r>
              <w:rPr>
                <w:rFonts w:hint="eastAsia" w:ascii="宋体" w:hAnsi="宋体" w:cs="宋体"/>
                <w:i w:val="0"/>
                <w:color w:val="000000"/>
                <w:kern w:val="0"/>
                <w:sz w:val="21"/>
                <w:szCs w:val="21"/>
                <w:u w:val="none"/>
                <w:lang w:val="en-US" w:eastAsia="zh-CN" w:bidi="ar"/>
              </w:rPr>
              <w:t>mm</w:t>
            </w:r>
            <w:r>
              <w:rPr>
                <w:rFonts w:hint="eastAsia" w:ascii="宋体" w:hAnsi="宋体" w:eastAsia="宋体" w:cs="宋体"/>
                <w:i w:val="0"/>
                <w:color w:val="000000"/>
                <w:kern w:val="0"/>
                <w:sz w:val="21"/>
                <w:szCs w:val="21"/>
                <w:u w:val="none"/>
                <w:lang w:val="en-US" w:eastAsia="zh-CN" w:bidi="ar"/>
              </w:rPr>
              <w:t>*高2045mm，颜色为黑色；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2.材料：采用高强度的钢优质冷轧板，主体骨架为2.0mm，其他为1.2mm</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3.前门：前门为单开高密度平板网孔门，具有良好的通风散热能力。后门：后门为双开高密度平板网孔门，具有良好的通风散热能力；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4.承重：机柜最大静载荷应满足1000KG；防护等级IP20；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5.表层：IP23级安全保护标准，采用全自动喷涂生产线，先磷酸盐防锈加保护模处理，后进入高温喷粉，表层耐磨；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6.标配：</w:t>
            </w:r>
            <w:r>
              <w:rPr>
                <w:rFonts w:hint="eastAsia" w:ascii="宋体" w:hAnsi="宋体" w:eastAsia="宋体" w:cs="宋体"/>
                <w:i w:val="0"/>
                <w:color w:val="000000"/>
                <w:kern w:val="0"/>
                <w:sz w:val="21"/>
                <w:szCs w:val="21"/>
                <w:highlight w:val="none"/>
                <w:u w:val="none"/>
                <w:lang w:val="en-US" w:eastAsia="zh-CN" w:bidi="ar"/>
              </w:rPr>
              <w:t>≥2把风扇,≥2块层板,≥1个五插电源,≥2条束线槽</w:t>
            </w:r>
            <w:r>
              <w:rPr>
                <w:rFonts w:hint="eastAsia" w:ascii="宋体" w:hAnsi="宋体" w:cs="宋体"/>
                <w:i w:val="0"/>
                <w:color w:val="000000"/>
                <w:kern w:val="0"/>
                <w:sz w:val="21"/>
                <w:szCs w:val="21"/>
                <w:highlight w:val="none"/>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4500.00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3位监控台</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r>
              <w:rPr>
                <w:rFonts w:hint="eastAsia" w:ascii="宋体" w:hAnsi="宋体" w:cs="宋体"/>
                <w:i w:val="0"/>
                <w:color w:val="000000"/>
                <w:kern w:val="0"/>
                <w:sz w:val="21"/>
                <w:szCs w:val="21"/>
                <w:u w:val="none"/>
                <w:lang w:val="en-US" w:eastAsia="zh-CN" w:bidi="ar"/>
              </w:rPr>
              <w:t>个</w:t>
            </w:r>
            <w:r>
              <w:rPr>
                <w:rFonts w:hint="eastAsia" w:ascii="宋体" w:hAnsi="宋体" w:eastAsia="宋体" w:cs="宋体"/>
                <w:i w:val="0"/>
                <w:color w:val="000000"/>
                <w:kern w:val="0"/>
                <w:sz w:val="21"/>
                <w:szCs w:val="21"/>
                <w:u w:val="none"/>
                <w:lang w:val="en-US" w:eastAsia="zh-CN" w:bidi="ar"/>
              </w:rPr>
              <w:t>操作位；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2.材质：≥1.2mm优质冷轧钢板；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3.表面处理：静电喷塑，放置校级巡查服务器、客户端主机；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4.内预留强电插排、交换机位置及接地螺栓</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内部每联配1个层板，开敞式设计</w:t>
            </w:r>
            <w:r>
              <w:rPr>
                <w:rFonts w:hint="eastAsia" w:ascii="宋体" w:hAnsi="宋体" w:cs="宋体"/>
                <w:i w:val="0"/>
                <w:color w:val="00000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7000.00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6K UPS</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UPS主机为单进单出，双变换纯在</w:t>
            </w:r>
            <w:r>
              <w:rPr>
                <w:rFonts w:hint="eastAsia" w:ascii="宋体" w:hAnsi="宋体" w:eastAsia="宋体" w:cs="宋体"/>
                <w:i w:val="0"/>
                <w:iCs w:val="0"/>
                <w:color w:val="000000"/>
                <w:kern w:val="0"/>
                <w:sz w:val="21"/>
                <w:szCs w:val="21"/>
                <w:highlight w:val="none"/>
                <w:u w:val="none"/>
                <w:lang w:val="en-US" w:eastAsia="zh-CN" w:bidi="ar"/>
              </w:rPr>
              <w:t>线式，功率</w:t>
            </w:r>
            <w:r>
              <w:rPr>
                <w:rFonts w:hint="eastAsia" w:ascii="宋体" w:hAnsi="宋体" w:eastAsia="宋体" w:cs="宋体"/>
                <w:i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6kVA；</w:t>
            </w:r>
            <w:r>
              <w:rPr>
                <w:rFonts w:hint="eastAsia" w:ascii="宋体" w:hAnsi="宋体" w:eastAsia="宋体" w:cs="宋体"/>
                <w:i w:val="0"/>
                <w:iCs w:val="0"/>
                <w:color w:val="000000"/>
                <w:kern w:val="0"/>
                <w:sz w:val="21"/>
                <w:szCs w:val="21"/>
                <w:highlight w:val="yellow"/>
                <w:u w:val="none"/>
                <w:lang w:val="en-US" w:eastAsia="zh-CN" w:bidi="ar"/>
              </w:rPr>
              <w:br w:type="textWrapping"/>
            </w:r>
            <w:r>
              <w:rPr>
                <w:rFonts w:hint="eastAsia" w:ascii="宋体" w:hAnsi="宋体" w:cs="宋体"/>
                <w:color w:val="000000"/>
                <w:szCs w:val="21"/>
              </w:rPr>
              <w:t>▲</w:t>
            </w: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输入电压范围：160～275Vac；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输入功率因数≥0.99；</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输出电压范围：200/208/220/230/240±1%；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输出功率因数：≥0.8；</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过载能力，105%～110%: 10 min；110%～130%:1min,＞130%：3s；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输出电压谐波THDV:线性负载时＜3%，非线性负载＜5%；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UPS整机效率≥93％；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color w:val="000000"/>
                <w:szCs w:val="21"/>
              </w:rPr>
              <w:t>▲</w:t>
            </w:r>
            <w:r>
              <w:rPr>
                <w:rFonts w:hint="eastAsia" w:ascii="宋体" w:hAnsi="宋体" w:eastAsia="宋体" w:cs="宋体"/>
                <w:i w:val="0"/>
                <w:iCs w:val="0"/>
                <w:color w:val="auto"/>
                <w:kern w:val="0"/>
                <w:sz w:val="21"/>
                <w:szCs w:val="21"/>
                <w:u w:val="none"/>
                <w:lang w:val="en-US" w:eastAsia="zh-CN" w:bidi="ar"/>
              </w:rPr>
              <w:t>9</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面板采用LED显示UPS的运行状况、LCD显示UPS的运行参数、整机工作状态；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标配RS232数据接口、USB接口、可选配SNMP网络适配器接口、干接口等，以实现局域网监控</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UPS需要具备电池冷启动功能</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color w:val="000000"/>
                <w:szCs w:val="21"/>
              </w:rPr>
              <w:t>▲</w:t>
            </w:r>
            <w:r>
              <w:rPr>
                <w:rFonts w:hint="eastAsia" w:ascii="宋体" w:hAnsi="宋体" w:eastAsia="宋体" w:cs="宋体"/>
                <w:i w:val="0"/>
                <w:iCs w:val="0"/>
                <w:color w:val="auto"/>
                <w:kern w:val="0"/>
                <w:sz w:val="21"/>
                <w:szCs w:val="21"/>
                <w:u w:val="none"/>
                <w:lang w:val="en-US" w:eastAsia="zh-CN" w:bidi="ar"/>
              </w:rPr>
              <w:t>12</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主机需要标配EPO功能，能在紧急情况下，迅速切断UPS电源</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报警功能：具备电池低压、市电异常、UPS故障、输出过载、输出短路报警功能</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保护功能：具备电池欠压、过载、短路、过温保护功能</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color w:val="000000"/>
                <w:szCs w:val="21"/>
              </w:rPr>
              <w:t>▲</w:t>
            </w:r>
            <w:r>
              <w:rPr>
                <w:rFonts w:hint="eastAsia" w:ascii="宋体" w:hAnsi="宋体" w:eastAsia="宋体" w:cs="宋体"/>
                <w:i w:val="0"/>
                <w:iCs w:val="0"/>
                <w:color w:val="auto"/>
                <w:kern w:val="0"/>
                <w:sz w:val="21"/>
                <w:szCs w:val="21"/>
                <w:u w:val="none"/>
                <w:lang w:val="en-US" w:eastAsia="zh-CN" w:bidi="ar"/>
              </w:rPr>
              <w:t>15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输入电压可变范围、输入功率因数、输入电流谐波成</w:t>
            </w:r>
            <w:r>
              <w:rPr>
                <w:rFonts w:hint="eastAsia" w:ascii="宋体" w:hAnsi="宋体" w:eastAsia="宋体" w:cs="宋体"/>
                <w:i w:val="0"/>
                <w:iCs w:val="0"/>
                <w:color w:val="000000"/>
                <w:kern w:val="0"/>
                <w:sz w:val="21"/>
                <w:szCs w:val="21"/>
                <w:highlight w:val="none"/>
                <w:u w:val="none"/>
                <w:lang w:val="en-US" w:eastAsia="zh-CN" w:bidi="ar"/>
              </w:rPr>
              <w:t>分、输出电压稳压精度</w:t>
            </w:r>
            <w:r>
              <w:rPr>
                <w:rFonts w:hint="eastAsia" w:ascii="宋体" w:hAnsi="宋体" w:eastAsia="宋体" w:cs="宋体"/>
                <w:i w:val="0"/>
                <w:iCs w:val="0"/>
                <w:color w:val="auto"/>
                <w:kern w:val="0"/>
                <w:sz w:val="21"/>
                <w:szCs w:val="21"/>
                <w:highlight w:val="none"/>
                <w:u w:val="none"/>
                <w:lang w:val="en-US" w:eastAsia="zh-CN" w:bidi="ar"/>
              </w:rPr>
              <w:t>、输出波形失真度、电压瞬变恢复时间、旁路逆变转换时间、过载能力符合中国泰尔实验室检验Ⅰ类标准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cs="宋体"/>
                <w:color w:val="000000"/>
                <w:kern w:val="0"/>
                <w:szCs w:val="21"/>
                <w:highlight w:val="none"/>
                <w:u w:val="none"/>
                <w:lang w:bidi="ar"/>
              </w:rPr>
              <w:t>投标时提供国家认可的有资质的第三方检验检测机构出具的合格检验检测报告复印件，检验检测报告可以是投标人自己送检的，也可以是生产厂家的或者是原材料供应商的，并加盖投标人公章,签订合同前须提供原件备查或提供可以查询证明复印件真实性和完整性的方式和渠道</w:t>
            </w:r>
            <w:r>
              <w:rPr>
                <w:rFonts w:hint="eastAsia" w:ascii="宋体" w:hAnsi="宋体" w:cs="宋体"/>
                <w:color w:val="000000"/>
                <w:kern w:val="0"/>
                <w:szCs w:val="21"/>
                <w:highlight w:val="none"/>
                <w:u w:val="none"/>
                <w:lang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color w:val="000000"/>
                <w:szCs w:val="21"/>
              </w:rPr>
              <w:t>▲</w:t>
            </w:r>
            <w:r>
              <w:rPr>
                <w:rFonts w:hint="eastAsia" w:ascii="宋体" w:hAnsi="宋体" w:eastAsia="宋体" w:cs="宋体"/>
                <w:i w:val="0"/>
                <w:iCs w:val="0"/>
                <w:color w:val="auto"/>
                <w:kern w:val="0"/>
                <w:sz w:val="21"/>
                <w:szCs w:val="21"/>
                <w:highlight w:val="none"/>
                <w:u w:val="none"/>
                <w:lang w:val="en-US" w:eastAsia="zh-CN" w:bidi="ar"/>
              </w:rPr>
              <w:t>16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生产厂家设有统一的800或400免费维修电话，确保24小时随时响应，在售后服务承诺书中体现；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color w:val="000000"/>
                <w:szCs w:val="21"/>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、竞标时提供产品彩页复印件或技术资料作为核查依据</w:t>
            </w:r>
            <w:r>
              <w:rPr>
                <w:rStyle w:val="34"/>
                <w:rFonts w:hint="eastAsia" w:ascii="宋体" w:hAnsi="宋体" w:eastAsia="宋体" w:cs="宋体"/>
                <w:color w:val="auto"/>
                <w:sz w:val="21"/>
                <w:szCs w:val="21"/>
                <w:highlight w:val="none"/>
                <w:lang w:val="en-US" w:eastAsia="zh-CN" w:bidi="ar"/>
              </w:rPr>
              <w:t>（加盖</w:t>
            </w:r>
            <w:r>
              <w:rPr>
                <w:rStyle w:val="34"/>
                <w:rFonts w:hint="eastAsia" w:ascii="宋体" w:hAnsi="宋体" w:cs="宋体"/>
                <w:color w:val="auto"/>
                <w:sz w:val="21"/>
                <w:szCs w:val="21"/>
                <w:highlight w:val="none"/>
                <w:lang w:val="en-US" w:eastAsia="zh-CN" w:bidi="ar"/>
              </w:rPr>
              <w:t>竞标人</w:t>
            </w:r>
            <w:r>
              <w:rPr>
                <w:rStyle w:val="34"/>
                <w:rFonts w:hint="eastAsia" w:ascii="宋体" w:hAnsi="宋体" w:eastAsia="宋体" w:cs="宋体"/>
                <w:color w:val="auto"/>
                <w:sz w:val="21"/>
                <w:szCs w:val="21"/>
                <w:highlight w:val="none"/>
                <w:lang w:val="en-US" w:eastAsia="zh-CN" w:bidi="ar"/>
              </w:rPr>
              <w:t>公章）</w:t>
            </w:r>
            <w:r>
              <w:rPr>
                <w:rStyle w:val="34"/>
                <w:rFonts w:hint="eastAsia" w:ascii="宋体" w:hAnsi="宋体" w:cs="宋体"/>
                <w:color w:val="auto"/>
                <w:sz w:val="21"/>
                <w:szCs w:val="21"/>
                <w:highlight w:val="none"/>
                <w:lang w:val="en-US" w:eastAsia="zh-CN" w:bidi="ar"/>
              </w:rPr>
              <w:t>，签订合同前提供原件备查。</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8500.00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专业高性能蓄电池</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节</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cs="宋体"/>
                <w:color w:val="000000"/>
                <w:szCs w:val="21"/>
              </w:rPr>
              <w:t>▲</w:t>
            </w:r>
            <w:r>
              <w:rPr>
                <w:rFonts w:hint="eastAsia" w:ascii="宋体" w:hAnsi="宋体" w:eastAsia="宋体" w:cs="宋体"/>
                <w:i w:val="0"/>
                <w:color w:val="000000"/>
                <w:kern w:val="0"/>
                <w:sz w:val="21"/>
                <w:szCs w:val="21"/>
                <w:u w:val="none"/>
                <w:lang w:val="en-US" w:eastAsia="zh-CN" w:bidi="ar"/>
              </w:rPr>
              <w:t>1.铅酸免维护蓄电池，电池电压：单体额定电压</w:t>
            </w:r>
            <w:r>
              <w:rPr>
                <w:rFonts w:hint="eastAsia" w:ascii="宋体" w:hAnsi="宋体" w:eastAsia="宋体" w:cs="宋体"/>
                <w:i w:val="0"/>
                <w:color w:val="000000"/>
                <w:kern w:val="0"/>
                <w:sz w:val="21"/>
                <w:szCs w:val="21"/>
                <w:highlight w:val="none"/>
                <w:u w:val="none"/>
                <w:lang w:val="en-US" w:eastAsia="zh-CN" w:bidi="ar"/>
              </w:rPr>
              <w:t>为12V,电池容量：100AH；</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2.外观要求：正、负极端子有明显标志，端子的连接采用螺栓、螺母连接方式；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3.气密性：蓄电池应能承受50kPa的正压或负压而不破裂、不开胶，压力释放后壳体无残余变形</w:t>
            </w:r>
            <w:r>
              <w:rPr>
                <w:rFonts w:hint="eastAsia" w:ascii="宋体" w:hAnsi="宋体" w:cs="宋体"/>
                <w:i w:val="0"/>
                <w:color w:val="00000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16800.00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电池柜</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1.材料需选用防腐材料，侧板有散热孔，可拆装式全开放式结构，安装检修方便，造型美观，曲线流畅，拆装方便；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2.冷轧钢板制造，结构紧凑合理，黑色；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3.规格尺寸（长*宽*高）：780×470×1190mm,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4.内含电池连接线、端子等安装辅材，满足蓄电池安装要求；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5.机械性能高，承载能力大，防火性能好，整箱静电喷塑、耐磨、防蚀</w:t>
            </w:r>
            <w:r>
              <w:rPr>
                <w:rFonts w:hint="eastAsia" w:ascii="宋体" w:hAnsi="宋体" w:cs="宋体"/>
                <w:i w:val="0"/>
                <w:color w:val="00000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850.00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6U墙柜</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尺寸：6U；</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2.材料厚度：设备安装方孔条≥2.0MM，框架≥1.5MM，其它≥1.2MM；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3.材料全部采用SPCC优质冷轧钢板；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4.结构：全新拼装式焊接框架,达到10级抗震结构要求，牢固可靠。镀锌方孔条可使得安装在方孔条上设备消除静电干扰，保护设备安全。方孔条上清晰的U位丝印和凹口定位，方便设备安装；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5.涂层：外表面无明显划伤、碰伤、针孔、颗粒，无附着性污渍，涂层无裂纹、起泡、起皮、掉漆现象，内表面及角弯处无喷涂露底。涂层均匀，纹路大小一致，各部件无明显色差</w:t>
            </w:r>
            <w:r>
              <w:rPr>
                <w:rFonts w:hint="eastAsia" w:ascii="宋体" w:hAnsi="宋体" w:cs="宋体"/>
                <w:i w:val="0"/>
                <w:color w:val="00000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主电源线</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符合标准：GB/T 5023.5-2008/(JB/T 8734.3-2016)；</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导体为多支退火裸铜绞合；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聚氯乙烯绝缘；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聚氯乙烯护套；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采用挤压式紧护套；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规格：RVV3*2.5mm²；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额定电压：U0/U 为 300/500V；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额定温度：70℃</w:t>
            </w:r>
            <w:r>
              <w:rPr>
                <w:rFonts w:hint="eastAsia" w:ascii="宋体" w:hAnsi="宋体" w:cs="宋体"/>
                <w:i w:val="0"/>
                <w:color w:val="00000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1902.00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1"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电源线</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1425</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300" w:lineRule="exact"/>
              <w:jc w:val="lef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符合标准：GB/T 5023.5-2008/(JB/T 8734.3-2016)；</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导体为多支退火裸铜绞合；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聚氯乙烯绝缘；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聚氯乙烯护套；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采用挤压式紧护套；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规格：RVV2*1.0mm²；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额定电压：U0/U 为 300/500V；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额定温度：70℃</w:t>
            </w:r>
            <w:r>
              <w:rPr>
                <w:rFonts w:hint="eastAsia" w:ascii="宋体" w:hAnsi="宋体" w:cs="宋体"/>
                <w:i w:val="0"/>
                <w:color w:val="00000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4503.00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六类非屏蔽双绞线</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5130</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六类非屏蔽双绞线</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控标参数：护套材质：PVC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护套颜色（可选）：默认灰色；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成品外径：6.3±0.3mm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导体：99.99%无氧铜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导体直径：23AWG；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导体绝缘外径：1.1±0.05mm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highlight w:val="none"/>
                <w:u w:val="none"/>
                <w:lang w:val="en-US" w:eastAsia="zh-CN" w:bidi="ar"/>
              </w:rPr>
              <w:t xml:space="preserve">芯数：4*2 </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特性阻抗：100±15Ω；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 xml:space="preserve">导体间介电强度，DC，1min：1Kv/1min；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10.</w:t>
            </w:r>
            <w:r>
              <w:rPr>
                <w:rFonts w:hint="eastAsia" w:ascii="宋体" w:hAnsi="宋体" w:eastAsia="宋体" w:cs="宋体"/>
                <w:i w:val="0"/>
                <w:color w:val="000000"/>
                <w:kern w:val="0"/>
                <w:sz w:val="21"/>
                <w:szCs w:val="21"/>
                <w:u w:val="none"/>
                <w:lang w:val="en-US" w:eastAsia="zh-CN" w:bidi="ar"/>
              </w:rPr>
              <w:t>工作电容最大值：≤5.6nF/100m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11.</w:t>
            </w:r>
            <w:r>
              <w:rPr>
                <w:rFonts w:hint="eastAsia" w:ascii="宋体" w:hAnsi="宋体" w:eastAsia="宋体" w:cs="宋体"/>
                <w:i w:val="0"/>
                <w:color w:val="000000"/>
                <w:kern w:val="0"/>
                <w:sz w:val="21"/>
                <w:szCs w:val="21"/>
                <w:u w:val="none"/>
                <w:lang w:val="en-US" w:eastAsia="zh-CN" w:bidi="ar"/>
              </w:rPr>
              <w:t>单根导体最大电阻：≤9.5Ω/100m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12.</w:t>
            </w:r>
            <w:r>
              <w:rPr>
                <w:rFonts w:hint="eastAsia" w:ascii="宋体" w:hAnsi="宋体" w:eastAsia="宋体" w:cs="宋体"/>
                <w:i w:val="0"/>
                <w:color w:val="000000"/>
                <w:kern w:val="0"/>
                <w:sz w:val="21"/>
                <w:szCs w:val="21"/>
                <w:u w:val="none"/>
                <w:lang w:val="en-US" w:eastAsia="zh-CN" w:bidi="ar"/>
              </w:rPr>
              <w:t>线对直流电阻不平衡性：≤2.5%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13.</w:t>
            </w:r>
            <w:r>
              <w:rPr>
                <w:rFonts w:hint="eastAsia" w:ascii="宋体" w:hAnsi="宋体" w:eastAsia="宋体" w:cs="宋体"/>
                <w:i w:val="0"/>
                <w:color w:val="000000"/>
                <w:kern w:val="0"/>
                <w:sz w:val="21"/>
                <w:szCs w:val="21"/>
                <w:u w:val="none"/>
                <w:lang w:val="en-US" w:eastAsia="zh-CN" w:bidi="ar"/>
              </w:rPr>
              <w:t>最小互电容：51pf/m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14.</w:t>
            </w:r>
            <w:r>
              <w:rPr>
                <w:rFonts w:hint="eastAsia" w:ascii="宋体" w:hAnsi="宋体" w:eastAsia="宋体" w:cs="宋体"/>
                <w:i w:val="0"/>
                <w:color w:val="000000"/>
                <w:kern w:val="0"/>
                <w:sz w:val="21"/>
                <w:szCs w:val="21"/>
                <w:u w:val="none"/>
                <w:lang w:val="en-US" w:eastAsia="zh-CN" w:bidi="ar"/>
              </w:rPr>
              <w:t>最大平衡电容：160pf/km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15.</w:t>
            </w:r>
            <w:r>
              <w:rPr>
                <w:rFonts w:hint="eastAsia" w:ascii="宋体" w:hAnsi="宋体" w:eastAsia="宋体" w:cs="宋体"/>
                <w:i w:val="0"/>
                <w:color w:val="000000"/>
                <w:kern w:val="0"/>
                <w:sz w:val="21"/>
                <w:szCs w:val="21"/>
                <w:u w:val="none"/>
                <w:lang w:val="en-US" w:eastAsia="zh-CN" w:bidi="ar"/>
              </w:rPr>
              <w:t>最大电流平衡：2%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16.</w:t>
            </w:r>
            <w:r>
              <w:rPr>
                <w:rFonts w:hint="eastAsia" w:ascii="宋体" w:hAnsi="宋体" w:eastAsia="宋体" w:cs="宋体"/>
                <w:i w:val="0"/>
                <w:color w:val="000000"/>
                <w:kern w:val="0"/>
                <w:sz w:val="21"/>
                <w:szCs w:val="21"/>
                <w:u w:val="none"/>
                <w:lang w:val="en-US" w:eastAsia="zh-CN" w:bidi="ar"/>
              </w:rPr>
              <w:t>敷设弯曲半径：建议敷设弯曲半径&gt;8倍线缆外径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17.</w:t>
            </w:r>
            <w:r>
              <w:rPr>
                <w:rFonts w:hint="eastAsia" w:ascii="宋体" w:hAnsi="宋体" w:eastAsia="宋体" w:cs="宋体"/>
                <w:i w:val="0"/>
                <w:color w:val="000000"/>
                <w:kern w:val="0"/>
                <w:sz w:val="21"/>
                <w:szCs w:val="21"/>
                <w:u w:val="none"/>
                <w:lang w:val="en-US" w:eastAsia="zh-CN" w:bidi="ar"/>
              </w:rPr>
              <w:t>敷设拉力：建议敷设时短期拉力&lt;110N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18.</w:t>
            </w:r>
            <w:r>
              <w:rPr>
                <w:rFonts w:hint="eastAsia" w:ascii="宋体" w:hAnsi="宋体" w:eastAsia="宋体" w:cs="宋体"/>
                <w:i w:val="0"/>
                <w:color w:val="000000"/>
                <w:kern w:val="0"/>
                <w:sz w:val="21"/>
                <w:szCs w:val="21"/>
                <w:u w:val="none"/>
                <w:lang w:val="en-US" w:eastAsia="zh-CN" w:bidi="ar"/>
              </w:rPr>
              <w:t>使用拉力：建议使用时长期拉力&lt;20N施工温度：0～40℃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19.</w:t>
            </w:r>
            <w:r>
              <w:rPr>
                <w:rFonts w:hint="eastAsia" w:ascii="宋体" w:hAnsi="宋体" w:eastAsia="宋体" w:cs="宋体"/>
                <w:i w:val="0"/>
                <w:color w:val="000000"/>
                <w:kern w:val="0"/>
                <w:sz w:val="21"/>
                <w:szCs w:val="21"/>
                <w:u w:val="none"/>
                <w:lang w:val="en-US" w:eastAsia="zh-CN" w:bidi="ar"/>
              </w:rPr>
              <w:t>使用温度： -10～60℃</w:t>
            </w:r>
            <w:r>
              <w:rPr>
                <w:rFonts w:hint="eastAsia" w:ascii="宋体" w:hAnsi="宋体" w:cs="宋体"/>
                <w:i w:val="0"/>
                <w:color w:val="00000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12568.50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室外光纤</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室外8芯单模光缆</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1.8芯室外 单模9/125um；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2.阻水带纵包防止光缆的纵向渗水；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3.两根平行钢丝保证光缆的抗拉强度；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4.PE护套具有很好的抗紫外线辐射性能及耐环境应力开裂性能；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5.直径小、重量轻、容易敷设；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6.适用于长途通信和局间通信</w:t>
            </w:r>
            <w:r>
              <w:rPr>
                <w:rFonts w:hint="eastAsia" w:ascii="宋体" w:hAnsi="宋体" w:cs="宋体"/>
                <w:i w:val="0"/>
                <w:color w:val="00000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2600.00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光模块</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SFP千兆单模LC双纤光模块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3000.00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网络专线</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点对点专线，带宽为200Mbps，专线速率上、下行对称，要求与互联网物理隔离，保证数据传输的安全和稳定；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投标人所采用的网络为面向分组传送的弹性网络，可应对采购人突发的带宽增长需求；</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Hans" w:bidi="ar"/>
              </w:rPr>
              <w:t>.</w:t>
            </w:r>
            <w:r>
              <w:rPr>
                <w:rFonts w:hint="eastAsia" w:ascii="宋体" w:hAnsi="宋体" w:eastAsia="宋体" w:cs="宋体"/>
                <w:i w:val="0"/>
                <w:color w:val="000000"/>
                <w:kern w:val="0"/>
                <w:sz w:val="21"/>
                <w:szCs w:val="21"/>
                <w:u w:val="none"/>
                <w:lang w:val="en-US" w:eastAsia="zh-CN" w:bidi="ar"/>
              </w:rPr>
              <w:t>线路汇聚层和骨干层具有自愈环保护功能，具备不超过50ms保护倒换能力，保证专线不会因光缆的意外阻断或部分设备故障而中断；</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Hans" w:bidi="ar"/>
              </w:rPr>
              <w:t>.</w:t>
            </w:r>
            <w:r>
              <w:rPr>
                <w:rFonts w:hint="eastAsia" w:ascii="宋体" w:hAnsi="宋体" w:eastAsia="宋体" w:cs="宋体"/>
                <w:i w:val="0"/>
                <w:color w:val="000000"/>
                <w:kern w:val="0"/>
                <w:sz w:val="21"/>
                <w:szCs w:val="21"/>
                <w:u w:val="none"/>
                <w:lang w:val="en-US" w:eastAsia="zh-CN" w:bidi="ar"/>
              </w:rPr>
              <w:t>要求全网的传输设备均具备网管能力，全程提供端到端的网管监控功能，实行7*24小时不间断监控，可有效地检测并定位网络故障；</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Hans" w:bidi="ar"/>
              </w:rPr>
              <w:t>.</w:t>
            </w:r>
            <w:r>
              <w:rPr>
                <w:rFonts w:hint="eastAsia" w:ascii="宋体" w:hAnsi="宋体" w:eastAsia="宋体" w:cs="宋体"/>
                <w:i w:val="0"/>
                <w:color w:val="000000"/>
                <w:kern w:val="0"/>
                <w:sz w:val="21"/>
                <w:szCs w:val="21"/>
                <w:u w:val="none"/>
                <w:lang w:val="en-US" w:eastAsia="zh-CN" w:bidi="ar"/>
              </w:rPr>
              <w:t>提供各种主流物理光、电接口，如RJ45/LC/FC等供采购人使用；</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Hans" w:bidi="ar"/>
              </w:rPr>
              <w:t>.</w:t>
            </w:r>
            <w:r>
              <w:rPr>
                <w:rFonts w:hint="eastAsia" w:ascii="宋体" w:hAnsi="宋体" w:eastAsia="宋体" w:cs="宋体"/>
                <w:i w:val="0"/>
                <w:color w:val="000000"/>
                <w:kern w:val="0"/>
                <w:sz w:val="21"/>
                <w:szCs w:val="21"/>
                <w:u w:val="none"/>
                <w:lang w:val="en-US" w:eastAsia="zh-CN" w:bidi="ar"/>
              </w:rPr>
              <w:t>线路技术指标：丢包率≤0.1%，且不允许出现连续丢包；PING测1M报文，最大时延≤10ms；</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default" w:ascii="宋体" w:hAnsi="宋体" w:cs="宋体"/>
                <w:i w:val="0"/>
                <w:color w:val="000000"/>
                <w:kern w:val="0"/>
                <w:sz w:val="21"/>
                <w:szCs w:val="21"/>
                <w:u w:val="none"/>
                <w:lang w:eastAsia="zh-CN" w:bidi="ar"/>
              </w:rPr>
              <w:t>7.</w:t>
            </w:r>
            <w:r>
              <w:rPr>
                <w:rFonts w:hint="eastAsia" w:ascii="宋体" w:hAnsi="宋体" w:eastAsia="宋体" w:cs="宋体"/>
                <w:i w:val="0"/>
                <w:color w:val="000000"/>
                <w:kern w:val="0"/>
                <w:sz w:val="21"/>
                <w:szCs w:val="21"/>
                <w:u w:val="none"/>
                <w:lang w:val="en-US" w:eastAsia="zh-CN" w:bidi="ar"/>
              </w:rPr>
              <w:t>学校到高新区教育局标准化考场指挥中心平台接入线路，含专线初装费用及1年租金</w:t>
            </w:r>
            <w:r>
              <w:rPr>
                <w:rFonts w:hint="eastAsia" w:ascii="宋体" w:hAnsi="宋体" w:cs="宋体"/>
                <w:i w:val="0"/>
                <w:color w:val="00000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4600.00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辅助材料</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含安装盒、摄像机电源、电源插座、一分二电源转接线、单DC母头、水晶头、莲花头、PVC管\槽、光纤跳线多功能排插、空开盒（含空开）、螺钉、胶布、玻璃胶、标签等</w:t>
            </w:r>
            <w:r>
              <w:rPr>
                <w:rFonts w:hint="eastAsia" w:ascii="宋体" w:hAnsi="宋体" w:cs="宋体"/>
                <w:i w:val="0"/>
                <w:color w:val="00000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8000.00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安装调试</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项目涉及的货物（设备、材料等）运输、安装与调试</w:t>
            </w:r>
            <w:r>
              <w:rPr>
                <w:rFonts w:hint="eastAsia" w:ascii="宋体" w:hAnsi="宋体" w:cs="宋体"/>
                <w:i w:val="0"/>
                <w:color w:val="00000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62000.00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技术服务</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项目涉及的由厂家提供技术服务，实现与南宁市高新区教育局标准化考场指挥中心系统无缝连接，与南宁市招生考试院国家教育考试巡查系统无缝连接</w:t>
            </w:r>
            <w:r>
              <w:rPr>
                <w:rFonts w:hint="eastAsia" w:ascii="宋体" w:hAnsi="宋体" w:cs="宋体"/>
                <w:i w:val="0"/>
                <w:color w:val="00000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43200.00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运维服务</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涉及项目3年的售后服务，包括设备质保、故障处理、考试保障等措施服务</w:t>
            </w:r>
            <w:r>
              <w:rPr>
                <w:rFonts w:hint="eastAsia" w:ascii="宋体" w:hAnsi="宋体" w:cs="宋体"/>
                <w:i w:val="0"/>
                <w:color w:val="00000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27000.00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6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二、标准化考场听力广播系统</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1"/>
                <w:szCs w:val="21"/>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DVD播放器</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产品特点</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1.采用全新一代控制芯片，轻触式按键操作；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2.面板具有1-5 / 5+按键快速选曲功能，具有上一曲、下一曲、快进、快退、播放、暂停、停止、播放模式等快捷按键；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3.面板LED显示屏支持显示播放状态和已播放时间、剩余播放时间、总时间；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4.支持碟片格式：CD、VCD、DVD。内置MP3播放器，具备USB接口，支持读取和播放U盘等移动存储设备的音频文件；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5.支持播放MP3、WAV音频格式；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6.具有1路6.35mm音频输出接口，可独立音量调节；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7.具有1路AV、1路HDMI视频输出接口，其中HDMI带音频输出；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8.具有多功能红外线遥控器，支持升降调按键组；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9.播放DVD视频时，可切换开关转换显示字幕；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10.支持重复播放模式、单曲播放模式、连续播放模式</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技术参数</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1.音源输出：1组RCA左右声道，1路同轴数字信号，1x光纤数字信号；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2.音源规格：DISC光碟（CD/VCD/DVD）、USB；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3.视频输出：1路AV视频输出，1路HDMI视频输出；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4.HDMI输出分辨率：480P；</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5.信噪比：95dB；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6.响应频率：20Hz–20kHz；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7.总谐波失真：＜0.01%；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8.动态范围：＞94dB；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9.失真度：＞0.01%；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10.频率：44.1KHz；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11.电源：AC90V-260V(50Hz/60Hz)；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12.电源功耗：10W–15W；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13.尺寸：483×210×44mm；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14.重量：3Kg</w:t>
            </w:r>
            <w:r>
              <w:rPr>
                <w:rFonts w:hint="eastAsia" w:ascii="宋体" w:hAnsi="宋体" w:cs="宋体"/>
                <w:i w:val="0"/>
                <w:color w:val="00000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1545.00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话筒</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产品介绍</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话筒带前奏音（开启时，有前奏音乐放出），具备有灯环提示功能，具有良好的抗手机、电磁、高频干扰能力</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技术参数</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1.换能方式：驻极体；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2.指向性：心型指向；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3.频率响应：40Hz-16kHz；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4.灵敏度：-43dB±2dB；</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5.前奏音灵敏度：-50dB±2dB；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6.钟声提示：带钟声提示功能；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7.线材配备：</w:t>
            </w:r>
            <w:r>
              <w:rPr>
                <w:rFonts w:hint="eastAsia" w:ascii="宋体" w:hAnsi="宋体" w:eastAsia="宋体" w:cs="宋体"/>
                <w:i w:val="0"/>
                <w:color w:val="000000"/>
                <w:kern w:val="0"/>
                <w:sz w:val="21"/>
                <w:szCs w:val="21"/>
                <w:highlight w:val="none"/>
                <w:u w:val="none"/>
                <w:lang w:val="en-US" w:eastAsia="zh-CN" w:bidi="ar"/>
              </w:rPr>
              <w:t>≥10米（</w:t>
            </w:r>
            <w:r>
              <w:rPr>
                <w:rFonts w:hint="eastAsia" w:ascii="宋体" w:hAnsi="宋体" w:eastAsia="宋体" w:cs="宋体"/>
                <w:i w:val="0"/>
                <w:color w:val="000000"/>
                <w:kern w:val="0"/>
                <w:sz w:val="21"/>
                <w:szCs w:val="21"/>
                <w:u w:val="none"/>
                <w:lang w:val="en-US" w:eastAsia="zh-CN" w:bidi="ar"/>
              </w:rPr>
              <w:t>卡农母头转6.35音频线）；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8.咪杆长度 ：</w:t>
            </w:r>
            <w:r>
              <w:rPr>
                <w:rFonts w:hint="eastAsia" w:ascii="宋体" w:hAnsi="宋体" w:eastAsia="宋体" w:cs="宋体"/>
                <w:i w:val="0"/>
                <w:color w:val="000000"/>
                <w:kern w:val="0"/>
                <w:sz w:val="21"/>
                <w:szCs w:val="21"/>
                <w:highlight w:val="none"/>
                <w:u w:val="none"/>
                <w:lang w:val="en-US" w:eastAsia="zh-CN" w:bidi="ar"/>
              </w:rPr>
              <w:t>≥420mm；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9.尺寸：125 x 150 x 455mm；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10.重量：不大于0.67kg；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11.电源：~AC 220/50Hz（电源适配器DC 11.4V）；电池：DC9V</w:t>
            </w:r>
            <w:r>
              <w:rPr>
                <w:rFonts w:hint="eastAsia" w:ascii="宋体" w:hAnsi="宋体" w:cs="宋体"/>
                <w:i w:val="0"/>
                <w:color w:val="00000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450.00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壁挂音箱</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104</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产品特点：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室内壁挂音箱，流线型外观，声音辐射角度大，采用全频设计，使用于学校，酒店，宾馆，超市等。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技术参数：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1．额定功率（100V）：3W,6W,10W；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2．额定功率（70V）：1.5W,3W,5W；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3．灵敏度：91dB±3dB；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4．阻抗：Com/3.3KΩ/1.7KΩ/1KΩ；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5．频率响应：130-18KHz；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6．喇叭单元：6.5"×1；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7．防护等级：IP×5防尘；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8．尺寸：185×275×105mm；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9．重量：1.4Kg；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10.材料：塑料</w:t>
            </w:r>
            <w:r>
              <w:rPr>
                <w:rFonts w:hint="eastAsia" w:ascii="宋体" w:hAnsi="宋体" w:cs="宋体"/>
                <w:i w:val="0"/>
                <w:color w:val="00000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15600.00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前置放大器</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产品用途</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1.具有多路话筒、音频以及紧急信号输入线路，单通道输出的前置放大器；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2.适用于对普通音源进行前级放大</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产品特点</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 标准机柜式设计（2U），人性化的设计，考究的工艺，尽显高档气质；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highlight w:val="none"/>
                <w:u w:val="none"/>
                <w:lang w:val="en-US" w:eastAsia="zh-CN" w:bidi="ar"/>
              </w:rPr>
              <w:t>.具有≥5路话筒（MIC）输入，≥3路标准信号线路（AUX）输入，≥2路紧急线路（EMC）输入；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 第5个话筒（MIC5）具有最高优先、强行切入优先功能；MIC5和EMC最高优先权限功能可通过拔动开关交替选择，客户可根据使用情况选择优先；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4.4路紧急输入线路具有二级优先，强行切入优先功能；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5.MIC1、2、3、4、5 和2路紧急输入（EMC）通道均附设有线路辅助输入接口功能；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6.MIC1、2、3、4和AUX1、2、3可交叉混合输出；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7.话筒（MIC）输入通道和线路（AUX）输入通道均可独立调校音量，并设有总音量控制旋钮；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8.设有高音（TREBLE）和低音（BASS）独立调节；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9.具有默音深度调节旋钮和EMC输入增益调节旋钮</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技术参数: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1.话筒1-5的输入灵敏度：话筒:5mV/600Ω非平衡；线路RCA:775mV /10KΩ非平衡；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2.辅助1-3输入：AUX 1.2.3: 3500mV/10KΩ非平衡；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3.EMC1-2输入：RAC:非平衡 200mV～1000mV/10KΩ；MIC：非平衡 5mV～25mV/600Ω；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4.频率响应：20Hz-20KHz(±3dB)；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5.信噪比：MIC 输入:50dB； AUX输入:80dB；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6.音调调节：低音:±10dB at 100Hz；</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高音:±10dB at 10KHz；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7.电源：</w:t>
            </w:r>
            <w:r>
              <w:rPr>
                <w:rFonts w:hint="default" w:ascii="宋体" w:hAnsi="宋体" w:cs="宋体"/>
                <w:i w:val="0"/>
                <w:color w:val="000000"/>
                <w:kern w:val="0"/>
                <w:sz w:val="21"/>
                <w:szCs w:val="21"/>
                <w:highlight w:val="none"/>
                <w:u w:val="none"/>
                <w:lang w:eastAsia="zh-CN" w:bidi="ar"/>
              </w:rPr>
              <w:t>200</w:t>
            </w:r>
            <w:r>
              <w:rPr>
                <w:rFonts w:hint="eastAsia" w:ascii="宋体" w:hAnsi="宋体" w:eastAsia="宋体" w:cs="宋体"/>
                <w:i w:val="0"/>
                <w:color w:val="000000"/>
                <w:kern w:val="0"/>
                <w:sz w:val="21"/>
                <w:szCs w:val="21"/>
                <w:highlight w:val="none"/>
                <w:u w:val="none"/>
                <w:lang w:val="en-US" w:eastAsia="zh-CN" w:bidi="ar"/>
              </w:rPr>
              <w:t>～220V/50Hz；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8.电源功耗：20W；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9.尺寸：484×303×88mm；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10.重量：</w:t>
            </w:r>
            <w:r>
              <w:rPr>
                <w:rFonts w:hint="eastAsia" w:ascii="宋体" w:hAnsi="宋体" w:cs="宋体"/>
                <w:i w:val="0"/>
                <w:color w:val="000000"/>
                <w:kern w:val="0"/>
                <w:sz w:val="21"/>
                <w:szCs w:val="21"/>
                <w:u w:val="none"/>
                <w:lang w:val="en-US" w:eastAsia="zh-CN" w:bidi="ar"/>
              </w:rPr>
              <w:t>不大</w:t>
            </w:r>
            <w:r>
              <w:rPr>
                <w:rFonts w:hint="eastAsia" w:ascii="宋体" w:hAnsi="宋体" w:cs="宋体"/>
                <w:i w:val="0"/>
                <w:color w:val="000000"/>
                <w:kern w:val="0"/>
                <w:sz w:val="21"/>
                <w:szCs w:val="21"/>
                <w:highlight w:val="none"/>
                <w:u w:val="none"/>
                <w:lang w:val="en-US" w:eastAsia="zh-CN" w:bidi="ar"/>
              </w:rPr>
              <w:t>于</w:t>
            </w:r>
            <w:r>
              <w:rPr>
                <w:rFonts w:hint="eastAsia" w:ascii="宋体" w:hAnsi="宋体" w:eastAsia="宋体" w:cs="宋体"/>
                <w:i w:val="0"/>
                <w:color w:val="000000"/>
                <w:kern w:val="0"/>
                <w:sz w:val="21"/>
                <w:szCs w:val="21"/>
                <w:highlight w:val="none"/>
                <w:u w:val="none"/>
                <w:lang w:val="en-US" w:eastAsia="zh-CN" w:bidi="ar"/>
              </w:rPr>
              <w:t>4.54Kg</w:t>
            </w:r>
            <w:r>
              <w:rPr>
                <w:rFonts w:hint="eastAsia" w:ascii="宋体" w:hAnsi="宋体" w:cs="宋体"/>
                <w:i w:val="0"/>
                <w:color w:val="000000"/>
                <w:kern w:val="0"/>
                <w:sz w:val="21"/>
                <w:szCs w:val="21"/>
                <w:highlight w:val="none"/>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2836.00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电源时序器</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产品介绍</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为广播系统其它设备提供电源供电，并可结合系统主机进行电源上、断电管理的设备。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产品特点</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1.标准机柜式设计（2U），黑色氧化铝拉丝面板，人性化的抽手，考究的工艺，尽显高档气质；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2.16路电源输出，每路输出AC 220V(10A)， 电源插口总容量达 6000W；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3.设有电子锁开关，可手动控制16个电源上断电；也可与定时器、智能控制器相连接，实现自动控制；支持配置CH1和CH2通道为受控或不受控状态；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4.16路电源插座依次间隔1秒打开；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5.有1路24V消防信号输入接口；1路消防短路报警触发信号输出</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技术参数</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1.电源：AC ~220V  50Hz；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2.电源功耗：50W；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3.尺寸：484×303×88mm；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4.重量：5.78Kg</w:t>
            </w:r>
            <w:r>
              <w:rPr>
                <w:rFonts w:hint="eastAsia" w:ascii="宋体" w:hAnsi="宋体" w:cs="宋体"/>
                <w:i w:val="0"/>
                <w:color w:val="00000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2164.00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纯后级功放</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产品用途</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1.单通道大功率的纯后级功率放大器；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2.为广播系统提供区域功率放大，适用于较大区域范围的广播扩声</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产品特点</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1.标准机柜式设计（3U），人性化的设计，考究的工艺，尽显高档气质；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2.1通道LINE不平衡TRS输入，1通道LINE不平衡TRS级联输出；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3.1通道LINE平衡XLR输入，1通道LINE平衡XLR级联输出；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4.面板带音量调节旋钮；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5.产品具有良好的短路、过载、过热等自我保护；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6.2种功率输出方式：定压输出100V、70V和定阻输出4～16Ω</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技术参数: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1.额定输出功率：1000W；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2.扬声器输出：70V, 100V &amp; 4～16Ω；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3.输入灵敏度 &amp;输入阻抗：775mV/10KΩ, 平衡 XLR/TRS接口；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4.输出灵敏度 &amp; 输出源阻抗：775mV/470Ω, 平衡 XLR 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5.频率响应：50Hz～16KHz(+1dB, -3dB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6.信噪比：&gt;90dB；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7.总谐波失真：1KHz时0.5%, 1/3 输出功率；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8.散热：由前往后强制风冷，散热器温度45度时启动内置风扇；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9.保护：过热, 过载&amp;短路；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10.电源：</w:t>
            </w:r>
            <w:r>
              <w:rPr>
                <w:rFonts w:hint="eastAsia" w:ascii="宋体" w:hAnsi="宋体" w:cs="宋体"/>
                <w:i w:val="0"/>
                <w:color w:val="000000"/>
                <w:kern w:val="0"/>
                <w:sz w:val="21"/>
                <w:szCs w:val="21"/>
                <w:u w:val="none"/>
                <w:lang w:val="en-US" w:eastAsia="zh-CN" w:bidi="ar"/>
              </w:rPr>
              <w:t>200</w:t>
            </w:r>
            <w:r>
              <w:rPr>
                <w:rFonts w:hint="eastAsia" w:ascii="宋体" w:hAnsi="宋体" w:eastAsia="宋体" w:cs="宋体"/>
                <w:i w:val="0"/>
                <w:color w:val="000000"/>
                <w:kern w:val="0"/>
                <w:sz w:val="21"/>
                <w:szCs w:val="21"/>
                <w:highlight w:val="none"/>
                <w:u w:val="none"/>
                <w:lang w:val="en-US" w:eastAsia="zh-CN" w:bidi="ar"/>
              </w:rPr>
              <w:t>～220V/50Hz；</w:t>
            </w:r>
            <w:r>
              <w:rPr>
                <w:rFonts w:hint="eastAsia" w:ascii="宋体" w:hAnsi="宋体" w:eastAsia="宋体" w:cs="宋体"/>
                <w:i w:val="0"/>
                <w:color w:val="000000"/>
                <w:kern w:val="0"/>
                <w:sz w:val="21"/>
                <w:szCs w:val="21"/>
                <w:highlight w:val="red"/>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11.电源功率：1500W；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12.重量：25.80Kg；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13.尺寸：484×530×132mm；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14.材质：黑色铝面板，SPCC冷轧板材质机箱</w:t>
            </w:r>
            <w:r>
              <w:rPr>
                <w:rFonts w:hint="eastAsia" w:ascii="宋体" w:hAnsi="宋体" w:cs="宋体"/>
                <w:i w:val="0"/>
                <w:color w:val="00000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12992.00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主信号线</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符合标准：GB/T 5023.5-2008/(JB/T 8734.3-2016)</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导体为多支退火裸铜绞合</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聚氯乙烯绝缘</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聚氯乙烯护套</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采用挤压式紧护套</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规格：RVV2*2.5mm²</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额定电压：U0/U 为 300/500V</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额定温度：70℃</w:t>
            </w:r>
            <w:r>
              <w:rPr>
                <w:rFonts w:hint="eastAsia" w:ascii="宋体" w:hAnsi="宋体" w:cs="宋体"/>
                <w:i w:val="0"/>
                <w:color w:val="00000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6432.00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74"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信号线</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300" w:lineRule="exact"/>
              <w:jc w:val="lef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符合标准：GB/T 5023.5-2008/(JB/T 8734.3-2016)</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导体为多支退火裸铜绞合</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聚氯乙烯绝缘</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聚氯乙烯护套</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采用挤压式紧护套</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规格：RVV2*1.0mm²</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额定电压：U0/U 为 300/500V</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额定温度：70℃</w:t>
            </w:r>
            <w:r>
              <w:rPr>
                <w:rFonts w:hint="eastAsia" w:ascii="宋体" w:hAnsi="宋体" w:cs="宋体"/>
                <w:i w:val="0"/>
                <w:color w:val="00000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4740.00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辅助材料</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含安装盒、电源插座、莲花头、PVC管\槽、光纤跳线多功能排插、空开盒（含空开）、螺钉、胶布、玻璃胶、标签等</w:t>
            </w:r>
            <w:r>
              <w:rPr>
                <w:rFonts w:hint="eastAsia" w:ascii="宋体" w:hAnsi="宋体" w:cs="宋体"/>
                <w:i w:val="0"/>
                <w:color w:val="00000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8000.00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安装调试</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项目涉及的货物（设备、材料等）运输、安装、联网调试</w:t>
            </w:r>
            <w:r>
              <w:rPr>
                <w:rFonts w:hint="eastAsia" w:ascii="宋体" w:hAnsi="宋体" w:cs="宋体"/>
                <w:i w:val="0"/>
                <w:color w:val="00000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22000.00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技术服务</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项目涉及的由厂家提供技术服务</w:t>
            </w:r>
            <w:r>
              <w:rPr>
                <w:rFonts w:hint="eastAsia" w:ascii="宋体" w:hAnsi="宋体" w:cs="宋体"/>
                <w:i w:val="0"/>
                <w:color w:val="00000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8000.00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运维服务</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涉及项目3年的售后服务，包括设备质保、故障处理、考试保障等措施服务</w:t>
            </w:r>
            <w:r>
              <w:rPr>
                <w:rFonts w:hint="eastAsia" w:ascii="宋体" w:hAnsi="宋体" w:cs="宋体"/>
                <w:i w:val="0"/>
                <w:color w:val="00000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7500.00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分项最高限价合计（元）</w:t>
            </w:r>
          </w:p>
        </w:tc>
        <w:tc>
          <w:tcPr>
            <w:tcW w:w="6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single"/>
                <w:lang w:val="en-US" w:eastAsia="zh-CN" w:bidi="ar"/>
              </w:rPr>
              <w:t xml:space="preserve">陆拾叁万零壹佰柒拾陆元伍角(￥630176.50)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41" w:hRule="atLeast"/>
        </w:trPr>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商务条款</w:t>
            </w:r>
          </w:p>
        </w:tc>
        <w:tc>
          <w:tcPr>
            <w:tcW w:w="86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Style w:val="35"/>
                <w:rFonts w:hint="eastAsia" w:ascii="宋体" w:hAnsi="宋体" w:eastAsia="宋体" w:cs="宋体"/>
                <w:color w:val="auto"/>
                <w:sz w:val="21"/>
                <w:szCs w:val="21"/>
                <w:highlight w:val="none"/>
                <w:lang w:val="en-US" w:eastAsia="zh-Hans" w:bidi="ar"/>
              </w:rPr>
            </w:pPr>
            <w:r>
              <w:rPr>
                <w:rFonts w:hint="eastAsia" w:ascii="宋体" w:hAnsi="宋体" w:eastAsia="宋体" w:cs="宋体"/>
                <w:i w:val="0"/>
                <w:color w:val="auto"/>
                <w:kern w:val="0"/>
                <w:sz w:val="21"/>
                <w:szCs w:val="21"/>
                <w:highlight w:val="none"/>
                <w:u w:val="none"/>
                <w:lang w:val="en-US" w:eastAsia="zh-CN" w:bidi="ar"/>
              </w:rPr>
              <w:t>一、合同签订期：自中标通知书发出之日起</w:t>
            </w:r>
            <w:r>
              <w:rPr>
                <w:rStyle w:val="35"/>
                <w:rFonts w:hint="eastAsia" w:ascii="宋体" w:hAnsi="宋体" w:eastAsia="宋体" w:cs="宋体"/>
                <w:color w:val="auto"/>
                <w:sz w:val="21"/>
                <w:szCs w:val="21"/>
                <w:highlight w:val="none"/>
                <w:lang w:val="en-US" w:eastAsia="zh-CN" w:bidi="ar"/>
              </w:rPr>
              <w:t xml:space="preserve"> </w:t>
            </w:r>
            <w:r>
              <w:rPr>
                <w:rStyle w:val="35"/>
                <w:rFonts w:hint="eastAsia" w:ascii="宋体" w:hAnsi="宋体" w:cs="宋体"/>
                <w:color w:val="auto"/>
                <w:sz w:val="21"/>
                <w:szCs w:val="21"/>
                <w:highlight w:val="none"/>
                <w:lang w:val="en-US" w:eastAsia="zh-CN" w:bidi="ar"/>
              </w:rPr>
              <w:t>7</w:t>
            </w:r>
            <w:r>
              <w:rPr>
                <w:rStyle w:val="35"/>
                <w:rFonts w:hint="eastAsia" w:ascii="宋体" w:hAnsi="宋体" w:eastAsia="宋体" w:cs="宋体"/>
                <w:color w:val="auto"/>
                <w:sz w:val="21"/>
                <w:szCs w:val="21"/>
                <w:highlight w:val="none"/>
                <w:lang w:val="en-US" w:eastAsia="zh-Hans" w:bidi="ar"/>
              </w:rPr>
              <w:t>个工作</w:t>
            </w:r>
            <w:r>
              <w:rPr>
                <w:rStyle w:val="36"/>
                <w:rFonts w:hint="eastAsia" w:ascii="宋体" w:hAnsi="宋体" w:eastAsia="宋体" w:cs="宋体"/>
                <w:color w:val="auto"/>
                <w:sz w:val="21"/>
                <w:szCs w:val="21"/>
                <w:highlight w:val="none"/>
                <w:lang w:val="en-US" w:eastAsia="zh-CN" w:bidi="ar"/>
              </w:rPr>
              <w:t>日内</w:t>
            </w:r>
            <w:r>
              <w:rPr>
                <w:rStyle w:val="36"/>
                <w:rFonts w:hint="eastAsia" w:ascii="宋体" w:hAnsi="宋体" w:eastAsia="宋体" w:cs="宋体"/>
                <w:color w:val="auto"/>
                <w:sz w:val="21"/>
                <w:szCs w:val="21"/>
                <w:highlight w:val="none"/>
                <w:lang w:val="en-US" w:eastAsia="zh-Hans" w:bidi="ar"/>
              </w:rPr>
              <w:t>；</w:t>
            </w:r>
            <w:r>
              <w:rPr>
                <w:rStyle w:val="35"/>
                <w:rFonts w:hint="eastAsia" w:ascii="宋体" w:hAnsi="宋体" w:eastAsia="宋体" w:cs="宋体"/>
                <w:color w:val="auto"/>
                <w:sz w:val="21"/>
                <w:szCs w:val="21"/>
                <w:highlight w:val="none"/>
                <w:lang w:val="en-US" w:eastAsia="zh-CN" w:bidi="ar"/>
              </w:rPr>
              <w:t xml:space="preserve">    </w:t>
            </w:r>
            <w:r>
              <w:rPr>
                <w:rStyle w:val="35"/>
                <w:rFonts w:hint="eastAsia" w:ascii="宋体" w:hAnsi="宋体" w:eastAsia="宋体" w:cs="宋体"/>
                <w:color w:val="auto"/>
                <w:sz w:val="21"/>
                <w:szCs w:val="21"/>
                <w:highlight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Style w:val="36"/>
                <w:rFonts w:hint="eastAsia" w:ascii="宋体" w:hAnsi="宋体" w:eastAsia="宋体" w:cs="宋体"/>
                <w:color w:val="auto"/>
                <w:sz w:val="21"/>
                <w:szCs w:val="21"/>
                <w:highlight w:val="none"/>
                <w:lang w:val="en-US" w:eastAsia="zh-CN" w:bidi="ar"/>
              </w:rPr>
              <w:t>二、交货期：</w:t>
            </w:r>
            <w:r>
              <w:rPr>
                <w:rFonts w:hint="eastAsia" w:ascii="宋体" w:hAnsi="宋体" w:eastAsia="宋体" w:cs="宋体"/>
                <w:i w:val="0"/>
                <w:color w:val="000000"/>
                <w:kern w:val="0"/>
                <w:sz w:val="21"/>
                <w:szCs w:val="21"/>
                <w:u w:val="none"/>
                <w:lang w:val="en-US" w:eastAsia="zh-CN" w:bidi="ar"/>
              </w:rPr>
              <w:t>自合同签订之日起25</w:t>
            </w:r>
            <w:r>
              <w:rPr>
                <w:rFonts w:hint="eastAsia" w:ascii="宋体" w:hAnsi="宋体" w:cs="宋体"/>
                <w:i w:val="0"/>
                <w:color w:val="000000"/>
                <w:kern w:val="0"/>
                <w:sz w:val="21"/>
                <w:szCs w:val="21"/>
                <w:u w:val="none"/>
                <w:lang w:val="en-US" w:eastAsia="zh-CN" w:bidi="ar"/>
              </w:rPr>
              <w:t>日</w:t>
            </w:r>
            <w:r>
              <w:rPr>
                <w:rFonts w:hint="eastAsia" w:ascii="宋体" w:hAnsi="宋体" w:eastAsia="宋体" w:cs="宋体"/>
                <w:i w:val="0"/>
                <w:color w:val="000000"/>
                <w:kern w:val="0"/>
                <w:sz w:val="21"/>
                <w:szCs w:val="21"/>
                <w:u w:val="none"/>
                <w:lang w:val="en-US" w:eastAsia="zh-CN" w:bidi="ar"/>
              </w:rPr>
              <w:t>内</w:t>
            </w:r>
            <w:r>
              <w:rPr>
                <w:rFonts w:hint="eastAsia" w:ascii="宋体" w:hAnsi="宋体" w:cs="宋体"/>
                <w:i w:val="0"/>
                <w:color w:val="000000"/>
                <w:kern w:val="0"/>
                <w:sz w:val="21"/>
                <w:szCs w:val="21"/>
                <w:u w:val="none"/>
                <w:lang w:val="en-US" w:eastAsia="zh-CN" w:bidi="ar"/>
              </w:rPr>
              <w:t>建设完毕并验收</w:t>
            </w:r>
            <w:r>
              <w:rPr>
                <w:rFonts w:hint="eastAsia" w:ascii="宋体" w:hAnsi="宋体" w:eastAsia="宋体" w:cs="宋体"/>
                <w:i w:val="0"/>
                <w:color w:val="000000"/>
                <w:kern w:val="0"/>
                <w:sz w:val="21"/>
                <w:szCs w:val="21"/>
                <w:u w:val="none"/>
                <w:lang w:val="en-US" w:eastAsia="zh-CN" w:bidi="ar"/>
              </w:rPr>
              <w:t>交付使用；</w:t>
            </w:r>
            <w:r>
              <w:rPr>
                <w:rStyle w:val="35"/>
                <w:rFonts w:hint="eastAsia" w:ascii="宋体" w:hAnsi="宋体" w:eastAsia="宋体" w:cs="宋体"/>
                <w:color w:val="auto"/>
                <w:sz w:val="21"/>
                <w:szCs w:val="21"/>
                <w:highlight w:val="none"/>
                <w:lang w:val="en-US" w:eastAsia="zh-CN" w:bidi="ar"/>
              </w:rPr>
              <w:t xml:space="preserve">    </w:t>
            </w:r>
            <w:r>
              <w:rPr>
                <w:rStyle w:val="35"/>
                <w:rFonts w:hint="eastAsia" w:ascii="宋体" w:hAnsi="宋体" w:eastAsia="宋体" w:cs="宋体"/>
                <w:color w:val="auto"/>
                <w:sz w:val="21"/>
                <w:szCs w:val="21"/>
                <w:highlight w:val="none"/>
                <w:lang w:val="en-US" w:eastAsia="zh-CN" w:bidi="ar"/>
              </w:rPr>
              <w:br w:type="textWrapping"/>
            </w:r>
            <w:r>
              <w:rPr>
                <w:rStyle w:val="36"/>
                <w:rFonts w:hint="eastAsia" w:ascii="宋体" w:hAnsi="宋体" w:eastAsia="宋体" w:cs="宋体"/>
                <w:color w:val="auto"/>
                <w:sz w:val="21"/>
                <w:szCs w:val="21"/>
                <w:highlight w:val="none"/>
                <w:lang w:val="en-US" w:eastAsia="zh-CN" w:bidi="ar"/>
              </w:rPr>
              <w:t>三、交货地点</w:t>
            </w:r>
            <w:r>
              <w:rPr>
                <w:rStyle w:val="36"/>
                <w:rFonts w:hint="eastAsia" w:ascii="宋体" w:hAnsi="宋体" w:eastAsia="宋体" w:cs="宋体"/>
                <w:i w:val="0"/>
                <w:color w:val="auto"/>
                <w:sz w:val="21"/>
                <w:szCs w:val="21"/>
                <w:highlight w:val="none"/>
                <w:lang w:val="en-US" w:eastAsia="zh-CN" w:bidi="ar"/>
              </w:rPr>
              <w:t>：</w:t>
            </w:r>
            <w:r>
              <w:rPr>
                <w:rFonts w:hint="eastAsia" w:ascii="宋体" w:hAnsi="宋体" w:eastAsia="宋体" w:cs="宋体"/>
                <w:i w:val="0"/>
                <w:color w:val="000000"/>
                <w:kern w:val="0"/>
                <w:sz w:val="21"/>
                <w:szCs w:val="21"/>
                <w:u w:val="none"/>
                <w:lang w:val="en-US" w:eastAsia="zh-CN" w:bidi="ar"/>
              </w:rPr>
              <w:t>高新区采购人指定地点；</w:t>
            </w:r>
          </w:p>
          <w:p>
            <w:pPr>
              <w:keepNext w:val="0"/>
              <w:keepLines w:val="0"/>
              <w:pageBreakBefore w:val="0"/>
              <w:widowControl/>
              <w:suppressLineNumbers w:val="0"/>
              <w:kinsoku/>
              <w:wordWrap/>
              <w:overflowPunct/>
              <w:topLinePunct w:val="0"/>
              <w:autoSpaceDE/>
              <w:autoSpaceDN/>
              <w:bidi w:val="0"/>
              <w:adjustRightInd/>
              <w:snapToGrid/>
              <w:spacing w:after="180" w:afterAutospacing="0" w:line="300" w:lineRule="exact"/>
              <w:jc w:val="left"/>
              <w:textAlignment w:val="center"/>
              <w:rPr>
                <w:rFonts w:hint="eastAsia" w:ascii="宋体" w:hAnsi="宋体" w:eastAsia="宋体" w:cs="宋体"/>
                <w:i w:val="0"/>
                <w:color w:val="000000"/>
                <w:sz w:val="21"/>
                <w:szCs w:val="21"/>
                <w:u w:val="none"/>
              </w:rPr>
            </w:pPr>
            <w:r>
              <w:rPr>
                <w:rStyle w:val="36"/>
                <w:rFonts w:hint="eastAsia" w:ascii="宋体" w:hAnsi="宋体" w:eastAsia="宋体" w:cs="宋体"/>
                <w:color w:val="auto"/>
                <w:sz w:val="21"/>
                <w:szCs w:val="21"/>
                <w:highlight w:val="none"/>
                <w:lang w:val="en-US" w:eastAsia="zh-CN" w:bidi="ar"/>
              </w:rPr>
              <w:t>四、交货方式：现场交货；</w:t>
            </w:r>
            <w:r>
              <w:rPr>
                <w:rStyle w:val="35"/>
                <w:rFonts w:hint="eastAsia" w:ascii="宋体" w:hAnsi="宋体" w:eastAsia="宋体" w:cs="宋体"/>
                <w:color w:val="auto"/>
                <w:sz w:val="21"/>
                <w:szCs w:val="21"/>
                <w:highlight w:val="none"/>
                <w:lang w:val="en-US" w:eastAsia="zh-CN" w:bidi="ar"/>
              </w:rPr>
              <w:t xml:space="preserve">                                                               五、</w:t>
            </w:r>
            <w:r>
              <w:rPr>
                <w:rFonts w:hint="eastAsia" w:ascii="宋体" w:hAnsi="宋体" w:eastAsia="宋体" w:cs="宋体"/>
                <w:b w:val="0"/>
                <w:bCs w:val="0"/>
                <w:i w:val="0"/>
                <w:color w:val="000000"/>
                <w:kern w:val="0"/>
                <w:sz w:val="21"/>
                <w:szCs w:val="21"/>
                <w:u w:val="none"/>
                <w:lang w:val="en-US" w:eastAsia="zh-CN" w:bidi="ar"/>
              </w:rPr>
              <w:t>付款方式：</w:t>
            </w:r>
            <w:r>
              <w:rPr>
                <w:rFonts w:hint="eastAsia" w:ascii="宋体" w:hAnsi="宋体" w:eastAsia="宋体" w:cs="宋体"/>
                <w:i w:val="0"/>
                <w:color w:val="000000"/>
                <w:kern w:val="0"/>
                <w:sz w:val="21"/>
                <w:szCs w:val="21"/>
                <w:u w:val="none"/>
                <w:lang w:val="en-US" w:eastAsia="zh-CN" w:bidi="ar"/>
              </w:rPr>
              <w:t>合同签订之日起，3个工作日内，甲方向乙方支付合同款30%作为项目启动金；项目完成且验收通过后5个工作日内，甲方向乙方支付合同款70%。每次收到款项后，乙方向甲方开出相应金额的发票。（首次发票金额可以略大于项目启动金金额，最终开票金额与付款金额相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六</w:t>
            </w:r>
            <w:r>
              <w:rPr>
                <w:rFonts w:hint="eastAsia" w:ascii="宋体" w:hAnsi="宋体" w:eastAsia="宋体" w:cs="宋体"/>
                <w:b w:val="0"/>
                <w:bCs w:val="0"/>
                <w:i w:val="0"/>
                <w:color w:val="000000"/>
                <w:kern w:val="0"/>
                <w:sz w:val="21"/>
                <w:szCs w:val="21"/>
                <w:u w:val="none"/>
                <w:lang w:val="en-US" w:eastAsia="zh-CN" w:bidi="ar"/>
              </w:rPr>
              <w:t>、质保期：</w:t>
            </w:r>
            <w:r>
              <w:rPr>
                <w:rFonts w:hint="eastAsia" w:ascii="宋体" w:hAnsi="宋体" w:eastAsia="宋体" w:cs="宋体"/>
                <w:i w:val="0"/>
                <w:color w:val="000000"/>
                <w:kern w:val="0"/>
                <w:sz w:val="21"/>
                <w:szCs w:val="21"/>
                <w:u w:val="none"/>
                <w:lang w:val="en-US" w:eastAsia="zh-CN" w:bidi="ar"/>
              </w:rPr>
              <w:t>质保期</w:t>
            </w:r>
            <w:r>
              <w:rPr>
                <w:rFonts w:hint="eastAsia" w:ascii="宋体" w:hAnsi="宋体" w:eastAsia="宋体" w:cs="宋体"/>
                <w:i w:val="0"/>
                <w:color w:val="000000"/>
                <w:kern w:val="0"/>
                <w:sz w:val="21"/>
                <w:szCs w:val="21"/>
                <w:highlight w:val="none"/>
                <w:u w:val="none"/>
                <w:lang w:val="en-US" w:eastAsia="zh-CN" w:bidi="ar"/>
              </w:rPr>
              <w:t>3</w:t>
            </w:r>
            <w:r>
              <w:rPr>
                <w:rFonts w:hint="eastAsia" w:ascii="宋体" w:hAnsi="宋体" w:eastAsia="宋体" w:cs="宋体"/>
                <w:i w:val="0"/>
                <w:color w:val="000000"/>
                <w:kern w:val="0"/>
                <w:sz w:val="21"/>
                <w:szCs w:val="21"/>
                <w:u w:val="none"/>
                <w:lang w:val="en-US" w:eastAsia="zh-CN" w:bidi="ar"/>
              </w:rPr>
              <w:t>年，设备保修服务自最终验收合格之日计算。终身提供技术支持及售后服务，保修期内发生的质量问题，由中标人负责免费解决，保修期外不收取除所更换的配件费外的任何费用。需求表内特别注明的除外。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cs="宋体"/>
                <w:b w:val="0"/>
                <w:bCs w:val="0"/>
                <w:i w:val="0"/>
                <w:color w:val="000000"/>
                <w:kern w:val="0"/>
                <w:sz w:val="21"/>
                <w:szCs w:val="21"/>
                <w:u w:val="none"/>
                <w:lang w:val="en-US" w:eastAsia="zh-CN" w:bidi="ar"/>
              </w:rPr>
              <w:t>七</w:t>
            </w:r>
            <w:r>
              <w:rPr>
                <w:rFonts w:hint="eastAsia" w:ascii="宋体" w:hAnsi="宋体" w:eastAsia="宋体" w:cs="宋体"/>
                <w:b w:val="0"/>
                <w:bCs w:val="0"/>
                <w:i w:val="0"/>
                <w:color w:val="000000"/>
                <w:kern w:val="0"/>
                <w:sz w:val="21"/>
                <w:szCs w:val="21"/>
                <w:u w:val="none"/>
                <w:lang w:val="en-US" w:eastAsia="zh-CN" w:bidi="ar"/>
              </w:rPr>
              <w:t>、售后技术服务要求：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1.免费送货上门，免费安装调试，免费培训直至能完全独立操作。免费提供完善的设备使用、操作中文手册；设备到货后1周内到用户处安装调试。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保修期内，维修响应时间一般情况≤2小时，到现场时间4小时，在12小时内解决问题。故障处理时间超过12小时的，供应商须在一个工作日内提供与原设备技术参数要求相同或高于原设备技术参数要求的备用产品，以保证采购人的正常工作，不能影响学校的教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3.保修期外零配件若损坏，提供零配件优惠服务方案。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4.质保期内提供免费上门保修服务，保障系统正常运行。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5.在质量保证期间，每次考试期间，必须安排不少于</w:t>
            </w:r>
            <w:r>
              <w:rPr>
                <w:rFonts w:hint="default" w:ascii="宋体" w:hAnsi="宋体" w:cs="宋体"/>
                <w:i w:val="0"/>
                <w:color w:val="000000"/>
                <w:kern w:val="0"/>
                <w:sz w:val="21"/>
                <w:szCs w:val="21"/>
                <w:highlight w:val="none"/>
                <w:u w:val="none"/>
                <w:lang w:eastAsia="zh-CN" w:bidi="ar"/>
              </w:rPr>
              <w:t>1</w:t>
            </w:r>
            <w:r>
              <w:rPr>
                <w:rFonts w:hint="eastAsia" w:ascii="宋体" w:hAnsi="宋体" w:eastAsia="宋体" w:cs="宋体"/>
                <w:i w:val="0"/>
                <w:color w:val="000000"/>
                <w:kern w:val="0"/>
                <w:sz w:val="21"/>
                <w:szCs w:val="21"/>
                <w:highlight w:val="none"/>
                <w:u w:val="none"/>
                <w:lang w:val="en-US" w:eastAsia="zh-CN" w:bidi="ar"/>
              </w:rPr>
              <w:t>人到</w:t>
            </w:r>
            <w:r>
              <w:rPr>
                <w:rFonts w:hint="eastAsia" w:ascii="宋体" w:hAnsi="宋体" w:cs="宋体"/>
                <w:i w:val="0"/>
                <w:color w:val="000000"/>
                <w:kern w:val="0"/>
                <w:sz w:val="21"/>
                <w:szCs w:val="21"/>
                <w:highlight w:val="none"/>
                <w:u w:val="none"/>
                <w:lang w:val="en-US" w:eastAsia="zh-Hans" w:bidi="ar"/>
              </w:rPr>
              <w:t>学校值守</w:t>
            </w:r>
            <w:r>
              <w:rPr>
                <w:rFonts w:hint="eastAsia" w:ascii="宋体" w:hAnsi="宋体" w:eastAsia="宋体" w:cs="宋体"/>
                <w:i w:val="0"/>
                <w:color w:val="000000"/>
                <w:kern w:val="0"/>
                <w:sz w:val="21"/>
                <w:szCs w:val="21"/>
                <w:highlight w:val="none"/>
                <w:u w:val="none"/>
                <w:lang w:val="en-US" w:eastAsia="zh-CN" w:bidi="ar"/>
              </w:rPr>
              <w:t>，保障</w:t>
            </w:r>
            <w:r>
              <w:rPr>
                <w:rFonts w:hint="eastAsia" w:ascii="宋体" w:hAnsi="宋体" w:cs="宋体"/>
                <w:i w:val="0"/>
                <w:color w:val="000000"/>
                <w:kern w:val="0"/>
                <w:sz w:val="21"/>
                <w:szCs w:val="21"/>
                <w:highlight w:val="none"/>
                <w:u w:val="none"/>
                <w:lang w:val="en-US" w:eastAsia="zh-Hans" w:bidi="ar"/>
              </w:rPr>
              <w:t>学校标准化考场</w:t>
            </w:r>
            <w:r>
              <w:rPr>
                <w:rFonts w:hint="eastAsia" w:ascii="宋体" w:hAnsi="宋体" w:eastAsia="宋体" w:cs="宋体"/>
                <w:i w:val="0"/>
                <w:color w:val="000000"/>
                <w:kern w:val="0"/>
                <w:sz w:val="21"/>
                <w:szCs w:val="21"/>
                <w:highlight w:val="none"/>
                <w:u w:val="none"/>
                <w:lang w:val="en-US" w:eastAsia="zh-CN" w:bidi="ar"/>
              </w:rPr>
              <w:t>系统正常运行。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6、其余按投标人承诺。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八、其他要求: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▲1、竞标报价为采购人指定地点的现场交货价（竞标报价中应包含送货上楼的费用），包括：</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（1）货物及标准附件、备品备件、专用工具的价格；</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（2）运输、装卸、调试、培训、技术支持、售后服务等费用；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（3）必要的保险费用和各项税费；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（4）包括安装费用。</w:t>
            </w:r>
            <w:bookmarkStart w:id="265" w:name="_GoBack"/>
            <w:bookmarkEnd w:id="26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65" w:hRule="atLeast"/>
        </w:trPr>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其他说明</w:t>
            </w:r>
          </w:p>
        </w:tc>
        <w:tc>
          <w:tcPr>
            <w:tcW w:w="86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1、针对本项目提供切实可行的安装配送方案，否则投标无效。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2、投标人提供的货物及制作安装采用的各种配件、材料均必须满足国家和行业规范标准。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3、本项目货物不接受进口产品（即通过中国海关报关验放进入中国境内且产自关境外的产品）参与投标，如有此类产品参与投标的做无效标处理。</w:t>
            </w:r>
          </w:p>
        </w:tc>
      </w:tr>
    </w:tbl>
    <w:p>
      <w:pPr>
        <w:widowControl/>
        <w:spacing w:line="480" w:lineRule="auto"/>
        <w:jc w:val="left"/>
        <w:rPr>
          <w:rFonts w:ascii="Arial" w:hAnsi="Arial" w:cs="Arial"/>
          <w:color w:val="333333"/>
          <w:kern w:val="0"/>
          <w:szCs w:val="21"/>
        </w:rPr>
      </w:pPr>
    </w:p>
    <w:bookmarkEnd w:id="41"/>
    <w:p>
      <w:pPr>
        <w:spacing w:line="360" w:lineRule="auto"/>
        <w:ind w:firstLine="424" w:firstLineChars="202"/>
        <w:jc w:val="left"/>
        <w:rPr>
          <w:rFonts w:ascii="宋体" w:hAnsi="宋体" w:cs="宋体"/>
          <w:szCs w:val="21"/>
        </w:rPr>
      </w:pPr>
    </w:p>
    <w:p>
      <w:pPr>
        <w:spacing w:line="320" w:lineRule="exact"/>
        <w:rPr>
          <w:rFonts w:ascii="宋体" w:hAnsi="宋体"/>
        </w:rPr>
      </w:pPr>
    </w:p>
    <w:p>
      <w:pPr>
        <w:spacing w:line="428" w:lineRule="exact"/>
        <w:ind w:left="119"/>
        <w:rPr>
          <w:rFonts w:hAnsi="宋体"/>
        </w:rPr>
      </w:pPr>
    </w:p>
    <w:p>
      <w:pPr>
        <w:spacing w:line="428" w:lineRule="exact"/>
        <w:ind w:left="119"/>
        <w:rPr>
          <w:rFonts w:hAnsi="宋体"/>
        </w:rPr>
      </w:pPr>
    </w:p>
    <w:p/>
    <w:p>
      <w:pPr>
        <w:spacing w:line="428" w:lineRule="exact"/>
        <w:rPr>
          <w:rFonts w:hint="eastAsia" w:ascii="Arial Unicode MS" w:hAnsi="Arial Unicode MS" w:eastAsia="Arial Unicode MS" w:cs="Arial Unicode MS"/>
          <w:sz w:val="17"/>
          <w:szCs w:val="17"/>
        </w:rPr>
      </w:pPr>
      <w:r>
        <w:rPr>
          <w:rFonts w:ascii="宋体" w:hAnsi="宋体"/>
        </w:rPr>
        <w:br w:type="page"/>
      </w:r>
      <w:r>
        <w:rPr>
          <w:rFonts w:hint="eastAsia" w:ascii="Arial Unicode MS" w:hAnsi="Arial Unicode MS" w:eastAsia="Arial Unicode MS" w:cs="Arial Unicode MS"/>
          <w:sz w:val="32"/>
          <w:szCs w:val="32"/>
        </w:rPr>
        <w:t>附件1：</w:t>
      </w:r>
    </w:p>
    <w:p>
      <w:pPr>
        <w:spacing w:line="528" w:lineRule="exact"/>
        <w:ind w:left="1871"/>
        <w:rPr>
          <w:rFonts w:hint="eastAsia" w:ascii="Arial Unicode MS" w:hAnsi="Arial Unicode MS" w:eastAsia="Arial Unicode MS" w:cs="Arial Unicode MS"/>
          <w:sz w:val="40"/>
          <w:szCs w:val="40"/>
        </w:rPr>
      </w:pPr>
      <w:r>
        <w:rPr>
          <w:rFonts w:hint="eastAsia" w:ascii="Arial Unicode MS" w:hAnsi="Arial Unicode MS" w:eastAsia="Arial Unicode MS" w:cs="Arial Unicode MS"/>
          <w:sz w:val="40"/>
          <w:szCs w:val="40"/>
        </w:rPr>
        <w:t>节能产品政府采购品目清单</w:t>
      </w:r>
    </w:p>
    <w:p>
      <w:pPr>
        <w:rPr>
          <w:rFonts w:hint="eastAsia" w:ascii="Arial Unicode MS" w:hAnsi="Arial Unicode MS" w:eastAsia="Arial Unicode MS" w:cs="Arial Unicode MS"/>
          <w:sz w:val="20"/>
          <w:szCs w:val="20"/>
        </w:rPr>
      </w:pPr>
    </w:p>
    <w:p>
      <w:pPr>
        <w:rPr>
          <w:rFonts w:hint="eastAsia" w:ascii="Arial Unicode MS" w:hAnsi="Arial Unicode MS" w:eastAsia="Arial Unicode MS" w:cs="Arial Unicode MS"/>
          <w:sz w:val="20"/>
          <w:szCs w:val="20"/>
        </w:rPr>
      </w:pPr>
    </w:p>
    <w:p>
      <w:pPr>
        <w:rPr>
          <w:rFonts w:hint="eastAsia" w:ascii="Arial Unicode MS" w:hAnsi="Arial Unicode MS" w:eastAsia="Arial Unicode MS" w:cs="Arial Unicode MS"/>
          <w:sz w:val="20"/>
          <w:szCs w:val="20"/>
        </w:rPr>
      </w:pPr>
      <w:r>
        <w:rPr>
          <w:rFonts w:hint="eastAsia"/>
        </w:rPr>
        <mc:AlternateContent>
          <mc:Choice Requires="wps">
            <w:drawing>
              <wp:anchor distT="0" distB="0" distL="114300" distR="114300" simplePos="0" relativeHeight="251665408" behindDoc="0" locked="0" layoutInCell="1" allowOverlap="1">
                <wp:simplePos x="0" y="0"/>
                <wp:positionH relativeFrom="page">
                  <wp:posOffset>1161415</wp:posOffset>
                </wp:positionH>
                <wp:positionV relativeFrom="paragraph">
                  <wp:posOffset>1270</wp:posOffset>
                </wp:positionV>
                <wp:extent cx="5488305" cy="764159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488305" cy="7641590"/>
                        </a:xfrm>
                        <a:prstGeom prst="rect">
                          <a:avLst/>
                        </a:prstGeom>
                        <a:noFill/>
                        <a:ln>
                          <a:noFill/>
                        </a:ln>
                        <a:effectLst/>
                      </wps:spPr>
                      <wps:txbx>
                        <w:txbxContent>
                          <w:tbl>
                            <w:tblPr>
                              <w:tblStyle w:val="21"/>
                              <w:tblW w:w="0" w:type="auto"/>
                              <w:tblInd w:w="-5" w:type="dxa"/>
                              <w:tblLayout w:type="fixed"/>
                              <w:tblCellMar>
                                <w:top w:w="0" w:type="dxa"/>
                                <w:left w:w="0" w:type="dxa"/>
                                <w:bottom w:w="0" w:type="dxa"/>
                                <w:right w:w="0" w:type="dxa"/>
                              </w:tblCellMar>
                            </w:tblPr>
                            <w:tblGrid>
                              <w:gridCol w:w="574"/>
                              <w:gridCol w:w="1166"/>
                              <w:gridCol w:w="1800"/>
                              <w:gridCol w:w="1916"/>
                              <w:gridCol w:w="2966"/>
                            </w:tblGrid>
                            <w:tr>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57" w:line="254" w:lineRule="auto"/>
                                    <w:ind w:left="59" w:right="60"/>
                                    <w:rPr>
                                      <w:rFonts w:ascii="宋体" w:hAnsi="宋体" w:cs="宋体"/>
                                    </w:rPr>
                                  </w:pPr>
                                  <w:r>
                                    <w:rPr>
                                      <w:rFonts w:hint="eastAsia" w:ascii="宋体" w:hAnsi="宋体" w:cs="宋体"/>
                                      <w:b/>
                                      <w:bCs/>
                                      <w:w w:val="99"/>
                                    </w:rPr>
                                    <w:t>品目序号</w:t>
                                  </w:r>
                                </w:p>
                              </w:tc>
                              <w:tc>
                                <w:tcPr>
                                  <w:tcW w:w="4882" w:type="dxa"/>
                                  <w:gridSpan w:val="3"/>
                                  <w:tcBorders>
                                    <w:top w:val="single" w:color="000000" w:sz="4" w:space="0"/>
                                    <w:left w:val="single" w:color="000000" w:sz="4" w:space="0"/>
                                    <w:bottom w:val="single" w:color="000000" w:sz="4" w:space="0"/>
                                    <w:right w:val="single" w:color="000000" w:sz="4" w:space="0"/>
                                  </w:tcBorders>
                                  <w:noWrap w:val="0"/>
                                  <w:vAlign w:val="top"/>
                                </w:tcPr>
                                <w:p>
                                  <w:pPr>
                                    <w:pStyle w:val="28"/>
                                    <w:spacing w:before="4"/>
                                    <w:rPr>
                                      <w:rFonts w:ascii="宋体" w:hAnsi="宋体" w:cs="宋体"/>
                                      <w:sz w:val="16"/>
                                      <w:szCs w:val="16"/>
                                    </w:rPr>
                                  </w:pPr>
                                </w:p>
                                <w:p>
                                  <w:pPr>
                                    <w:pStyle w:val="28"/>
                                    <w:jc w:val="center"/>
                                    <w:rPr>
                                      <w:rFonts w:ascii="宋体" w:hAnsi="宋体" w:cs="宋体"/>
                                    </w:rPr>
                                  </w:pPr>
                                  <w:r>
                                    <w:rPr>
                                      <w:rFonts w:hint="eastAsia" w:ascii="宋体" w:hAnsi="宋体" w:cs="宋体"/>
                                      <w:b/>
                                      <w:bCs/>
                                      <w:w w:val="99"/>
                                    </w:rPr>
                                    <w:t>名称</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4"/>
                                    <w:rPr>
                                      <w:rFonts w:ascii="宋体" w:hAnsi="宋体" w:cs="宋体"/>
                                      <w:sz w:val="16"/>
                                      <w:szCs w:val="16"/>
                                    </w:rPr>
                                  </w:pPr>
                                </w:p>
                                <w:p>
                                  <w:pPr>
                                    <w:pStyle w:val="28"/>
                                    <w:ind w:left="926"/>
                                    <w:rPr>
                                      <w:rFonts w:ascii="宋体" w:hAnsi="宋体" w:cs="宋体"/>
                                    </w:rPr>
                                  </w:pPr>
                                  <w:r>
                                    <w:rPr>
                                      <w:rFonts w:hint="eastAsia" w:ascii="宋体" w:hAnsi="宋体" w:cs="宋体"/>
                                      <w:b/>
                                      <w:bCs/>
                                      <w:w w:val="99"/>
                                    </w:rPr>
                                    <w:t>依据的标准</w:t>
                                  </w:r>
                                </w:p>
                              </w:tc>
                            </w:tr>
                            <w:tr>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rPr>
                                      <w:rFonts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spacing w:before="11"/>
                                    <w:rPr>
                                      <w:rFonts w:hint="eastAsia" w:ascii="宋体" w:hAnsi="宋体" w:cs="宋体"/>
                                      <w:sz w:val="15"/>
                                      <w:szCs w:val="15"/>
                                    </w:rPr>
                                  </w:pPr>
                                </w:p>
                                <w:p>
                                  <w:pPr>
                                    <w:pStyle w:val="28"/>
                                    <w:ind w:right="1"/>
                                    <w:jc w:val="center"/>
                                    <w:rPr>
                                      <w:rFonts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rPr>
                                      <w:rFonts w:ascii="宋体" w:hAnsi="宋体" w:cs="宋体"/>
                                      <w:sz w:val="20"/>
                                      <w:szCs w:val="20"/>
                                    </w:rPr>
                                  </w:pPr>
                                </w:p>
                                <w:p>
                                  <w:pPr>
                                    <w:pStyle w:val="28"/>
                                    <w:rPr>
                                      <w:rFonts w:hint="eastAsia" w:ascii="宋体" w:hAnsi="宋体" w:cs="宋体"/>
                                      <w:sz w:val="20"/>
                                      <w:szCs w:val="20"/>
                                    </w:rPr>
                                  </w:pPr>
                                </w:p>
                                <w:p>
                                  <w:pPr>
                                    <w:pStyle w:val="28"/>
                                    <w:spacing w:before="12"/>
                                    <w:rPr>
                                      <w:rFonts w:hint="eastAsia" w:ascii="宋体" w:hAnsi="宋体" w:cs="宋体"/>
                                      <w:sz w:val="23"/>
                                      <w:szCs w:val="23"/>
                                    </w:rPr>
                                  </w:pPr>
                                </w:p>
                                <w:p>
                                  <w:pPr>
                                    <w:pStyle w:val="28"/>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pPr>
                                    <w:pStyle w:val="28"/>
                                    <w:spacing w:before="50"/>
                                    <w:ind w:left="7"/>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rPr>
                                      <w:rFonts w:ascii="宋体" w:hAnsi="宋体" w:cs="宋体"/>
                                      <w:sz w:val="20"/>
                                      <w:szCs w:val="20"/>
                                      <w:lang w:eastAsia="zh-CN"/>
                                    </w:rPr>
                                  </w:pPr>
                                </w:p>
                                <w:p>
                                  <w:pPr>
                                    <w:pStyle w:val="28"/>
                                    <w:rPr>
                                      <w:rFonts w:hint="eastAsia" w:ascii="宋体" w:hAnsi="宋体" w:cs="宋体"/>
                                      <w:sz w:val="20"/>
                                      <w:szCs w:val="20"/>
                                      <w:lang w:eastAsia="zh-CN"/>
                                    </w:rPr>
                                  </w:pPr>
                                </w:p>
                                <w:p>
                                  <w:pPr>
                                    <w:pStyle w:val="28"/>
                                    <w:rPr>
                                      <w:rFonts w:hint="eastAsia" w:ascii="宋体" w:hAnsi="宋体" w:cs="宋体"/>
                                      <w:sz w:val="20"/>
                                      <w:szCs w:val="20"/>
                                      <w:lang w:eastAsia="zh-CN"/>
                                    </w:rPr>
                                  </w:pPr>
                                </w:p>
                                <w:p>
                                  <w:pPr>
                                    <w:pStyle w:val="28"/>
                                    <w:rPr>
                                      <w:rFonts w:hint="eastAsia" w:ascii="宋体" w:hAnsi="宋体" w:cs="宋体"/>
                                      <w:sz w:val="20"/>
                                      <w:szCs w:val="20"/>
                                      <w:lang w:eastAsia="zh-CN"/>
                                    </w:rPr>
                                  </w:pPr>
                                </w:p>
                                <w:p>
                                  <w:pPr>
                                    <w:pStyle w:val="28"/>
                                    <w:rPr>
                                      <w:rFonts w:hint="eastAsia" w:ascii="宋体" w:hAnsi="宋体" w:cs="宋体"/>
                                      <w:sz w:val="20"/>
                                      <w:szCs w:val="20"/>
                                      <w:lang w:eastAsia="zh-CN"/>
                                    </w:rPr>
                                  </w:pPr>
                                </w:p>
                                <w:p>
                                  <w:pPr>
                                    <w:pStyle w:val="28"/>
                                    <w:rPr>
                                      <w:rFonts w:hint="eastAsia" w:ascii="宋体" w:hAnsi="宋体" w:cs="宋体"/>
                                      <w:sz w:val="20"/>
                                      <w:szCs w:val="20"/>
                                      <w:lang w:eastAsia="zh-CN"/>
                                    </w:rPr>
                                  </w:pPr>
                                </w:p>
                                <w:p>
                                  <w:pPr>
                                    <w:pStyle w:val="28"/>
                                    <w:rPr>
                                      <w:rFonts w:hint="eastAsia" w:ascii="宋体" w:hAnsi="宋体" w:cs="宋体"/>
                                      <w:sz w:val="20"/>
                                      <w:szCs w:val="20"/>
                                      <w:lang w:eastAsia="zh-CN"/>
                                    </w:rPr>
                                  </w:pPr>
                                </w:p>
                                <w:p>
                                  <w:pPr>
                                    <w:pStyle w:val="28"/>
                                    <w:spacing w:before="2"/>
                                    <w:rPr>
                                      <w:rFonts w:hint="eastAsia" w:ascii="宋体" w:hAnsi="宋体" w:cs="宋体"/>
                                      <w:sz w:val="14"/>
                                      <w:szCs w:val="14"/>
                                      <w:lang w:eastAsia="zh-CN"/>
                                    </w:rPr>
                                  </w:pPr>
                                </w:p>
                                <w:p>
                                  <w:pPr>
                                    <w:pStyle w:val="28"/>
                                    <w:ind w:right="1"/>
                                    <w:jc w:val="center"/>
                                    <w:rPr>
                                      <w:rFonts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rPr>
                                      <w:rFonts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spacing w:before="3"/>
                                    <w:rPr>
                                      <w:rFonts w:hint="eastAsia" w:ascii="宋体" w:hAnsi="宋体" w:cs="宋体"/>
                                    </w:rPr>
                                  </w:pPr>
                                </w:p>
                                <w:p>
                                  <w:pPr>
                                    <w:pStyle w:val="28"/>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pPr>
                                    <w:pStyle w:val="28"/>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rPr>
                                      <w:rFonts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pPr>
                                    <w:pStyle w:val="28"/>
                                    <w:spacing w:before="50"/>
                                    <w:ind w:left="7"/>
                                    <w:rPr>
                                      <w:rFonts w:ascii="宋体" w:hAnsi="宋体" w:cs="宋体"/>
                                      <w:sz w:val="20"/>
                                      <w:szCs w:val="20"/>
                                    </w:rPr>
                                  </w:pPr>
                                  <w:r>
                                    <w:rPr>
                                      <w:rFonts w:hint="eastAsia" w:ascii="宋体" w:hAnsi="宋体" w:cs="宋体"/>
                                      <w:w w:val="99"/>
                                      <w:sz w:val="20"/>
                                      <w:szCs w:val="20"/>
                                    </w:rPr>
                                    <w:t>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pPr>
                                    <w:pStyle w:val="28"/>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pPr>
                                    <w:pStyle w:val="28"/>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2"/>
                                    <w:rPr>
                                      <w:rFonts w:ascii="宋体" w:hAnsi="宋体" w:cs="宋体"/>
                                      <w:sz w:val="17"/>
                                      <w:szCs w:val="17"/>
                                      <w:lang w:eastAsia="zh-CN"/>
                                    </w:rPr>
                                  </w:pPr>
                                </w:p>
                                <w:p>
                                  <w:pPr>
                                    <w:pStyle w:val="2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pPr>
                                    <w:pStyle w:val="28"/>
                                    <w:spacing w:before="50"/>
                                    <w:ind w:left="7"/>
                                    <w:rPr>
                                      <w:rFonts w:ascii="宋体" w:hAnsi="宋体" w:cs="宋体"/>
                                      <w:sz w:val="20"/>
                                      <w:szCs w:val="20"/>
                                    </w:rPr>
                                  </w:pPr>
                                  <w:r>
                                    <w:rPr>
                                      <w:rFonts w:hint="eastAsia" w:ascii="宋体" w:hAnsi="宋体" w:cs="宋体"/>
                                      <w:w w:val="99"/>
                                      <w:sz w:val="20"/>
                                      <w:szCs w:val="20"/>
                                    </w:rPr>
                                    <w:t>显示器</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136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8"/>
                                    <w:rPr>
                                      <w:rFonts w:ascii="宋体" w:hAnsi="宋体" w:cs="宋体"/>
                                      <w:sz w:val="27"/>
                                      <w:szCs w:val="27"/>
                                      <w:lang w:eastAsia="zh-CN"/>
                                    </w:rPr>
                                  </w:pPr>
                                </w:p>
                                <w:p>
                                  <w:pPr>
                                    <w:pStyle w:val="28"/>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pStyle w:val="28"/>
                                    <w:rPr>
                                      <w:rFonts w:ascii="宋体" w:hAnsi="宋体" w:cs="宋体"/>
                                      <w:sz w:val="20"/>
                                      <w:szCs w:val="20"/>
                                    </w:rPr>
                                  </w:pPr>
                                </w:p>
                                <w:p>
                                  <w:pPr>
                                    <w:pStyle w:val="28"/>
                                    <w:spacing w:before="7"/>
                                    <w:rPr>
                                      <w:rFonts w:hint="eastAsia" w:ascii="宋体" w:hAnsi="宋体" w:cs="宋体"/>
                                      <w:sz w:val="19"/>
                                      <w:szCs w:val="19"/>
                                    </w:rPr>
                                  </w:pPr>
                                </w:p>
                                <w:p>
                                  <w:pPr>
                                    <w:pStyle w:val="2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pPr>
                                    <w:pStyle w:val="28"/>
                                    <w:spacing w:before="12" w:line="280"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179"/>
                                    <w:ind w:right="1"/>
                                    <w:jc w:val="center"/>
                                    <w:rPr>
                                      <w:rFonts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pPr>
                                    <w:pStyle w:val="28"/>
                                    <w:spacing w:before="50"/>
                                    <w:ind w:left="7"/>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pPr>
                                    <w:pStyle w:val="28"/>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13"/>
                                    <w:rPr>
                                      <w:rFonts w:ascii="宋体" w:hAnsi="宋体" w:cs="宋体"/>
                                      <w:sz w:val="16"/>
                                      <w:szCs w:val="16"/>
                                    </w:rPr>
                                  </w:pPr>
                                </w:p>
                                <w:p>
                                  <w:pPr>
                                    <w:pStyle w:val="28"/>
                                    <w:ind w:right="1"/>
                                    <w:jc w:val="center"/>
                                    <w:rPr>
                                      <w:rFonts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pPr>
                                    <w:pStyle w:val="28"/>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646"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160"/>
                                    <w:ind w:right="1"/>
                                    <w:jc w:val="center"/>
                                    <w:rPr>
                                      <w:rFonts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132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rPr>
                                      <w:rFonts w:ascii="宋体" w:hAnsi="宋体" w:cs="宋体"/>
                                      <w:sz w:val="20"/>
                                      <w:szCs w:val="20"/>
                                      <w:lang w:eastAsia="zh-CN"/>
                                    </w:rPr>
                                  </w:pPr>
                                </w:p>
                                <w:p>
                                  <w:pPr>
                                    <w:pStyle w:val="28"/>
                                    <w:rPr>
                                      <w:rFonts w:hint="eastAsia" w:ascii="宋体" w:hAnsi="宋体" w:cs="宋体"/>
                                      <w:sz w:val="20"/>
                                      <w:szCs w:val="20"/>
                                      <w:lang w:eastAsia="zh-CN"/>
                                    </w:rPr>
                                  </w:pPr>
                                </w:p>
                                <w:p>
                                  <w:pPr>
                                    <w:pStyle w:val="28"/>
                                    <w:spacing w:before="7"/>
                                    <w:rPr>
                                      <w:rFonts w:hint="eastAsia" w:ascii="宋体" w:hAnsi="宋体" w:cs="宋体"/>
                                      <w:sz w:val="26"/>
                                      <w:szCs w:val="26"/>
                                      <w:lang w:eastAsia="zh-CN"/>
                                    </w:rPr>
                                  </w:pPr>
                                </w:p>
                                <w:p>
                                  <w:pPr>
                                    <w:pStyle w:val="28"/>
                                    <w:ind w:right="1"/>
                                    <w:jc w:val="center"/>
                                    <w:rPr>
                                      <w:rFonts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rPr>
                                      <w:rFonts w:ascii="宋体" w:hAnsi="宋体" w:cs="宋体"/>
                                      <w:sz w:val="20"/>
                                      <w:szCs w:val="20"/>
                                    </w:rPr>
                                  </w:pPr>
                                </w:p>
                                <w:p>
                                  <w:pPr>
                                    <w:pStyle w:val="28"/>
                                    <w:rPr>
                                      <w:rFonts w:hint="eastAsia" w:ascii="宋体" w:hAnsi="宋体" w:cs="宋体"/>
                                      <w:sz w:val="20"/>
                                      <w:szCs w:val="20"/>
                                    </w:rPr>
                                  </w:pPr>
                                </w:p>
                                <w:p>
                                  <w:pPr>
                                    <w:pStyle w:val="28"/>
                                    <w:spacing w:before="8"/>
                                    <w:rPr>
                                      <w:rFonts w:hint="eastAsia" w:ascii="宋体" w:hAnsi="宋体" w:cs="宋体"/>
                                      <w:sz w:val="14"/>
                                      <w:szCs w:val="14"/>
                                    </w:rPr>
                                  </w:pPr>
                                </w:p>
                                <w:p>
                                  <w:pPr>
                                    <w:pStyle w:val="28"/>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pPr>
                                    <w:pStyle w:val="28"/>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rPr>
                                      <w:rFonts w:ascii="宋体" w:hAnsi="宋体" w:cs="宋体"/>
                                      <w:sz w:val="20"/>
                                      <w:szCs w:val="20"/>
                                    </w:rPr>
                                  </w:pPr>
                                </w:p>
                                <w:p>
                                  <w:pPr>
                                    <w:pStyle w:val="28"/>
                                    <w:rPr>
                                      <w:rFonts w:hint="eastAsia" w:ascii="宋体" w:hAnsi="宋体" w:cs="宋体"/>
                                      <w:sz w:val="20"/>
                                      <w:szCs w:val="20"/>
                                    </w:rPr>
                                  </w:pPr>
                                </w:p>
                                <w:p>
                                  <w:pPr>
                                    <w:pStyle w:val="28"/>
                                    <w:spacing w:before="8"/>
                                    <w:rPr>
                                      <w:rFonts w:hint="eastAsia" w:ascii="宋体" w:hAnsi="宋体" w:cs="宋体"/>
                                      <w:sz w:val="14"/>
                                      <w:szCs w:val="14"/>
                                    </w:rPr>
                                  </w:pPr>
                                </w:p>
                                <w:p>
                                  <w:pPr>
                                    <w:pStyle w:val="28"/>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pStyle w:val="28"/>
                                    <w:rPr>
                                      <w:rFonts w:ascii="宋体" w:hAnsi="宋体" w:cs="宋体"/>
                                      <w:sz w:val="20"/>
                                      <w:szCs w:val="20"/>
                                    </w:rPr>
                                  </w:pPr>
                                </w:p>
                                <w:p>
                                  <w:pPr>
                                    <w:pStyle w:val="28"/>
                                    <w:spacing w:before="1"/>
                                    <w:rPr>
                                      <w:rFonts w:hint="eastAsia" w:ascii="宋体" w:hAnsi="宋体" w:cs="宋体"/>
                                      <w:sz w:val="18"/>
                                      <w:szCs w:val="18"/>
                                    </w:rPr>
                                  </w:pPr>
                                </w:p>
                                <w:p>
                                  <w:pPr>
                                    <w:pStyle w:val="28"/>
                                    <w:ind w:left="7"/>
                                    <w:rPr>
                                      <w:rFonts w:ascii="宋体" w:hAnsi="宋体" w:cs="宋体"/>
                                      <w:sz w:val="20"/>
                                      <w:szCs w:val="20"/>
                                    </w:rPr>
                                  </w:pPr>
                                  <w:r>
                                    <w:rPr>
                                      <w:rFonts w:hint="eastAsia" w:ascii="宋体" w:hAnsi="宋体" w:cs="宋体"/>
                                      <w:w w:val="99"/>
                                      <w:sz w:val="20"/>
                                      <w:szCs w:val="20"/>
                                    </w:rPr>
                                    <w:t>冷水机组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12"/>
                                    <w:rPr>
                                      <w:rFonts w:ascii="宋体" w:hAnsi="宋体" w:cs="宋体"/>
                                      <w:sz w:val="15"/>
                                      <w:szCs w:val="15"/>
                                      <w:lang w:eastAsia="zh-CN"/>
                                    </w:rPr>
                                  </w:pPr>
                                </w:p>
                                <w:p>
                                  <w:pPr>
                                    <w:pStyle w:val="28"/>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pPr>
                              <w:rPr>
                                <w:rFonts w:ascii="Calibri" w:hAnsi="Calibri"/>
                                <w:sz w:val="22"/>
                                <w:szCs w:val="22"/>
                              </w:rPr>
                            </w:pPr>
                          </w:p>
                        </w:txbxContent>
                      </wps:txbx>
                      <wps:bodyPr lIns="0" tIns="0" rIns="0" bIns="0" upright="1"/>
                    </wps:wsp>
                  </a:graphicData>
                </a:graphic>
              </wp:anchor>
            </w:drawing>
          </mc:Choice>
          <mc:Fallback>
            <w:pict>
              <v:shape id="_x0000_s1026" o:spid="_x0000_s1026" o:spt="202" type="#_x0000_t202" style="position:absolute;left:0pt;margin-left:91.45pt;margin-top:0.1pt;height:601.7pt;width:432.15pt;mso-position-horizontal-relative:page;z-index:251665408;mso-width-relative:page;mso-height-relative:page;" filled="f" stroked="f" coordsize="21600,21600" o:gfxdata="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TtT9E1wAAAAoBAAAPAAAAAAAAAAEAIAAAACIAAABkcnMvZG93bnJldi54&#10;bWxQSwECFAAUAAAACACHTuJAO7obd8IBAACDAwAADgAAAAAAAAABACAAAAAmAQAAZHJzL2Uyb0Rv&#10;Yy54bWxQSwUGAAAAAAYABgBZAQAAWgUAAAAA&#10;">
                <v:fill on="f" focussize="0,0"/>
                <v:stroke on="f"/>
                <v:imagedata o:title=""/>
                <o:lock v:ext="edit" aspectratio="f"/>
                <v:textbox inset="0mm,0mm,0mm,0mm">
                  <w:txbxContent>
                    <w:tbl>
                      <w:tblPr>
                        <w:tblStyle w:val="21"/>
                        <w:tblW w:w="0" w:type="auto"/>
                        <w:tblInd w:w="-5" w:type="dxa"/>
                        <w:tblLayout w:type="fixed"/>
                        <w:tblCellMar>
                          <w:top w:w="0" w:type="dxa"/>
                          <w:left w:w="0" w:type="dxa"/>
                          <w:bottom w:w="0" w:type="dxa"/>
                          <w:right w:w="0" w:type="dxa"/>
                        </w:tblCellMar>
                      </w:tblPr>
                      <w:tblGrid>
                        <w:gridCol w:w="574"/>
                        <w:gridCol w:w="1166"/>
                        <w:gridCol w:w="1800"/>
                        <w:gridCol w:w="1916"/>
                        <w:gridCol w:w="2966"/>
                      </w:tblGrid>
                      <w:tr>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57" w:line="254" w:lineRule="auto"/>
                              <w:ind w:left="59" w:right="60"/>
                              <w:rPr>
                                <w:rFonts w:ascii="宋体" w:hAnsi="宋体" w:cs="宋体"/>
                              </w:rPr>
                            </w:pPr>
                            <w:r>
                              <w:rPr>
                                <w:rFonts w:hint="eastAsia" w:ascii="宋体" w:hAnsi="宋体" w:cs="宋体"/>
                                <w:b/>
                                <w:bCs/>
                                <w:w w:val="99"/>
                              </w:rPr>
                              <w:t>品目序号</w:t>
                            </w:r>
                          </w:p>
                        </w:tc>
                        <w:tc>
                          <w:tcPr>
                            <w:tcW w:w="4882" w:type="dxa"/>
                            <w:gridSpan w:val="3"/>
                            <w:tcBorders>
                              <w:top w:val="single" w:color="000000" w:sz="4" w:space="0"/>
                              <w:left w:val="single" w:color="000000" w:sz="4" w:space="0"/>
                              <w:bottom w:val="single" w:color="000000" w:sz="4" w:space="0"/>
                              <w:right w:val="single" w:color="000000" w:sz="4" w:space="0"/>
                            </w:tcBorders>
                            <w:noWrap w:val="0"/>
                            <w:vAlign w:val="top"/>
                          </w:tcPr>
                          <w:p>
                            <w:pPr>
                              <w:pStyle w:val="28"/>
                              <w:spacing w:before="4"/>
                              <w:rPr>
                                <w:rFonts w:ascii="宋体" w:hAnsi="宋体" w:cs="宋体"/>
                                <w:sz w:val="16"/>
                                <w:szCs w:val="16"/>
                              </w:rPr>
                            </w:pPr>
                          </w:p>
                          <w:p>
                            <w:pPr>
                              <w:pStyle w:val="28"/>
                              <w:jc w:val="center"/>
                              <w:rPr>
                                <w:rFonts w:ascii="宋体" w:hAnsi="宋体" w:cs="宋体"/>
                              </w:rPr>
                            </w:pPr>
                            <w:r>
                              <w:rPr>
                                <w:rFonts w:hint="eastAsia" w:ascii="宋体" w:hAnsi="宋体" w:cs="宋体"/>
                                <w:b/>
                                <w:bCs/>
                                <w:w w:val="99"/>
                              </w:rPr>
                              <w:t>名称</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4"/>
                              <w:rPr>
                                <w:rFonts w:ascii="宋体" w:hAnsi="宋体" w:cs="宋体"/>
                                <w:sz w:val="16"/>
                                <w:szCs w:val="16"/>
                              </w:rPr>
                            </w:pPr>
                          </w:p>
                          <w:p>
                            <w:pPr>
                              <w:pStyle w:val="28"/>
                              <w:ind w:left="926"/>
                              <w:rPr>
                                <w:rFonts w:ascii="宋体" w:hAnsi="宋体" w:cs="宋体"/>
                              </w:rPr>
                            </w:pPr>
                            <w:r>
                              <w:rPr>
                                <w:rFonts w:hint="eastAsia" w:ascii="宋体" w:hAnsi="宋体" w:cs="宋体"/>
                                <w:b/>
                                <w:bCs/>
                                <w:w w:val="99"/>
                              </w:rPr>
                              <w:t>依据的标准</w:t>
                            </w:r>
                          </w:p>
                        </w:tc>
                      </w:tr>
                      <w:tr>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rPr>
                                <w:rFonts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spacing w:before="11"/>
                              <w:rPr>
                                <w:rFonts w:hint="eastAsia" w:ascii="宋体" w:hAnsi="宋体" w:cs="宋体"/>
                                <w:sz w:val="15"/>
                                <w:szCs w:val="15"/>
                              </w:rPr>
                            </w:pPr>
                          </w:p>
                          <w:p>
                            <w:pPr>
                              <w:pStyle w:val="28"/>
                              <w:ind w:right="1"/>
                              <w:jc w:val="center"/>
                              <w:rPr>
                                <w:rFonts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rPr>
                                <w:rFonts w:ascii="宋体" w:hAnsi="宋体" w:cs="宋体"/>
                                <w:sz w:val="20"/>
                                <w:szCs w:val="20"/>
                              </w:rPr>
                            </w:pPr>
                          </w:p>
                          <w:p>
                            <w:pPr>
                              <w:pStyle w:val="28"/>
                              <w:rPr>
                                <w:rFonts w:hint="eastAsia" w:ascii="宋体" w:hAnsi="宋体" w:cs="宋体"/>
                                <w:sz w:val="20"/>
                                <w:szCs w:val="20"/>
                              </w:rPr>
                            </w:pPr>
                          </w:p>
                          <w:p>
                            <w:pPr>
                              <w:pStyle w:val="28"/>
                              <w:spacing w:before="12"/>
                              <w:rPr>
                                <w:rFonts w:hint="eastAsia" w:ascii="宋体" w:hAnsi="宋体" w:cs="宋体"/>
                                <w:sz w:val="23"/>
                                <w:szCs w:val="23"/>
                              </w:rPr>
                            </w:pPr>
                          </w:p>
                          <w:p>
                            <w:pPr>
                              <w:pStyle w:val="28"/>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pPr>
                              <w:pStyle w:val="28"/>
                              <w:spacing w:before="50"/>
                              <w:ind w:left="7"/>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rPr>
                                <w:rFonts w:ascii="宋体" w:hAnsi="宋体" w:cs="宋体"/>
                                <w:sz w:val="20"/>
                                <w:szCs w:val="20"/>
                                <w:lang w:eastAsia="zh-CN"/>
                              </w:rPr>
                            </w:pPr>
                          </w:p>
                          <w:p>
                            <w:pPr>
                              <w:pStyle w:val="28"/>
                              <w:rPr>
                                <w:rFonts w:hint="eastAsia" w:ascii="宋体" w:hAnsi="宋体" w:cs="宋体"/>
                                <w:sz w:val="20"/>
                                <w:szCs w:val="20"/>
                                <w:lang w:eastAsia="zh-CN"/>
                              </w:rPr>
                            </w:pPr>
                          </w:p>
                          <w:p>
                            <w:pPr>
                              <w:pStyle w:val="28"/>
                              <w:rPr>
                                <w:rFonts w:hint="eastAsia" w:ascii="宋体" w:hAnsi="宋体" w:cs="宋体"/>
                                <w:sz w:val="20"/>
                                <w:szCs w:val="20"/>
                                <w:lang w:eastAsia="zh-CN"/>
                              </w:rPr>
                            </w:pPr>
                          </w:p>
                          <w:p>
                            <w:pPr>
                              <w:pStyle w:val="28"/>
                              <w:rPr>
                                <w:rFonts w:hint="eastAsia" w:ascii="宋体" w:hAnsi="宋体" w:cs="宋体"/>
                                <w:sz w:val="20"/>
                                <w:szCs w:val="20"/>
                                <w:lang w:eastAsia="zh-CN"/>
                              </w:rPr>
                            </w:pPr>
                          </w:p>
                          <w:p>
                            <w:pPr>
                              <w:pStyle w:val="28"/>
                              <w:rPr>
                                <w:rFonts w:hint="eastAsia" w:ascii="宋体" w:hAnsi="宋体" w:cs="宋体"/>
                                <w:sz w:val="20"/>
                                <w:szCs w:val="20"/>
                                <w:lang w:eastAsia="zh-CN"/>
                              </w:rPr>
                            </w:pPr>
                          </w:p>
                          <w:p>
                            <w:pPr>
                              <w:pStyle w:val="28"/>
                              <w:rPr>
                                <w:rFonts w:hint="eastAsia" w:ascii="宋体" w:hAnsi="宋体" w:cs="宋体"/>
                                <w:sz w:val="20"/>
                                <w:szCs w:val="20"/>
                                <w:lang w:eastAsia="zh-CN"/>
                              </w:rPr>
                            </w:pPr>
                          </w:p>
                          <w:p>
                            <w:pPr>
                              <w:pStyle w:val="28"/>
                              <w:rPr>
                                <w:rFonts w:hint="eastAsia" w:ascii="宋体" w:hAnsi="宋体" w:cs="宋体"/>
                                <w:sz w:val="20"/>
                                <w:szCs w:val="20"/>
                                <w:lang w:eastAsia="zh-CN"/>
                              </w:rPr>
                            </w:pPr>
                          </w:p>
                          <w:p>
                            <w:pPr>
                              <w:pStyle w:val="28"/>
                              <w:spacing w:before="2"/>
                              <w:rPr>
                                <w:rFonts w:hint="eastAsia" w:ascii="宋体" w:hAnsi="宋体" w:cs="宋体"/>
                                <w:sz w:val="14"/>
                                <w:szCs w:val="14"/>
                                <w:lang w:eastAsia="zh-CN"/>
                              </w:rPr>
                            </w:pPr>
                          </w:p>
                          <w:p>
                            <w:pPr>
                              <w:pStyle w:val="28"/>
                              <w:ind w:right="1"/>
                              <w:jc w:val="center"/>
                              <w:rPr>
                                <w:rFonts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rPr>
                                <w:rFonts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spacing w:before="3"/>
                              <w:rPr>
                                <w:rFonts w:hint="eastAsia" w:ascii="宋体" w:hAnsi="宋体" w:cs="宋体"/>
                              </w:rPr>
                            </w:pPr>
                          </w:p>
                          <w:p>
                            <w:pPr>
                              <w:pStyle w:val="28"/>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pPr>
                              <w:pStyle w:val="28"/>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rPr>
                                <w:rFonts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pPr>
                              <w:pStyle w:val="28"/>
                              <w:spacing w:before="50"/>
                              <w:ind w:left="7"/>
                              <w:rPr>
                                <w:rFonts w:ascii="宋体" w:hAnsi="宋体" w:cs="宋体"/>
                                <w:sz w:val="20"/>
                                <w:szCs w:val="20"/>
                              </w:rPr>
                            </w:pPr>
                            <w:r>
                              <w:rPr>
                                <w:rFonts w:hint="eastAsia" w:ascii="宋体" w:hAnsi="宋体" w:cs="宋体"/>
                                <w:w w:val="99"/>
                                <w:sz w:val="20"/>
                                <w:szCs w:val="20"/>
                              </w:rPr>
                              <w:t>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pPr>
                              <w:pStyle w:val="28"/>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pPr>
                              <w:pStyle w:val="28"/>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2"/>
                              <w:rPr>
                                <w:rFonts w:ascii="宋体" w:hAnsi="宋体" w:cs="宋体"/>
                                <w:sz w:val="17"/>
                                <w:szCs w:val="17"/>
                                <w:lang w:eastAsia="zh-CN"/>
                              </w:rPr>
                            </w:pPr>
                          </w:p>
                          <w:p>
                            <w:pPr>
                              <w:pStyle w:val="2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pPr>
                              <w:pStyle w:val="28"/>
                              <w:spacing w:before="50"/>
                              <w:ind w:left="7"/>
                              <w:rPr>
                                <w:rFonts w:ascii="宋体" w:hAnsi="宋体" w:cs="宋体"/>
                                <w:sz w:val="20"/>
                                <w:szCs w:val="20"/>
                              </w:rPr>
                            </w:pPr>
                            <w:r>
                              <w:rPr>
                                <w:rFonts w:hint="eastAsia" w:ascii="宋体" w:hAnsi="宋体" w:cs="宋体"/>
                                <w:w w:val="99"/>
                                <w:sz w:val="20"/>
                                <w:szCs w:val="20"/>
                              </w:rPr>
                              <w:t>显示器</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136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8"/>
                              <w:rPr>
                                <w:rFonts w:ascii="宋体" w:hAnsi="宋体" w:cs="宋体"/>
                                <w:sz w:val="27"/>
                                <w:szCs w:val="27"/>
                                <w:lang w:eastAsia="zh-CN"/>
                              </w:rPr>
                            </w:pPr>
                          </w:p>
                          <w:p>
                            <w:pPr>
                              <w:pStyle w:val="28"/>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pStyle w:val="28"/>
                              <w:rPr>
                                <w:rFonts w:ascii="宋体" w:hAnsi="宋体" w:cs="宋体"/>
                                <w:sz w:val="20"/>
                                <w:szCs w:val="20"/>
                              </w:rPr>
                            </w:pPr>
                          </w:p>
                          <w:p>
                            <w:pPr>
                              <w:pStyle w:val="28"/>
                              <w:spacing w:before="7"/>
                              <w:rPr>
                                <w:rFonts w:hint="eastAsia" w:ascii="宋体" w:hAnsi="宋体" w:cs="宋体"/>
                                <w:sz w:val="19"/>
                                <w:szCs w:val="19"/>
                              </w:rPr>
                            </w:pPr>
                          </w:p>
                          <w:p>
                            <w:pPr>
                              <w:pStyle w:val="2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pPr>
                              <w:pStyle w:val="28"/>
                              <w:spacing w:before="12" w:line="280"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179"/>
                              <w:ind w:right="1"/>
                              <w:jc w:val="center"/>
                              <w:rPr>
                                <w:rFonts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pPr>
                              <w:pStyle w:val="28"/>
                              <w:spacing w:before="50"/>
                              <w:ind w:left="7"/>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pPr>
                              <w:pStyle w:val="28"/>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13"/>
                              <w:rPr>
                                <w:rFonts w:ascii="宋体" w:hAnsi="宋体" w:cs="宋体"/>
                                <w:sz w:val="16"/>
                                <w:szCs w:val="16"/>
                              </w:rPr>
                            </w:pPr>
                          </w:p>
                          <w:p>
                            <w:pPr>
                              <w:pStyle w:val="28"/>
                              <w:ind w:right="1"/>
                              <w:jc w:val="center"/>
                              <w:rPr>
                                <w:rFonts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pPr>
                              <w:pStyle w:val="28"/>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646"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160"/>
                              <w:ind w:right="1"/>
                              <w:jc w:val="center"/>
                              <w:rPr>
                                <w:rFonts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132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rPr>
                                <w:rFonts w:ascii="宋体" w:hAnsi="宋体" w:cs="宋体"/>
                                <w:sz w:val="20"/>
                                <w:szCs w:val="20"/>
                                <w:lang w:eastAsia="zh-CN"/>
                              </w:rPr>
                            </w:pPr>
                          </w:p>
                          <w:p>
                            <w:pPr>
                              <w:pStyle w:val="28"/>
                              <w:rPr>
                                <w:rFonts w:hint="eastAsia" w:ascii="宋体" w:hAnsi="宋体" w:cs="宋体"/>
                                <w:sz w:val="20"/>
                                <w:szCs w:val="20"/>
                                <w:lang w:eastAsia="zh-CN"/>
                              </w:rPr>
                            </w:pPr>
                          </w:p>
                          <w:p>
                            <w:pPr>
                              <w:pStyle w:val="28"/>
                              <w:spacing w:before="7"/>
                              <w:rPr>
                                <w:rFonts w:hint="eastAsia" w:ascii="宋体" w:hAnsi="宋体" w:cs="宋体"/>
                                <w:sz w:val="26"/>
                                <w:szCs w:val="26"/>
                                <w:lang w:eastAsia="zh-CN"/>
                              </w:rPr>
                            </w:pPr>
                          </w:p>
                          <w:p>
                            <w:pPr>
                              <w:pStyle w:val="28"/>
                              <w:ind w:right="1"/>
                              <w:jc w:val="center"/>
                              <w:rPr>
                                <w:rFonts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rPr>
                                <w:rFonts w:ascii="宋体" w:hAnsi="宋体" w:cs="宋体"/>
                                <w:sz w:val="20"/>
                                <w:szCs w:val="20"/>
                              </w:rPr>
                            </w:pPr>
                          </w:p>
                          <w:p>
                            <w:pPr>
                              <w:pStyle w:val="28"/>
                              <w:rPr>
                                <w:rFonts w:hint="eastAsia" w:ascii="宋体" w:hAnsi="宋体" w:cs="宋体"/>
                                <w:sz w:val="20"/>
                                <w:szCs w:val="20"/>
                              </w:rPr>
                            </w:pPr>
                          </w:p>
                          <w:p>
                            <w:pPr>
                              <w:pStyle w:val="28"/>
                              <w:spacing w:before="8"/>
                              <w:rPr>
                                <w:rFonts w:hint="eastAsia" w:ascii="宋体" w:hAnsi="宋体" w:cs="宋体"/>
                                <w:sz w:val="14"/>
                                <w:szCs w:val="14"/>
                              </w:rPr>
                            </w:pPr>
                          </w:p>
                          <w:p>
                            <w:pPr>
                              <w:pStyle w:val="28"/>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pPr>
                              <w:pStyle w:val="28"/>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rPr>
                                <w:rFonts w:ascii="宋体" w:hAnsi="宋体" w:cs="宋体"/>
                                <w:sz w:val="20"/>
                                <w:szCs w:val="20"/>
                              </w:rPr>
                            </w:pPr>
                          </w:p>
                          <w:p>
                            <w:pPr>
                              <w:pStyle w:val="28"/>
                              <w:rPr>
                                <w:rFonts w:hint="eastAsia" w:ascii="宋体" w:hAnsi="宋体" w:cs="宋体"/>
                                <w:sz w:val="20"/>
                                <w:szCs w:val="20"/>
                              </w:rPr>
                            </w:pPr>
                          </w:p>
                          <w:p>
                            <w:pPr>
                              <w:pStyle w:val="28"/>
                              <w:spacing w:before="8"/>
                              <w:rPr>
                                <w:rFonts w:hint="eastAsia" w:ascii="宋体" w:hAnsi="宋体" w:cs="宋体"/>
                                <w:sz w:val="14"/>
                                <w:szCs w:val="14"/>
                              </w:rPr>
                            </w:pPr>
                          </w:p>
                          <w:p>
                            <w:pPr>
                              <w:pStyle w:val="28"/>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pStyle w:val="28"/>
                              <w:rPr>
                                <w:rFonts w:ascii="宋体" w:hAnsi="宋体" w:cs="宋体"/>
                                <w:sz w:val="20"/>
                                <w:szCs w:val="20"/>
                              </w:rPr>
                            </w:pPr>
                          </w:p>
                          <w:p>
                            <w:pPr>
                              <w:pStyle w:val="28"/>
                              <w:spacing w:before="1"/>
                              <w:rPr>
                                <w:rFonts w:hint="eastAsia" w:ascii="宋体" w:hAnsi="宋体" w:cs="宋体"/>
                                <w:sz w:val="18"/>
                                <w:szCs w:val="18"/>
                              </w:rPr>
                            </w:pPr>
                          </w:p>
                          <w:p>
                            <w:pPr>
                              <w:pStyle w:val="28"/>
                              <w:ind w:left="7"/>
                              <w:rPr>
                                <w:rFonts w:ascii="宋体" w:hAnsi="宋体" w:cs="宋体"/>
                                <w:sz w:val="20"/>
                                <w:szCs w:val="20"/>
                              </w:rPr>
                            </w:pPr>
                            <w:r>
                              <w:rPr>
                                <w:rFonts w:hint="eastAsia" w:ascii="宋体" w:hAnsi="宋体" w:cs="宋体"/>
                                <w:w w:val="99"/>
                                <w:sz w:val="20"/>
                                <w:szCs w:val="20"/>
                              </w:rPr>
                              <w:t>冷水机组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12"/>
                              <w:rPr>
                                <w:rFonts w:ascii="宋体" w:hAnsi="宋体" w:cs="宋体"/>
                                <w:sz w:val="15"/>
                                <w:szCs w:val="15"/>
                                <w:lang w:eastAsia="zh-CN"/>
                              </w:rPr>
                            </w:pPr>
                          </w:p>
                          <w:p>
                            <w:pPr>
                              <w:pStyle w:val="28"/>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pPr>
                        <w:rPr>
                          <w:rFonts w:ascii="Calibri" w:hAnsi="Calibri"/>
                          <w:sz w:val="22"/>
                          <w:szCs w:val="22"/>
                        </w:rPr>
                      </w:pPr>
                    </w:p>
                  </w:txbxContent>
                </v:textbox>
              </v:shape>
            </w:pict>
          </mc:Fallback>
        </mc:AlternateContent>
      </w:r>
    </w:p>
    <w:p>
      <w:pPr>
        <w:rPr>
          <w:rFonts w:hint="eastAsia" w:ascii="Arial Unicode MS" w:hAnsi="Arial Unicode MS" w:eastAsia="Arial Unicode MS" w:cs="Arial Unicode MS"/>
          <w:sz w:val="20"/>
          <w:szCs w:val="20"/>
        </w:rPr>
      </w:pPr>
    </w:p>
    <w:p>
      <w:pPr>
        <w:rPr>
          <w:rFonts w:hint="eastAsia" w:ascii="Arial Unicode MS" w:hAnsi="Arial Unicode MS" w:eastAsia="Arial Unicode MS" w:cs="Arial Unicode MS"/>
          <w:sz w:val="20"/>
          <w:szCs w:val="20"/>
        </w:rPr>
      </w:pPr>
    </w:p>
    <w:p>
      <w:pPr>
        <w:rPr>
          <w:rFonts w:hint="eastAsia" w:ascii="Arial Unicode MS" w:hAnsi="Arial Unicode MS" w:eastAsia="Arial Unicode MS" w:cs="Arial Unicode MS"/>
          <w:sz w:val="20"/>
          <w:szCs w:val="20"/>
        </w:rPr>
      </w:pPr>
    </w:p>
    <w:p>
      <w:pPr>
        <w:rPr>
          <w:rFonts w:hint="eastAsia" w:ascii="Arial Unicode MS" w:hAnsi="Arial Unicode MS" w:eastAsia="Arial Unicode MS" w:cs="Arial Unicode MS"/>
          <w:sz w:val="20"/>
          <w:szCs w:val="20"/>
        </w:rPr>
      </w:pPr>
    </w:p>
    <w:p>
      <w:pPr>
        <w:rPr>
          <w:rFonts w:hint="eastAsia" w:ascii="Arial Unicode MS" w:hAnsi="Arial Unicode MS" w:eastAsia="Arial Unicode MS" w:cs="Arial Unicode MS"/>
          <w:sz w:val="20"/>
          <w:szCs w:val="20"/>
        </w:rPr>
      </w:pPr>
    </w:p>
    <w:p>
      <w:pPr>
        <w:rPr>
          <w:rFonts w:hint="eastAsia" w:ascii="Arial Unicode MS" w:hAnsi="Arial Unicode MS" w:eastAsia="Arial Unicode MS" w:cs="Arial Unicode MS"/>
          <w:sz w:val="20"/>
          <w:szCs w:val="20"/>
        </w:rPr>
      </w:pPr>
    </w:p>
    <w:p>
      <w:pPr>
        <w:rPr>
          <w:rFonts w:hint="eastAsia" w:ascii="Arial Unicode MS" w:hAnsi="Arial Unicode MS" w:eastAsia="Arial Unicode MS" w:cs="Arial Unicode MS"/>
          <w:sz w:val="20"/>
          <w:szCs w:val="20"/>
        </w:rPr>
      </w:pPr>
    </w:p>
    <w:p>
      <w:pPr>
        <w:rPr>
          <w:rFonts w:hint="eastAsia" w:ascii="Arial Unicode MS" w:hAnsi="Arial Unicode MS" w:eastAsia="Arial Unicode MS" w:cs="Arial Unicode MS"/>
          <w:sz w:val="20"/>
          <w:szCs w:val="20"/>
        </w:rPr>
      </w:pPr>
    </w:p>
    <w:p>
      <w:pPr>
        <w:rPr>
          <w:rFonts w:hint="eastAsia" w:ascii="Arial Unicode MS" w:hAnsi="Arial Unicode MS" w:eastAsia="Arial Unicode MS" w:cs="Arial Unicode MS"/>
          <w:sz w:val="20"/>
          <w:szCs w:val="20"/>
        </w:rPr>
      </w:pPr>
    </w:p>
    <w:p>
      <w:pPr>
        <w:rPr>
          <w:rFonts w:hint="eastAsia" w:ascii="Arial Unicode MS" w:hAnsi="Arial Unicode MS" w:eastAsia="Arial Unicode MS" w:cs="Arial Unicode MS"/>
          <w:sz w:val="20"/>
          <w:szCs w:val="20"/>
        </w:rPr>
      </w:pPr>
    </w:p>
    <w:p>
      <w:pPr>
        <w:rPr>
          <w:rFonts w:hint="eastAsia" w:ascii="Arial Unicode MS" w:hAnsi="Arial Unicode MS" w:eastAsia="Arial Unicode MS" w:cs="Arial Unicode MS"/>
          <w:sz w:val="20"/>
          <w:szCs w:val="20"/>
        </w:rPr>
      </w:pPr>
    </w:p>
    <w:p>
      <w:pPr>
        <w:rPr>
          <w:rFonts w:hint="eastAsia" w:ascii="Arial Unicode MS" w:hAnsi="Arial Unicode MS" w:eastAsia="Arial Unicode MS" w:cs="Arial Unicode MS"/>
          <w:sz w:val="20"/>
          <w:szCs w:val="20"/>
        </w:rPr>
      </w:pPr>
    </w:p>
    <w:p>
      <w:pPr>
        <w:rPr>
          <w:rFonts w:hint="eastAsia" w:ascii="Arial Unicode MS" w:hAnsi="Arial Unicode MS" w:eastAsia="Arial Unicode MS" w:cs="Arial Unicode MS"/>
          <w:sz w:val="20"/>
          <w:szCs w:val="20"/>
        </w:rPr>
      </w:pPr>
    </w:p>
    <w:p>
      <w:pPr>
        <w:rPr>
          <w:rFonts w:hint="eastAsia" w:ascii="Arial Unicode MS" w:hAnsi="Arial Unicode MS" w:eastAsia="Arial Unicode MS" w:cs="Arial Unicode MS"/>
          <w:sz w:val="20"/>
          <w:szCs w:val="20"/>
        </w:rPr>
      </w:pPr>
    </w:p>
    <w:p>
      <w:pPr>
        <w:rPr>
          <w:rFonts w:hint="eastAsia" w:ascii="Arial Unicode MS" w:hAnsi="Arial Unicode MS" w:eastAsia="Arial Unicode MS" w:cs="Arial Unicode MS"/>
          <w:sz w:val="20"/>
          <w:szCs w:val="20"/>
        </w:rPr>
      </w:pPr>
    </w:p>
    <w:p>
      <w:pPr>
        <w:spacing w:before="16"/>
        <w:rPr>
          <w:rFonts w:hint="eastAsia" w:ascii="Arial Unicode MS" w:hAnsi="Arial Unicode MS" w:eastAsia="Arial Unicode MS" w:cs="Arial Unicode MS"/>
          <w:sz w:val="17"/>
          <w:szCs w:val="17"/>
        </w:rPr>
      </w:pPr>
    </w:p>
    <w:p>
      <w:pPr>
        <w:spacing w:before="37"/>
        <w:ind w:right="102"/>
        <w:jc w:val="right"/>
        <w:rPr>
          <w:rFonts w:hint="eastAsia" w:ascii="宋体" w:hAnsi="宋体" w:cs="宋体"/>
          <w:sz w:val="20"/>
          <w:szCs w:val="20"/>
          <w:lang w:eastAsia="en-US"/>
        </w:rPr>
      </w:pPr>
      <w:r>
        <w:rPr>
          <w:rFonts w:hint="eastAsia" w:ascii="宋体" w:hAnsi="宋体" w:cs="宋体"/>
          <w:w w:val="99"/>
          <w:sz w:val="20"/>
          <w:szCs w:val="20"/>
        </w:rPr>
        <w:t>）</w:t>
      </w:r>
    </w:p>
    <w:p>
      <w:pPr>
        <w:rPr>
          <w:rFonts w:hint="eastAsia" w:ascii="宋体" w:hAnsi="宋体" w:cs="宋体"/>
          <w:sz w:val="20"/>
          <w:szCs w:val="20"/>
        </w:rPr>
      </w:pPr>
    </w:p>
    <w:p>
      <w:pPr>
        <w:rPr>
          <w:rFonts w:hint="eastAsia" w:ascii="宋体" w:hAnsi="宋体" w:cs="宋体"/>
          <w:sz w:val="20"/>
          <w:szCs w:val="20"/>
        </w:rPr>
      </w:pPr>
    </w:p>
    <w:p>
      <w:pPr>
        <w:spacing w:before="3"/>
        <w:rPr>
          <w:rFonts w:hint="eastAsia" w:ascii="宋体" w:hAnsi="宋体" w:cs="宋体"/>
          <w:sz w:val="15"/>
          <w:szCs w:val="15"/>
        </w:rPr>
      </w:pPr>
    </w:p>
    <w:p>
      <w:pPr>
        <w:spacing w:before="37"/>
        <w:ind w:right="150"/>
        <w:jc w:val="right"/>
        <w:rPr>
          <w:rFonts w:hint="eastAsia" w:ascii="宋体" w:hAnsi="宋体" w:cs="宋体"/>
          <w:sz w:val="20"/>
          <w:szCs w:val="20"/>
        </w:rPr>
      </w:pPr>
      <w:r>
        <w:rPr>
          <w:rFonts w:hint="eastAsia" w:ascii="宋体" w:hAnsi="宋体" w:cs="宋体"/>
          <w:w w:val="99"/>
          <w:sz w:val="20"/>
          <w:szCs w:val="20"/>
        </w:rPr>
        <w:t>》</w:t>
      </w:r>
    </w:p>
    <w:p>
      <w:pPr>
        <w:widowControl/>
        <w:jc w:val="left"/>
        <w:rPr>
          <w:rFonts w:ascii="宋体" w:hAnsi="宋体" w:cs="宋体"/>
          <w:sz w:val="20"/>
          <w:szCs w:val="20"/>
        </w:rPr>
        <w:sectPr>
          <w:pgSz w:w="11910" w:h="16840"/>
          <w:pgMar w:top="1520" w:right="1500" w:bottom="280" w:left="1680" w:header="720" w:footer="720" w:gutter="0"/>
          <w:pgNumType w:fmt="decimal"/>
          <w:cols w:space="720" w:num="1"/>
        </w:sect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spacing w:before="2"/>
        <w:rPr>
          <w:rFonts w:hint="eastAsia" w:ascii="宋体" w:hAnsi="宋体" w:cs="宋体"/>
          <w:sz w:val="23"/>
          <w:szCs w:val="23"/>
        </w:rPr>
      </w:pPr>
    </w:p>
    <w:p>
      <w:pPr>
        <w:spacing w:before="37"/>
        <w:ind w:right="102"/>
        <w:jc w:val="right"/>
        <w:rPr>
          <w:rFonts w:hint="eastAsia" w:ascii="宋体" w:hAnsi="宋体" w:cs="宋体"/>
          <w:sz w:val="20"/>
          <w:szCs w:val="20"/>
        </w:rPr>
      </w:pPr>
      <w:r>
        <w:rPr>
          <w:rFonts w:hint="eastAsia"/>
        </w:rPr>
        <mc:AlternateContent>
          <mc:Choice Requires="wps">
            <w:drawing>
              <wp:anchor distT="0" distB="0" distL="114300" distR="114300" simplePos="0" relativeHeight="251666432" behindDoc="0" locked="0" layoutInCell="1" allowOverlap="1">
                <wp:simplePos x="0" y="0"/>
                <wp:positionH relativeFrom="page">
                  <wp:posOffset>1132205</wp:posOffset>
                </wp:positionH>
                <wp:positionV relativeFrom="paragraph">
                  <wp:posOffset>-805180</wp:posOffset>
                </wp:positionV>
                <wp:extent cx="5356860" cy="88963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356860" cy="8896350"/>
                        </a:xfrm>
                        <a:prstGeom prst="rect">
                          <a:avLst/>
                        </a:prstGeom>
                        <a:noFill/>
                        <a:ln>
                          <a:noFill/>
                        </a:ln>
                        <a:effectLst/>
                      </wps:spPr>
                      <wps:txbx>
                        <w:txbxContent>
                          <w:tbl>
                            <w:tblPr>
                              <w:tblStyle w:val="21"/>
                              <w:tblW w:w="0" w:type="auto"/>
                              <w:tblInd w:w="-5" w:type="dxa"/>
                              <w:tblLayout w:type="fixed"/>
                              <w:tblCellMar>
                                <w:top w:w="0" w:type="dxa"/>
                                <w:left w:w="0" w:type="dxa"/>
                                <w:bottom w:w="0" w:type="dxa"/>
                                <w:right w:w="0" w:type="dxa"/>
                              </w:tblCellMar>
                            </w:tblPr>
                            <w:tblGrid>
                              <w:gridCol w:w="574"/>
                              <w:gridCol w:w="1166"/>
                              <w:gridCol w:w="1800"/>
                              <w:gridCol w:w="1915"/>
                              <w:gridCol w:w="2966"/>
                            </w:tblGrid>
                            <w:tr>
                              <w:tblPrEx>
                                <w:tblCellMar>
                                  <w:top w:w="0" w:type="dxa"/>
                                  <w:left w:w="0" w:type="dxa"/>
                                  <w:bottom w:w="0" w:type="dxa"/>
                                  <w:right w:w="0" w:type="dxa"/>
                                </w:tblCellMar>
                              </w:tblPrEx>
                              <w:trPr>
                                <w:trHeight w:val="416"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1915" w:type="dxa"/>
                                  <w:tcBorders>
                                    <w:top w:val="single" w:color="000000" w:sz="4" w:space="0"/>
                                    <w:left w:val="single" w:color="000000" w:sz="4" w:space="0"/>
                                    <w:bottom w:val="nil"/>
                                    <w:right w:val="single" w:color="000000" w:sz="4" w:space="0"/>
                                  </w:tcBorders>
                                  <w:noWrap w:val="0"/>
                                  <w:vAlign w:val="top"/>
                                </w:tcPr>
                                <w:p>
                                  <w:pPr>
                                    <w:pStyle w:val="28"/>
                                    <w:spacing w:before="93"/>
                                    <w:ind w:left="7"/>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2966" w:type="dxa"/>
                                  <w:tcBorders>
                                    <w:top w:val="single" w:color="000000" w:sz="4" w:space="0"/>
                                    <w:left w:val="single" w:color="000000" w:sz="4" w:space="0"/>
                                    <w:bottom w:val="nil"/>
                                    <w:right w:val="single" w:color="000000" w:sz="4" w:space="0"/>
                                  </w:tcBorders>
                                  <w:noWrap w:val="0"/>
                                  <w:vAlign w:val="top"/>
                                </w:tcPr>
                                <w:p>
                                  <w:pPr>
                                    <w:pStyle w:val="28"/>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tblPrEx>
                                <w:tblCellMar>
                                  <w:top w:w="0" w:type="dxa"/>
                                  <w:left w:w="0" w:type="dxa"/>
                                  <w:bottom w:w="0" w:type="dxa"/>
                                  <w:right w:w="0" w:type="dxa"/>
                                </w:tblCellMar>
                              </w:tblPrEx>
                              <w:trPr>
                                <w:trHeight w:val="40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915" w:type="dxa"/>
                                  <w:tcBorders>
                                    <w:top w:val="nil"/>
                                    <w:left w:val="single" w:color="000000" w:sz="4" w:space="0"/>
                                    <w:bottom w:val="single" w:color="000000" w:sz="4" w:space="0"/>
                                    <w:right w:val="single" w:color="000000" w:sz="4" w:space="0"/>
                                  </w:tcBorders>
                                  <w:noWrap w:val="0"/>
                                  <w:vAlign w:val="top"/>
                                </w:tcPr>
                                <w:p>
                                  <w:pPr>
                                    <w:pStyle w:val="28"/>
                                    <w:spacing w:line="256" w:lineRule="exact"/>
                                    <w:ind w:left="7"/>
                                    <w:rPr>
                                      <w:rFonts w:ascii="宋体" w:hAnsi="宋体" w:cs="宋体"/>
                                      <w:sz w:val="20"/>
                                      <w:szCs w:val="20"/>
                                    </w:rPr>
                                  </w:pPr>
                                  <w:r>
                                    <w:rPr>
                                      <w:rFonts w:hint="eastAsia" w:ascii="宋体" w:hAnsi="宋体" w:cs="宋体"/>
                                      <w:w w:val="99"/>
                                      <w:sz w:val="20"/>
                                      <w:szCs w:val="20"/>
                                    </w:rPr>
                                    <w:t>组</w:t>
                                  </w:r>
                                </w:p>
                              </w:tc>
                              <w:tc>
                                <w:tcPr>
                                  <w:tcW w:w="2966" w:type="dxa"/>
                                  <w:tcBorders>
                                    <w:top w:val="nil"/>
                                    <w:left w:val="single" w:color="000000" w:sz="4" w:space="0"/>
                                    <w:bottom w:val="single" w:color="000000" w:sz="4" w:space="0"/>
                                    <w:right w:val="single" w:color="000000" w:sz="4" w:space="0"/>
                                  </w:tcBorders>
                                  <w:noWrap w:val="0"/>
                                  <w:vAlign w:val="top"/>
                                </w:tcPr>
                                <w:p>
                                  <w:pPr>
                                    <w:pStyle w:val="28"/>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rPr>
                                      <w:rFonts w:ascii="宋体" w:hAnsi="宋体" w:cs="宋体"/>
                                      <w:sz w:val="20"/>
                                      <w:szCs w:val="20"/>
                                      <w:lang w:eastAsia="zh-CN"/>
                                    </w:rPr>
                                  </w:pPr>
                                </w:p>
                                <w:p>
                                  <w:pPr>
                                    <w:pStyle w:val="28"/>
                                    <w:rPr>
                                      <w:rFonts w:hint="eastAsia" w:ascii="宋体" w:hAnsi="宋体" w:cs="宋体"/>
                                      <w:sz w:val="20"/>
                                      <w:szCs w:val="20"/>
                                      <w:lang w:eastAsia="zh-CN"/>
                                    </w:rPr>
                                  </w:pPr>
                                </w:p>
                                <w:p>
                                  <w:pPr>
                                    <w:pStyle w:val="28"/>
                                    <w:spacing w:before="3"/>
                                    <w:rPr>
                                      <w:rFonts w:hint="eastAsia" w:ascii="宋体" w:hAnsi="宋体" w:cs="宋体"/>
                                      <w:sz w:val="21"/>
                                      <w:szCs w:val="21"/>
                                      <w:lang w:eastAsia="zh-CN"/>
                                    </w:rPr>
                                  </w:pPr>
                                </w:p>
                                <w:p>
                                  <w:pPr>
                                    <w:pStyle w:val="28"/>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tblPrEx>
                                <w:tblCellMar>
                                  <w:top w:w="0" w:type="dxa"/>
                                  <w:left w:w="0" w:type="dxa"/>
                                  <w:bottom w:w="0" w:type="dxa"/>
                                  <w:right w:w="0" w:type="dxa"/>
                                </w:tblCellMar>
                              </w:tblPrEx>
                              <w:trPr>
                                <w:trHeight w:val="6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nil"/>
                                    <w:right w:val="single" w:color="000000" w:sz="4" w:space="0"/>
                                  </w:tcBorders>
                                  <w:noWrap w:val="0"/>
                                  <w:vAlign w:val="top"/>
                                </w:tcPr>
                                <w:p>
                                  <w:pPr>
                                    <w:pStyle w:val="28"/>
                                    <w:spacing w:before="7"/>
                                    <w:rPr>
                                      <w:rFonts w:ascii="宋体" w:hAnsi="宋体" w:cs="宋体"/>
                                      <w:sz w:val="24"/>
                                      <w:szCs w:val="24"/>
                                      <w:lang w:eastAsia="zh-CN"/>
                                    </w:rPr>
                                  </w:pPr>
                                </w:p>
                                <w:p>
                                  <w:pPr>
                                    <w:pStyle w:val="28"/>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pPr>
                                    <w:pStyle w:val="28"/>
                                    <w:spacing w:before="9"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pPr>
                                    <w:pStyle w:val="28"/>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2966" w:type="dxa"/>
                                  <w:tcBorders>
                                    <w:top w:val="nil"/>
                                    <w:left w:val="single" w:color="000000" w:sz="4" w:space="0"/>
                                    <w:bottom w:val="nil"/>
                                    <w:right w:val="single" w:color="000000" w:sz="4" w:space="0"/>
                                  </w:tcBorders>
                                  <w:noWrap w:val="0"/>
                                  <w:vAlign w:val="top"/>
                                </w:tcPr>
                                <w:p>
                                  <w:pPr>
                                    <w:pStyle w:val="28"/>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tblPrEx>
                                <w:tblCellMar>
                                  <w:top w:w="0" w:type="dxa"/>
                                  <w:left w:w="0" w:type="dxa"/>
                                  <w:bottom w:w="0" w:type="dxa"/>
                                  <w:right w:w="0" w:type="dxa"/>
                                </w:tblCellMar>
                              </w:tblPrEx>
                              <w:trPr>
                                <w:trHeight w:val="326"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pPr>
                                    <w:pStyle w:val="28"/>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tblPrEx>
                                <w:tblCellMar>
                                  <w:top w:w="0" w:type="dxa"/>
                                  <w:left w:w="0" w:type="dxa"/>
                                  <w:bottom w:w="0" w:type="dxa"/>
                                  <w:right w:w="0" w:type="dxa"/>
                                </w:tblCellMar>
                              </w:tblPrEx>
                              <w:trPr>
                                <w:trHeight w:val="40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noWrap w:val="0"/>
                                  <w:vAlign w:val="top"/>
                                </w:tcPr>
                                <w:p>
                                  <w:pPr>
                                    <w:pStyle w:val="28"/>
                                    <w:spacing w:before="83"/>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spacing w:before="1"/>
                                    <w:rPr>
                                      <w:rFonts w:ascii="宋体" w:hAnsi="宋体" w:cs="宋体"/>
                                      <w:sz w:val="18"/>
                                      <w:szCs w:val="18"/>
                                    </w:rPr>
                                  </w:pPr>
                                </w:p>
                                <w:p>
                                  <w:pPr>
                                    <w:pStyle w:val="28"/>
                                    <w:ind w:left="7"/>
                                    <w:rPr>
                                      <w:rFonts w:ascii="宋体" w:hAnsi="宋体" w:cs="宋体"/>
                                      <w:sz w:val="20"/>
                                      <w:szCs w:val="20"/>
                                    </w:rPr>
                                  </w:pPr>
                                  <w:r>
                                    <w:rPr>
                                      <w:rFonts w:hint="eastAsia" w:ascii="宋体" w:hAnsi="宋体" w:cs="宋体"/>
                                      <w:w w:val="99"/>
                                      <w:sz w:val="20"/>
                                      <w:szCs w:val="20"/>
                                    </w:rPr>
                                    <w:t>机房空调</w:t>
                                  </w:r>
                                </w:p>
                              </w:tc>
                              <w:tc>
                                <w:tcPr>
                                  <w:tcW w:w="2966" w:type="dxa"/>
                                  <w:tcBorders>
                                    <w:top w:val="single" w:color="000000" w:sz="4" w:space="0"/>
                                    <w:left w:val="single" w:color="000000" w:sz="4" w:space="0"/>
                                    <w:bottom w:val="nil"/>
                                    <w:right w:val="single" w:color="000000" w:sz="4" w:space="0"/>
                                  </w:tcBorders>
                                  <w:noWrap w:val="0"/>
                                  <w:vAlign w:val="top"/>
                                </w:tcPr>
                                <w:p>
                                  <w:pPr>
                                    <w:pStyle w:val="28"/>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tblPrEx>
                                <w:tblCellMar>
                                  <w:top w:w="0" w:type="dxa"/>
                                  <w:left w:w="0" w:type="dxa"/>
                                  <w:bottom w:w="0" w:type="dxa"/>
                                  <w:right w:w="0" w:type="dxa"/>
                                </w:tblCellMar>
                              </w:tblPrEx>
                              <w:trPr>
                                <w:trHeight w:val="39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noWrap w:val="0"/>
                                  <w:vAlign w:val="top"/>
                                </w:tcPr>
                                <w:p>
                                  <w:pPr>
                                    <w:pStyle w:val="28"/>
                                    <w:spacing w:line="254" w:lineRule="exact"/>
                                    <w:ind w:left="7"/>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single" w:color="000000" w:sz="4" w:space="0"/>
                                    <w:right w:val="single" w:color="000000" w:sz="4" w:space="0"/>
                                  </w:tcBorders>
                                  <w:noWrap w:val="0"/>
                                  <w:vAlign w:val="top"/>
                                </w:tcPr>
                                <w:p>
                                  <w:pPr>
                                    <w:pStyle w:val="28"/>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54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nil"/>
                                    <w:right w:val="single" w:color="000000" w:sz="4" w:space="0"/>
                                  </w:tcBorders>
                                  <w:noWrap w:val="0"/>
                                  <w:vAlign w:val="top"/>
                                </w:tcPr>
                                <w:p>
                                  <w:pPr>
                                    <w:pStyle w:val="28"/>
                                    <w:rPr>
                                      <w:rFonts w:ascii="宋体" w:hAnsi="宋体" w:cs="宋体"/>
                                      <w:sz w:val="20"/>
                                      <w:szCs w:val="20"/>
                                      <w:lang w:eastAsia="zh-CN"/>
                                    </w:rPr>
                                  </w:pPr>
                                </w:p>
                                <w:p>
                                  <w:pPr>
                                    <w:pStyle w:val="28"/>
                                    <w:spacing w:before="9"/>
                                    <w:rPr>
                                      <w:rFonts w:hint="eastAsia" w:ascii="宋体" w:hAnsi="宋体" w:cs="宋体"/>
                                      <w:sz w:val="20"/>
                                      <w:szCs w:val="20"/>
                                      <w:lang w:eastAsia="zh-CN"/>
                                    </w:rPr>
                                  </w:pPr>
                                </w:p>
                                <w:p>
                                  <w:pPr>
                                    <w:pStyle w:val="2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rPr>
                                      <w:rFonts w:ascii="宋体" w:hAnsi="宋体" w:cs="宋体"/>
                                      <w:sz w:val="20"/>
                                      <w:szCs w:val="20"/>
                                    </w:rPr>
                                  </w:pPr>
                                </w:p>
                                <w:p>
                                  <w:pPr>
                                    <w:pStyle w:val="28"/>
                                    <w:rPr>
                                      <w:rFonts w:hint="eastAsia" w:ascii="宋体" w:hAnsi="宋体" w:cs="宋体"/>
                                      <w:sz w:val="20"/>
                                      <w:szCs w:val="20"/>
                                    </w:rPr>
                                  </w:pPr>
                                </w:p>
                                <w:p>
                                  <w:pPr>
                                    <w:pStyle w:val="28"/>
                                    <w:spacing w:before="164"/>
                                    <w:ind w:left="7"/>
                                    <w:rPr>
                                      <w:rFonts w:ascii="宋体" w:hAnsi="宋体" w:cs="宋体"/>
                                      <w:sz w:val="20"/>
                                      <w:szCs w:val="20"/>
                                    </w:rPr>
                                  </w:pPr>
                                  <w:r>
                                    <w:rPr>
                                      <w:rFonts w:hint="eastAsia" w:ascii="宋体" w:hAnsi="宋体" w:cs="宋体"/>
                                      <w:w w:val="99"/>
                                      <w:sz w:val="20"/>
                                      <w:szCs w:val="20"/>
                                    </w:rPr>
                                    <w:t>冷却塔</w:t>
                                  </w:r>
                                </w:p>
                              </w:tc>
                              <w:tc>
                                <w:tcPr>
                                  <w:tcW w:w="2966" w:type="dxa"/>
                                  <w:tcBorders>
                                    <w:top w:val="single" w:color="000000" w:sz="4" w:space="0"/>
                                    <w:left w:val="single" w:color="000000" w:sz="4" w:space="0"/>
                                    <w:bottom w:val="nil"/>
                                    <w:right w:val="single" w:color="000000" w:sz="4" w:space="0"/>
                                  </w:tcBorders>
                                  <w:noWrap w:val="0"/>
                                  <w:vAlign w:val="top"/>
                                </w:tcPr>
                                <w:p>
                                  <w:pPr>
                                    <w:pStyle w:val="28"/>
                                    <w:spacing w:before="11"/>
                                    <w:rPr>
                                      <w:rFonts w:ascii="宋体" w:hAnsi="宋体" w:cs="宋体"/>
                                      <w:sz w:val="16"/>
                                      <w:szCs w:val="16"/>
                                      <w:lang w:eastAsia="zh-CN"/>
                                    </w:rPr>
                                  </w:pPr>
                                </w:p>
                                <w:p>
                                  <w:pPr>
                                    <w:pStyle w:val="28"/>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pPr>
                                    <w:pStyle w:val="28"/>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restart"/>
                                  <w:tcBorders>
                                    <w:top w:val="nil"/>
                                    <w:left w:val="single" w:color="000000" w:sz="4" w:space="0"/>
                                    <w:bottom w:val="single" w:color="000000" w:sz="4" w:space="0"/>
                                    <w:right w:val="single" w:color="000000" w:sz="4" w:space="0"/>
                                  </w:tcBorders>
                                  <w:noWrap w:val="0"/>
                                  <w:vAlign w:val="top"/>
                                </w:tcPr>
                                <w:p>
                                  <w:pPr>
                                    <w:pStyle w:val="28"/>
                                    <w:spacing w:line="256" w:lineRule="exact"/>
                                    <w:ind w:left="7"/>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noWrap w:val="0"/>
                                  <w:vAlign w:val="top"/>
                                </w:tcPr>
                                <w:p>
                                  <w:pPr>
                                    <w:pStyle w:val="28"/>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tblPrEx>
                                <w:tblCellMar>
                                  <w:top w:w="0" w:type="dxa"/>
                                  <w:left w:w="0" w:type="dxa"/>
                                  <w:bottom w:w="0" w:type="dxa"/>
                                  <w:right w:w="0" w:type="dxa"/>
                                </w:tblCellMar>
                              </w:tblPrEx>
                              <w:trPr>
                                <w:trHeight w:val="53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pPr>
                                    <w:pStyle w:val="28"/>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tblPrEx>
                                <w:tblCellMar>
                                  <w:top w:w="0" w:type="dxa"/>
                                  <w:left w:w="0" w:type="dxa"/>
                                  <w:bottom w:w="0" w:type="dxa"/>
                                  <w:right w:w="0" w:type="dxa"/>
                                </w:tblCellMar>
                              </w:tblPrEx>
                              <w:trPr>
                                <w:trHeight w:val="74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12"/>
                                    <w:rPr>
                                      <w:rFonts w:ascii="宋体" w:hAnsi="宋体" w:cs="宋体"/>
                                      <w:sz w:val="15"/>
                                      <w:szCs w:val="15"/>
                                      <w:lang w:eastAsia="zh-CN"/>
                                    </w:rPr>
                                  </w:pPr>
                                </w:p>
                                <w:p>
                                  <w:pPr>
                                    <w:pStyle w:val="28"/>
                                    <w:ind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12"/>
                                    <w:rPr>
                                      <w:rFonts w:ascii="宋体" w:hAnsi="宋体" w:cs="宋体"/>
                                      <w:sz w:val="15"/>
                                      <w:szCs w:val="15"/>
                                    </w:rPr>
                                  </w:pPr>
                                </w:p>
                                <w:p>
                                  <w:pPr>
                                    <w:pStyle w:val="2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353"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spacing w:before="3"/>
                                    <w:rPr>
                                      <w:rFonts w:ascii="宋体" w:hAnsi="宋体" w:cs="宋体"/>
                                      <w:sz w:val="14"/>
                                      <w:szCs w:val="14"/>
                                      <w:lang w:eastAsia="zh-CN"/>
                                    </w:rPr>
                                  </w:pPr>
                                </w:p>
                                <w:p>
                                  <w:pPr>
                                    <w:pStyle w:val="28"/>
                                    <w:ind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noWrap w:val="0"/>
                                  <w:vAlign w:val="top"/>
                                </w:tcPr>
                                <w:p>
                                  <w:pPr>
                                    <w:pStyle w:val="28"/>
                                    <w:spacing w:before="3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spacing w:before="3"/>
                                    <w:rPr>
                                      <w:rFonts w:ascii="宋体" w:hAnsi="宋体" w:cs="宋体"/>
                                      <w:sz w:val="14"/>
                                      <w:szCs w:val="14"/>
                                    </w:rPr>
                                  </w:pPr>
                                </w:p>
                                <w:p>
                                  <w:pPr>
                                    <w:pStyle w:val="28"/>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pPr>
                                    <w:pStyle w:val="28"/>
                                    <w:spacing w:before="30"/>
                                    <w:ind w:left="7"/>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tblPrEx>
                                <w:tblCellMar>
                                  <w:top w:w="0" w:type="dxa"/>
                                  <w:left w:w="0" w:type="dxa"/>
                                  <w:bottom w:w="0" w:type="dxa"/>
                                  <w:right w:w="0" w:type="dxa"/>
                                </w:tblCellMar>
                              </w:tblPrEx>
                              <w:trPr>
                                <w:trHeight w:val="34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pPr>
                                    <w:pStyle w:val="28"/>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pPr>
                                    <w:pStyle w:val="28"/>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tblPrEx>
                                <w:tblCellMar>
                                  <w:top w:w="0" w:type="dxa"/>
                                  <w:left w:w="0" w:type="dxa"/>
                                  <w:bottom w:w="0" w:type="dxa"/>
                                  <w:right w:w="0" w:type="dxa"/>
                                </w:tblCellMar>
                              </w:tblPrEx>
                              <w:trPr>
                                <w:trHeight w:val="449"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spacing w:before="8"/>
                                    <w:rPr>
                                      <w:rFonts w:ascii="宋体" w:hAnsi="宋体" w:cs="宋体"/>
                                      <w:sz w:val="21"/>
                                      <w:szCs w:val="21"/>
                                    </w:rPr>
                                  </w:pPr>
                                </w:p>
                                <w:p>
                                  <w:pPr>
                                    <w:pStyle w:val="28"/>
                                    <w:ind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noWrap w:val="0"/>
                                  <w:vAlign w:val="top"/>
                                </w:tcPr>
                                <w:p>
                                  <w:pPr>
                                    <w:pStyle w:val="28"/>
                                    <w:spacing w:before="12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spacing w:before="8"/>
                                    <w:rPr>
                                      <w:rFonts w:ascii="宋体" w:hAnsi="宋体" w:cs="宋体"/>
                                      <w:sz w:val="21"/>
                                      <w:szCs w:val="21"/>
                                    </w:rPr>
                                  </w:pPr>
                                </w:p>
                                <w:p>
                                  <w:pPr>
                                    <w:pStyle w:val="28"/>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pPr>
                                    <w:pStyle w:val="28"/>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tblPrEx>
                                <w:tblCellMar>
                                  <w:top w:w="0" w:type="dxa"/>
                                  <w:left w:w="0" w:type="dxa"/>
                                  <w:bottom w:w="0" w:type="dxa"/>
                                  <w:right w:w="0" w:type="dxa"/>
                                </w:tblCellMar>
                              </w:tblPrEx>
                              <w:trPr>
                                <w:trHeight w:val="44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pPr>
                                    <w:pStyle w:val="28"/>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pPr>
                                    <w:pStyle w:val="28"/>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377"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rPr>
                                      <w:rFonts w:ascii="宋体" w:hAnsi="宋体" w:cs="宋体"/>
                                      <w:sz w:val="20"/>
                                      <w:szCs w:val="20"/>
                                      <w:lang w:eastAsia="zh-CN"/>
                                    </w:rPr>
                                  </w:pPr>
                                </w:p>
                                <w:p>
                                  <w:pPr>
                                    <w:pStyle w:val="28"/>
                                    <w:rPr>
                                      <w:rFonts w:hint="eastAsia" w:ascii="宋体" w:hAnsi="宋体" w:cs="宋体"/>
                                      <w:sz w:val="20"/>
                                      <w:szCs w:val="20"/>
                                      <w:lang w:eastAsia="zh-CN"/>
                                    </w:rPr>
                                  </w:pPr>
                                </w:p>
                                <w:p>
                                  <w:pPr>
                                    <w:pStyle w:val="28"/>
                                    <w:rPr>
                                      <w:rFonts w:hint="eastAsia" w:ascii="宋体" w:hAnsi="宋体" w:cs="宋体"/>
                                      <w:sz w:val="20"/>
                                      <w:szCs w:val="20"/>
                                      <w:lang w:eastAsia="zh-CN"/>
                                    </w:rPr>
                                  </w:pPr>
                                </w:p>
                                <w:p>
                                  <w:pPr>
                                    <w:pStyle w:val="28"/>
                                    <w:rPr>
                                      <w:rFonts w:hint="eastAsia" w:ascii="宋体" w:hAnsi="宋体" w:cs="宋体"/>
                                      <w:sz w:val="20"/>
                                      <w:szCs w:val="20"/>
                                      <w:lang w:eastAsia="zh-CN"/>
                                    </w:rPr>
                                  </w:pPr>
                                </w:p>
                                <w:p>
                                  <w:pPr>
                                    <w:pStyle w:val="28"/>
                                    <w:rPr>
                                      <w:rFonts w:hint="eastAsia" w:ascii="宋体" w:hAnsi="宋体" w:cs="宋体"/>
                                      <w:sz w:val="20"/>
                                      <w:szCs w:val="20"/>
                                      <w:lang w:eastAsia="zh-CN"/>
                                    </w:rPr>
                                  </w:pPr>
                                </w:p>
                                <w:p>
                                  <w:pPr>
                                    <w:pStyle w:val="28"/>
                                    <w:rPr>
                                      <w:rFonts w:hint="eastAsia" w:ascii="宋体" w:hAnsi="宋体" w:cs="宋体"/>
                                      <w:sz w:val="20"/>
                                      <w:szCs w:val="20"/>
                                      <w:lang w:eastAsia="zh-CN"/>
                                    </w:rPr>
                                  </w:pPr>
                                </w:p>
                                <w:p>
                                  <w:pPr>
                                    <w:pStyle w:val="28"/>
                                    <w:rPr>
                                      <w:rFonts w:hint="eastAsia" w:ascii="宋体" w:hAnsi="宋体" w:cs="宋体"/>
                                      <w:sz w:val="20"/>
                                      <w:szCs w:val="20"/>
                                      <w:lang w:eastAsia="zh-CN"/>
                                    </w:rPr>
                                  </w:pPr>
                                </w:p>
                                <w:p>
                                  <w:pPr>
                                    <w:pStyle w:val="28"/>
                                    <w:rPr>
                                      <w:rFonts w:hint="eastAsia" w:ascii="宋体" w:hAnsi="宋体" w:cs="宋体"/>
                                      <w:sz w:val="20"/>
                                      <w:szCs w:val="20"/>
                                      <w:lang w:eastAsia="zh-CN"/>
                                    </w:rPr>
                                  </w:pPr>
                                </w:p>
                                <w:p>
                                  <w:pPr>
                                    <w:pStyle w:val="28"/>
                                    <w:rPr>
                                      <w:rFonts w:hint="eastAsia" w:ascii="宋体" w:hAnsi="宋体" w:cs="宋体"/>
                                      <w:sz w:val="20"/>
                                      <w:szCs w:val="20"/>
                                      <w:lang w:eastAsia="zh-CN"/>
                                    </w:rPr>
                                  </w:pPr>
                                </w:p>
                                <w:p>
                                  <w:pPr>
                                    <w:pStyle w:val="28"/>
                                    <w:spacing w:before="5"/>
                                    <w:rPr>
                                      <w:rFonts w:hint="eastAsia" w:ascii="宋体" w:hAnsi="宋体" w:cs="宋体"/>
                                      <w:sz w:val="18"/>
                                      <w:szCs w:val="18"/>
                                      <w:lang w:eastAsia="zh-CN"/>
                                    </w:rPr>
                                  </w:pPr>
                                </w:p>
                                <w:p>
                                  <w:pPr>
                                    <w:pStyle w:val="28"/>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rPr>
                                      <w:rFonts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spacing w:before="6"/>
                                    <w:rPr>
                                      <w:rFonts w:hint="eastAsia" w:ascii="宋体" w:hAnsi="宋体" w:cs="宋体"/>
                                      <w:sz w:val="26"/>
                                      <w:szCs w:val="26"/>
                                    </w:rPr>
                                  </w:pPr>
                                </w:p>
                                <w:p>
                                  <w:pPr>
                                    <w:pStyle w:val="28"/>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pPr>
                                    <w:pStyle w:val="28"/>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spacing w:before="1"/>
                                    <w:rPr>
                                      <w:rFonts w:ascii="宋体" w:hAnsi="宋体" w:cs="宋体"/>
                                      <w:sz w:val="16"/>
                                      <w:szCs w:val="16"/>
                                    </w:rPr>
                                  </w:pPr>
                                </w:p>
                                <w:p>
                                  <w:pPr>
                                    <w:pStyle w:val="2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pPr>
                                    <w:pStyle w:val="28"/>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tblPrEx>
                                <w:tblCellMar>
                                  <w:top w:w="0" w:type="dxa"/>
                                  <w:left w:w="0" w:type="dxa"/>
                                  <w:bottom w:w="0" w:type="dxa"/>
                                  <w:right w:w="0" w:type="dxa"/>
                                </w:tblCellMar>
                              </w:tblPrEx>
                              <w:trPr>
                                <w:trHeight w:val="367"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2966" w:type="dxa"/>
                                  <w:tcBorders>
                                    <w:top w:val="nil"/>
                                    <w:left w:val="single" w:color="000000" w:sz="4" w:space="0"/>
                                    <w:bottom w:val="single" w:color="000000" w:sz="4" w:space="0"/>
                                    <w:right w:val="single" w:color="000000" w:sz="4" w:space="0"/>
                                  </w:tcBorders>
                                  <w:noWrap w:val="0"/>
                                  <w:vAlign w:val="top"/>
                                </w:tcPr>
                                <w:p>
                                  <w:pPr>
                                    <w:pStyle w:val="28"/>
                                    <w:tabs>
                                      <w:tab w:val="left" w:pos="1408"/>
                                    </w:tabs>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rPr>
                                      <w:rFonts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spacing w:before="171"/>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pPr>
                                    <w:pStyle w:val="28"/>
                                    <w:spacing w:before="50"/>
                                    <w:ind w:left="7"/>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rPr>
                                      <w:rFonts w:ascii="宋体" w:hAnsi="宋体" w:cs="宋体"/>
                                      <w:sz w:val="20"/>
                                      <w:szCs w:val="20"/>
                                    </w:rPr>
                                  </w:pPr>
                                </w:p>
                                <w:p>
                                  <w:pPr>
                                    <w:pStyle w:val="28"/>
                                    <w:rPr>
                                      <w:rFonts w:hint="eastAsia" w:ascii="宋体" w:hAnsi="宋体" w:cs="宋体"/>
                                      <w:sz w:val="20"/>
                                      <w:szCs w:val="20"/>
                                    </w:rPr>
                                  </w:pPr>
                                </w:p>
                                <w:p>
                                  <w:pPr>
                                    <w:pStyle w:val="28"/>
                                    <w:spacing w:before="12"/>
                                    <w:rPr>
                                      <w:rFonts w:hint="eastAsia" w:ascii="宋体" w:hAnsi="宋体" w:cs="宋体"/>
                                      <w:sz w:val="19"/>
                                      <w:szCs w:val="19"/>
                                    </w:rPr>
                                  </w:pPr>
                                </w:p>
                                <w:p>
                                  <w:pPr>
                                    <w:pStyle w:val="28"/>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2966" w:type="dxa"/>
                                  <w:tcBorders>
                                    <w:top w:val="single" w:color="000000" w:sz="4" w:space="0"/>
                                    <w:left w:val="single" w:color="000000" w:sz="4" w:space="0"/>
                                    <w:bottom w:val="nil"/>
                                    <w:right w:val="single" w:color="000000" w:sz="4" w:space="0"/>
                                  </w:tcBorders>
                                  <w:noWrap w:val="0"/>
                                  <w:vAlign w:val="top"/>
                                </w:tcPr>
                                <w:p>
                                  <w:pPr>
                                    <w:pStyle w:val="28"/>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pPr>
                                    <w:pStyle w:val="28"/>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pPr>
                                    <w:pStyle w:val="28"/>
                                    <w:spacing w:line="256" w:lineRule="exact"/>
                                    <w:ind w:left="7"/>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noWrap w:val="0"/>
                                  <w:vAlign w:val="top"/>
                                </w:tcPr>
                                <w:p>
                                  <w:pPr>
                                    <w:pStyle w:val="28"/>
                                    <w:spacing w:line="256" w:lineRule="exact"/>
                                    <w:ind w:left="7"/>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pPr>
                                    <w:pStyle w:val="28"/>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pPr>
                                    <w:pStyle w:val="28"/>
                                    <w:spacing w:line="256" w:lineRule="exact"/>
                                    <w:ind w:left="7"/>
                                    <w:rPr>
                                      <w:rFonts w:ascii="宋体" w:hAnsi="宋体" w:cs="宋体"/>
                                      <w:sz w:val="20"/>
                                      <w:szCs w:val="20"/>
                                    </w:rPr>
                                  </w:pPr>
                                  <w:r>
                                    <w:rPr>
                                      <w:rFonts w:hint="eastAsia" w:ascii="宋体" w:hAnsi="宋体" w:cs="宋体"/>
                                      <w:w w:val="99"/>
                                      <w:sz w:val="20"/>
                                      <w:szCs w:val="20"/>
                                    </w:rPr>
                                    <w:t>实施。</w:t>
                                  </w:r>
                                </w:p>
                              </w:tc>
                            </w:tr>
                            <w:tr>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restart"/>
                                  <w:tcBorders>
                                    <w:top w:val="single" w:color="000000" w:sz="4" w:space="0"/>
                                    <w:left w:val="single" w:color="000000" w:sz="4" w:space="0"/>
                                    <w:bottom w:val="nil"/>
                                    <w:right w:val="single" w:color="000000" w:sz="4" w:space="0"/>
                                  </w:tcBorders>
                                  <w:noWrap w:val="0"/>
                                  <w:vAlign w:val="top"/>
                                </w:tcPr>
                                <w:p>
                                  <w:pPr>
                                    <w:pStyle w:val="28"/>
                                    <w:spacing w:before="2"/>
                                    <w:rPr>
                                      <w:rFonts w:ascii="宋体" w:hAnsi="宋体" w:cs="宋体"/>
                                      <w:sz w:val="24"/>
                                      <w:szCs w:val="24"/>
                                      <w:lang w:eastAsia="zh-CN"/>
                                    </w:rPr>
                                  </w:pPr>
                                </w:p>
                                <w:p>
                                  <w:pPr>
                                    <w:pStyle w:val="28"/>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pPr>
                                    <w:pStyle w:val="28"/>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pPr>
                                    <w:pStyle w:val="28"/>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pPr>
                                    <w:pStyle w:val="28"/>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2966" w:type="dxa"/>
                                  <w:tcBorders>
                                    <w:top w:val="nil"/>
                                    <w:left w:val="single" w:color="000000" w:sz="4" w:space="0"/>
                                    <w:bottom w:val="nil"/>
                                    <w:right w:val="single" w:color="000000" w:sz="4" w:space="0"/>
                                  </w:tcBorders>
                                  <w:noWrap w:val="0"/>
                                  <w:vAlign w:val="top"/>
                                </w:tcPr>
                                <w:p>
                                  <w:pPr>
                                    <w:pStyle w:val="28"/>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pPr>
                                    <w:pStyle w:val="28"/>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tblPrEx>
                                <w:tblCellMar>
                                  <w:top w:w="0" w:type="dxa"/>
                                  <w:left w:w="0" w:type="dxa"/>
                                  <w:bottom w:w="0" w:type="dxa"/>
                                  <w:right w:w="0" w:type="dxa"/>
                                </w:tblCellMar>
                              </w:tblPrEx>
                              <w:trPr>
                                <w:trHeight w:val="65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pPr>
                              <w:rPr>
                                <w:rFonts w:ascii="Calibri" w:hAnsi="Calibri"/>
                                <w:sz w:val="22"/>
                                <w:szCs w:val="22"/>
                              </w:rPr>
                            </w:pPr>
                          </w:p>
                        </w:txbxContent>
                      </wps:txbx>
                      <wps:bodyPr lIns="0" tIns="0" rIns="0" bIns="0" upright="1"/>
                    </wps:wsp>
                  </a:graphicData>
                </a:graphic>
              </wp:anchor>
            </w:drawing>
          </mc:Choice>
          <mc:Fallback>
            <w:pict>
              <v:shape id="_x0000_s1026" o:spid="_x0000_s1026" o:spt="202" type="#_x0000_t202" style="position:absolute;left:0pt;margin-left:89.15pt;margin-top:-63.4pt;height:700.5pt;width:421.8pt;mso-position-horizontal-relative:page;z-index:251666432;mso-width-relative:page;mso-height-relative:page;" filled="f" stroked="f" coordsize="21600,21600" o:gfxdata="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82/bAAAADgEAAA8AAAAAAAAAAQAgAAAAIgAAAGRycy9kb3ducmV2&#10;LnhtbFBLAQIUABQAAAAIAIdO4kAtZ6I8wAEAAIEDAAAOAAAAAAAAAAEAIAAAACoBAABkcnMvZTJv&#10;RG9jLnhtbFBLBQYAAAAABgAGAFkBAABcBQAAAAA=&#10;">
                <v:fill on="f" focussize="0,0"/>
                <v:stroke on="f"/>
                <v:imagedata o:title=""/>
                <o:lock v:ext="edit" aspectratio="f"/>
                <v:textbox inset="0mm,0mm,0mm,0mm">
                  <w:txbxContent>
                    <w:tbl>
                      <w:tblPr>
                        <w:tblStyle w:val="21"/>
                        <w:tblW w:w="0" w:type="auto"/>
                        <w:tblInd w:w="-5" w:type="dxa"/>
                        <w:tblLayout w:type="fixed"/>
                        <w:tblCellMar>
                          <w:top w:w="0" w:type="dxa"/>
                          <w:left w:w="0" w:type="dxa"/>
                          <w:bottom w:w="0" w:type="dxa"/>
                          <w:right w:w="0" w:type="dxa"/>
                        </w:tblCellMar>
                      </w:tblPr>
                      <w:tblGrid>
                        <w:gridCol w:w="574"/>
                        <w:gridCol w:w="1166"/>
                        <w:gridCol w:w="1800"/>
                        <w:gridCol w:w="1915"/>
                        <w:gridCol w:w="2966"/>
                      </w:tblGrid>
                      <w:tr>
                        <w:tblPrEx>
                          <w:tblCellMar>
                            <w:top w:w="0" w:type="dxa"/>
                            <w:left w:w="0" w:type="dxa"/>
                            <w:bottom w:w="0" w:type="dxa"/>
                            <w:right w:w="0" w:type="dxa"/>
                          </w:tblCellMar>
                        </w:tblPrEx>
                        <w:trPr>
                          <w:trHeight w:val="416"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1915" w:type="dxa"/>
                            <w:tcBorders>
                              <w:top w:val="single" w:color="000000" w:sz="4" w:space="0"/>
                              <w:left w:val="single" w:color="000000" w:sz="4" w:space="0"/>
                              <w:bottom w:val="nil"/>
                              <w:right w:val="single" w:color="000000" w:sz="4" w:space="0"/>
                            </w:tcBorders>
                            <w:noWrap w:val="0"/>
                            <w:vAlign w:val="top"/>
                          </w:tcPr>
                          <w:p>
                            <w:pPr>
                              <w:pStyle w:val="28"/>
                              <w:spacing w:before="93"/>
                              <w:ind w:left="7"/>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2966" w:type="dxa"/>
                            <w:tcBorders>
                              <w:top w:val="single" w:color="000000" w:sz="4" w:space="0"/>
                              <w:left w:val="single" w:color="000000" w:sz="4" w:space="0"/>
                              <w:bottom w:val="nil"/>
                              <w:right w:val="single" w:color="000000" w:sz="4" w:space="0"/>
                            </w:tcBorders>
                            <w:noWrap w:val="0"/>
                            <w:vAlign w:val="top"/>
                          </w:tcPr>
                          <w:p>
                            <w:pPr>
                              <w:pStyle w:val="28"/>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tblPrEx>
                          <w:tblCellMar>
                            <w:top w:w="0" w:type="dxa"/>
                            <w:left w:w="0" w:type="dxa"/>
                            <w:bottom w:w="0" w:type="dxa"/>
                            <w:right w:w="0" w:type="dxa"/>
                          </w:tblCellMar>
                        </w:tblPrEx>
                        <w:trPr>
                          <w:trHeight w:val="40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915" w:type="dxa"/>
                            <w:tcBorders>
                              <w:top w:val="nil"/>
                              <w:left w:val="single" w:color="000000" w:sz="4" w:space="0"/>
                              <w:bottom w:val="single" w:color="000000" w:sz="4" w:space="0"/>
                              <w:right w:val="single" w:color="000000" w:sz="4" w:space="0"/>
                            </w:tcBorders>
                            <w:noWrap w:val="0"/>
                            <w:vAlign w:val="top"/>
                          </w:tcPr>
                          <w:p>
                            <w:pPr>
                              <w:pStyle w:val="28"/>
                              <w:spacing w:line="256" w:lineRule="exact"/>
                              <w:ind w:left="7"/>
                              <w:rPr>
                                <w:rFonts w:ascii="宋体" w:hAnsi="宋体" w:cs="宋体"/>
                                <w:sz w:val="20"/>
                                <w:szCs w:val="20"/>
                              </w:rPr>
                            </w:pPr>
                            <w:r>
                              <w:rPr>
                                <w:rFonts w:hint="eastAsia" w:ascii="宋体" w:hAnsi="宋体" w:cs="宋体"/>
                                <w:w w:val="99"/>
                                <w:sz w:val="20"/>
                                <w:szCs w:val="20"/>
                              </w:rPr>
                              <w:t>组</w:t>
                            </w:r>
                          </w:p>
                        </w:tc>
                        <w:tc>
                          <w:tcPr>
                            <w:tcW w:w="2966" w:type="dxa"/>
                            <w:tcBorders>
                              <w:top w:val="nil"/>
                              <w:left w:val="single" w:color="000000" w:sz="4" w:space="0"/>
                              <w:bottom w:val="single" w:color="000000" w:sz="4" w:space="0"/>
                              <w:right w:val="single" w:color="000000" w:sz="4" w:space="0"/>
                            </w:tcBorders>
                            <w:noWrap w:val="0"/>
                            <w:vAlign w:val="top"/>
                          </w:tcPr>
                          <w:p>
                            <w:pPr>
                              <w:pStyle w:val="28"/>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rPr>
                                <w:rFonts w:ascii="宋体" w:hAnsi="宋体" w:cs="宋体"/>
                                <w:sz w:val="20"/>
                                <w:szCs w:val="20"/>
                                <w:lang w:eastAsia="zh-CN"/>
                              </w:rPr>
                            </w:pPr>
                          </w:p>
                          <w:p>
                            <w:pPr>
                              <w:pStyle w:val="28"/>
                              <w:rPr>
                                <w:rFonts w:hint="eastAsia" w:ascii="宋体" w:hAnsi="宋体" w:cs="宋体"/>
                                <w:sz w:val="20"/>
                                <w:szCs w:val="20"/>
                                <w:lang w:eastAsia="zh-CN"/>
                              </w:rPr>
                            </w:pPr>
                          </w:p>
                          <w:p>
                            <w:pPr>
                              <w:pStyle w:val="28"/>
                              <w:spacing w:before="3"/>
                              <w:rPr>
                                <w:rFonts w:hint="eastAsia" w:ascii="宋体" w:hAnsi="宋体" w:cs="宋体"/>
                                <w:sz w:val="21"/>
                                <w:szCs w:val="21"/>
                                <w:lang w:eastAsia="zh-CN"/>
                              </w:rPr>
                            </w:pPr>
                          </w:p>
                          <w:p>
                            <w:pPr>
                              <w:pStyle w:val="28"/>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tblPrEx>
                          <w:tblCellMar>
                            <w:top w:w="0" w:type="dxa"/>
                            <w:left w:w="0" w:type="dxa"/>
                            <w:bottom w:w="0" w:type="dxa"/>
                            <w:right w:w="0" w:type="dxa"/>
                          </w:tblCellMar>
                        </w:tblPrEx>
                        <w:trPr>
                          <w:trHeight w:val="6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nil"/>
                              <w:right w:val="single" w:color="000000" w:sz="4" w:space="0"/>
                            </w:tcBorders>
                            <w:noWrap w:val="0"/>
                            <w:vAlign w:val="top"/>
                          </w:tcPr>
                          <w:p>
                            <w:pPr>
                              <w:pStyle w:val="28"/>
                              <w:spacing w:before="7"/>
                              <w:rPr>
                                <w:rFonts w:ascii="宋体" w:hAnsi="宋体" w:cs="宋体"/>
                                <w:sz w:val="24"/>
                                <w:szCs w:val="24"/>
                                <w:lang w:eastAsia="zh-CN"/>
                              </w:rPr>
                            </w:pPr>
                          </w:p>
                          <w:p>
                            <w:pPr>
                              <w:pStyle w:val="28"/>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pPr>
                              <w:pStyle w:val="28"/>
                              <w:spacing w:before="9"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pPr>
                              <w:pStyle w:val="28"/>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2966" w:type="dxa"/>
                            <w:tcBorders>
                              <w:top w:val="nil"/>
                              <w:left w:val="single" w:color="000000" w:sz="4" w:space="0"/>
                              <w:bottom w:val="nil"/>
                              <w:right w:val="single" w:color="000000" w:sz="4" w:space="0"/>
                            </w:tcBorders>
                            <w:noWrap w:val="0"/>
                            <w:vAlign w:val="top"/>
                          </w:tcPr>
                          <w:p>
                            <w:pPr>
                              <w:pStyle w:val="28"/>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tblPrEx>
                          <w:tblCellMar>
                            <w:top w:w="0" w:type="dxa"/>
                            <w:left w:w="0" w:type="dxa"/>
                            <w:bottom w:w="0" w:type="dxa"/>
                            <w:right w:w="0" w:type="dxa"/>
                          </w:tblCellMar>
                        </w:tblPrEx>
                        <w:trPr>
                          <w:trHeight w:val="326"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pPr>
                              <w:pStyle w:val="28"/>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tblPrEx>
                          <w:tblCellMar>
                            <w:top w:w="0" w:type="dxa"/>
                            <w:left w:w="0" w:type="dxa"/>
                            <w:bottom w:w="0" w:type="dxa"/>
                            <w:right w:w="0" w:type="dxa"/>
                          </w:tblCellMar>
                        </w:tblPrEx>
                        <w:trPr>
                          <w:trHeight w:val="40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noWrap w:val="0"/>
                            <w:vAlign w:val="top"/>
                          </w:tcPr>
                          <w:p>
                            <w:pPr>
                              <w:pStyle w:val="28"/>
                              <w:spacing w:before="83"/>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spacing w:before="1"/>
                              <w:rPr>
                                <w:rFonts w:ascii="宋体" w:hAnsi="宋体" w:cs="宋体"/>
                                <w:sz w:val="18"/>
                                <w:szCs w:val="18"/>
                              </w:rPr>
                            </w:pPr>
                          </w:p>
                          <w:p>
                            <w:pPr>
                              <w:pStyle w:val="28"/>
                              <w:ind w:left="7"/>
                              <w:rPr>
                                <w:rFonts w:ascii="宋体" w:hAnsi="宋体" w:cs="宋体"/>
                                <w:sz w:val="20"/>
                                <w:szCs w:val="20"/>
                              </w:rPr>
                            </w:pPr>
                            <w:r>
                              <w:rPr>
                                <w:rFonts w:hint="eastAsia" w:ascii="宋体" w:hAnsi="宋体" w:cs="宋体"/>
                                <w:w w:val="99"/>
                                <w:sz w:val="20"/>
                                <w:szCs w:val="20"/>
                              </w:rPr>
                              <w:t>机房空调</w:t>
                            </w:r>
                          </w:p>
                        </w:tc>
                        <w:tc>
                          <w:tcPr>
                            <w:tcW w:w="2966" w:type="dxa"/>
                            <w:tcBorders>
                              <w:top w:val="single" w:color="000000" w:sz="4" w:space="0"/>
                              <w:left w:val="single" w:color="000000" w:sz="4" w:space="0"/>
                              <w:bottom w:val="nil"/>
                              <w:right w:val="single" w:color="000000" w:sz="4" w:space="0"/>
                            </w:tcBorders>
                            <w:noWrap w:val="0"/>
                            <w:vAlign w:val="top"/>
                          </w:tcPr>
                          <w:p>
                            <w:pPr>
                              <w:pStyle w:val="28"/>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tblPrEx>
                          <w:tblCellMar>
                            <w:top w:w="0" w:type="dxa"/>
                            <w:left w:w="0" w:type="dxa"/>
                            <w:bottom w:w="0" w:type="dxa"/>
                            <w:right w:w="0" w:type="dxa"/>
                          </w:tblCellMar>
                        </w:tblPrEx>
                        <w:trPr>
                          <w:trHeight w:val="39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noWrap w:val="0"/>
                            <w:vAlign w:val="top"/>
                          </w:tcPr>
                          <w:p>
                            <w:pPr>
                              <w:pStyle w:val="28"/>
                              <w:spacing w:line="254" w:lineRule="exact"/>
                              <w:ind w:left="7"/>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single" w:color="000000" w:sz="4" w:space="0"/>
                              <w:right w:val="single" w:color="000000" w:sz="4" w:space="0"/>
                            </w:tcBorders>
                            <w:noWrap w:val="0"/>
                            <w:vAlign w:val="top"/>
                          </w:tcPr>
                          <w:p>
                            <w:pPr>
                              <w:pStyle w:val="28"/>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54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nil"/>
                              <w:right w:val="single" w:color="000000" w:sz="4" w:space="0"/>
                            </w:tcBorders>
                            <w:noWrap w:val="0"/>
                            <w:vAlign w:val="top"/>
                          </w:tcPr>
                          <w:p>
                            <w:pPr>
                              <w:pStyle w:val="28"/>
                              <w:rPr>
                                <w:rFonts w:ascii="宋体" w:hAnsi="宋体" w:cs="宋体"/>
                                <w:sz w:val="20"/>
                                <w:szCs w:val="20"/>
                                <w:lang w:eastAsia="zh-CN"/>
                              </w:rPr>
                            </w:pPr>
                          </w:p>
                          <w:p>
                            <w:pPr>
                              <w:pStyle w:val="28"/>
                              <w:spacing w:before="9"/>
                              <w:rPr>
                                <w:rFonts w:hint="eastAsia" w:ascii="宋体" w:hAnsi="宋体" w:cs="宋体"/>
                                <w:sz w:val="20"/>
                                <w:szCs w:val="20"/>
                                <w:lang w:eastAsia="zh-CN"/>
                              </w:rPr>
                            </w:pPr>
                          </w:p>
                          <w:p>
                            <w:pPr>
                              <w:pStyle w:val="2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rPr>
                                <w:rFonts w:ascii="宋体" w:hAnsi="宋体" w:cs="宋体"/>
                                <w:sz w:val="20"/>
                                <w:szCs w:val="20"/>
                              </w:rPr>
                            </w:pPr>
                          </w:p>
                          <w:p>
                            <w:pPr>
                              <w:pStyle w:val="28"/>
                              <w:rPr>
                                <w:rFonts w:hint="eastAsia" w:ascii="宋体" w:hAnsi="宋体" w:cs="宋体"/>
                                <w:sz w:val="20"/>
                                <w:szCs w:val="20"/>
                              </w:rPr>
                            </w:pPr>
                          </w:p>
                          <w:p>
                            <w:pPr>
                              <w:pStyle w:val="28"/>
                              <w:spacing w:before="164"/>
                              <w:ind w:left="7"/>
                              <w:rPr>
                                <w:rFonts w:ascii="宋体" w:hAnsi="宋体" w:cs="宋体"/>
                                <w:sz w:val="20"/>
                                <w:szCs w:val="20"/>
                              </w:rPr>
                            </w:pPr>
                            <w:r>
                              <w:rPr>
                                <w:rFonts w:hint="eastAsia" w:ascii="宋体" w:hAnsi="宋体" w:cs="宋体"/>
                                <w:w w:val="99"/>
                                <w:sz w:val="20"/>
                                <w:szCs w:val="20"/>
                              </w:rPr>
                              <w:t>冷却塔</w:t>
                            </w:r>
                          </w:p>
                        </w:tc>
                        <w:tc>
                          <w:tcPr>
                            <w:tcW w:w="2966" w:type="dxa"/>
                            <w:tcBorders>
                              <w:top w:val="single" w:color="000000" w:sz="4" w:space="0"/>
                              <w:left w:val="single" w:color="000000" w:sz="4" w:space="0"/>
                              <w:bottom w:val="nil"/>
                              <w:right w:val="single" w:color="000000" w:sz="4" w:space="0"/>
                            </w:tcBorders>
                            <w:noWrap w:val="0"/>
                            <w:vAlign w:val="top"/>
                          </w:tcPr>
                          <w:p>
                            <w:pPr>
                              <w:pStyle w:val="28"/>
                              <w:spacing w:before="11"/>
                              <w:rPr>
                                <w:rFonts w:ascii="宋体" w:hAnsi="宋体" w:cs="宋体"/>
                                <w:sz w:val="16"/>
                                <w:szCs w:val="16"/>
                                <w:lang w:eastAsia="zh-CN"/>
                              </w:rPr>
                            </w:pPr>
                          </w:p>
                          <w:p>
                            <w:pPr>
                              <w:pStyle w:val="28"/>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pPr>
                              <w:pStyle w:val="28"/>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restart"/>
                            <w:tcBorders>
                              <w:top w:val="nil"/>
                              <w:left w:val="single" w:color="000000" w:sz="4" w:space="0"/>
                              <w:bottom w:val="single" w:color="000000" w:sz="4" w:space="0"/>
                              <w:right w:val="single" w:color="000000" w:sz="4" w:space="0"/>
                            </w:tcBorders>
                            <w:noWrap w:val="0"/>
                            <w:vAlign w:val="top"/>
                          </w:tcPr>
                          <w:p>
                            <w:pPr>
                              <w:pStyle w:val="28"/>
                              <w:spacing w:line="256" w:lineRule="exact"/>
                              <w:ind w:left="7"/>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noWrap w:val="0"/>
                            <w:vAlign w:val="top"/>
                          </w:tcPr>
                          <w:p>
                            <w:pPr>
                              <w:pStyle w:val="28"/>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tblPrEx>
                          <w:tblCellMar>
                            <w:top w:w="0" w:type="dxa"/>
                            <w:left w:w="0" w:type="dxa"/>
                            <w:bottom w:w="0" w:type="dxa"/>
                            <w:right w:w="0" w:type="dxa"/>
                          </w:tblCellMar>
                        </w:tblPrEx>
                        <w:trPr>
                          <w:trHeight w:val="53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pPr>
                              <w:pStyle w:val="28"/>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tblPrEx>
                          <w:tblCellMar>
                            <w:top w:w="0" w:type="dxa"/>
                            <w:left w:w="0" w:type="dxa"/>
                            <w:bottom w:w="0" w:type="dxa"/>
                            <w:right w:w="0" w:type="dxa"/>
                          </w:tblCellMar>
                        </w:tblPrEx>
                        <w:trPr>
                          <w:trHeight w:val="74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12"/>
                              <w:rPr>
                                <w:rFonts w:ascii="宋体" w:hAnsi="宋体" w:cs="宋体"/>
                                <w:sz w:val="15"/>
                                <w:szCs w:val="15"/>
                                <w:lang w:eastAsia="zh-CN"/>
                              </w:rPr>
                            </w:pPr>
                          </w:p>
                          <w:p>
                            <w:pPr>
                              <w:pStyle w:val="28"/>
                              <w:ind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12"/>
                              <w:rPr>
                                <w:rFonts w:ascii="宋体" w:hAnsi="宋体" w:cs="宋体"/>
                                <w:sz w:val="15"/>
                                <w:szCs w:val="15"/>
                              </w:rPr>
                            </w:pPr>
                          </w:p>
                          <w:p>
                            <w:pPr>
                              <w:pStyle w:val="2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353"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spacing w:before="3"/>
                              <w:rPr>
                                <w:rFonts w:ascii="宋体" w:hAnsi="宋体" w:cs="宋体"/>
                                <w:sz w:val="14"/>
                                <w:szCs w:val="14"/>
                                <w:lang w:eastAsia="zh-CN"/>
                              </w:rPr>
                            </w:pPr>
                          </w:p>
                          <w:p>
                            <w:pPr>
                              <w:pStyle w:val="28"/>
                              <w:ind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noWrap w:val="0"/>
                            <w:vAlign w:val="top"/>
                          </w:tcPr>
                          <w:p>
                            <w:pPr>
                              <w:pStyle w:val="28"/>
                              <w:spacing w:before="3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spacing w:before="3"/>
                              <w:rPr>
                                <w:rFonts w:ascii="宋体" w:hAnsi="宋体" w:cs="宋体"/>
                                <w:sz w:val="14"/>
                                <w:szCs w:val="14"/>
                              </w:rPr>
                            </w:pPr>
                          </w:p>
                          <w:p>
                            <w:pPr>
                              <w:pStyle w:val="28"/>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pPr>
                              <w:pStyle w:val="28"/>
                              <w:spacing w:before="30"/>
                              <w:ind w:left="7"/>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tblPrEx>
                          <w:tblCellMar>
                            <w:top w:w="0" w:type="dxa"/>
                            <w:left w:w="0" w:type="dxa"/>
                            <w:bottom w:w="0" w:type="dxa"/>
                            <w:right w:w="0" w:type="dxa"/>
                          </w:tblCellMar>
                        </w:tblPrEx>
                        <w:trPr>
                          <w:trHeight w:val="34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pPr>
                              <w:pStyle w:val="28"/>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pPr>
                              <w:pStyle w:val="28"/>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tblPrEx>
                          <w:tblCellMar>
                            <w:top w:w="0" w:type="dxa"/>
                            <w:left w:w="0" w:type="dxa"/>
                            <w:bottom w:w="0" w:type="dxa"/>
                            <w:right w:w="0" w:type="dxa"/>
                          </w:tblCellMar>
                        </w:tblPrEx>
                        <w:trPr>
                          <w:trHeight w:val="449"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spacing w:before="8"/>
                              <w:rPr>
                                <w:rFonts w:ascii="宋体" w:hAnsi="宋体" w:cs="宋体"/>
                                <w:sz w:val="21"/>
                                <w:szCs w:val="21"/>
                              </w:rPr>
                            </w:pPr>
                          </w:p>
                          <w:p>
                            <w:pPr>
                              <w:pStyle w:val="28"/>
                              <w:ind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noWrap w:val="0"/>
                            <w:vAlign w:val="top"/>
                          </w:tcPr>
                          <w:p>
                            <w:pPr>
                              <w:pStyle w:val="28"/>
                              <w:spacing w:before="12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spacing w:before="8"/>
                              <w:rPr>
                                <w:rFonts w:ascii="宋体" w:hAnsi="宋体" w:cs="宋体"/>
                                <w:sz w:val="21"/>
                                <w:szCs w:val="21"/>
                              </w:rPr>
                            </w:pPr>
                          </w:p>
                          <w:p>
                            <w:pPr>
                              <w:pStyle w:val="28"/>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pPr>
                              <w:pStyle w:val="28"/>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tblPrEx>
                          <w:tblCellMar>
                            <w:top w:w="0" w:type="dxa"/>
                            <w:left w:w="0" w:type="dxa"/>
                            <w:bottom w:w="0" w:type="dxa"/>
                            <w:right w:w="0" w:type="dxa"/>
                          </w:tblCellMar>
                        </w:tblPrEx>
                        <w:trPr>
                          <w:trHeight w:val="44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pPr>
                              <w:pStyle w:val="28"/>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pPr>
                              <w:pStyle w:val="28"/>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377"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rPr>
                                <w:rFonts w:ascii="宋体" w:hAnsi="宋体" w:cs="宋体"/>
                                <w:sz w:val="20"/>
                                <w:szCs w:val="20"/>
                                <w:lang w:eastAsia="zh-CN"/>
                              </w:rPr>
                            </w:pPr>
                          </w:p>
                          <w:p>
                            <w:pPr>
                              <w:pStyle w:val="28"/>
                              <w:rPr>
                                <w:rFonts w:hint="eastAsia" w:ascii="宋体" w:hAnsi="宋体" w:cs="宋体"/>
                                <w:sz w:val="20"/>
                                <w:szCs w:val="20"/>
                                <w:lang w:eastAsia="zh-CN"/>
                              </w:rPr>
                            </w:pPr>
                          </w:p>
                          <w:p>
                            <w:pPr>
                              <w:pStyle w:val="28"/>
                              <w:rPr>
                                <w:rFonts w:hint="eastAsia" w:ascii="宋体" w:hAnsi="宋体" w:cs="宋体"/>
                                <w:sz w:val="20"/>
                                <w:szCs w:val="20"/>
                                <w:lang w:eastAsia="zh-CN"/>
                              </w:rPr>
                            </w:pPr>
                          </w:p>
                          <w:p>
                            <w:pPr>
                              <w:pStyle w:val="28"/>
                              <w:rPr>
                                <w:rFonts w:hint="eastAsia" w:ascii="宋体" w:hAnsi="宋体" w:cs="宋体"/>
                                <w:sz w:val="20"/>
                                <w:szCs w:val="20"/>
                                <w:lang w:eastAsia="zh-CN"/>
                              </w:rPr>
                            </w:pPr>
                          </w:p>
                          <w:p>
                            <w:pPr>
                              <w:pStyle w:val="28"/>
                              <w:rPr>
                                <w:rFonts w:hint="eastAsia" w:ascii="宋体" w:hAnsi="宋体" w:cs="宋体"/>
                                <w:sz w:val="20"/>
                                <w:szCs w:val="20"/>
                                <w:lang w:eastAsia="zh-CN"/>
                              </w:rPr>
                            </w:pPr>
                          </w:p>
                          <w:p>
                            <w:pPr>
                              <w:pStyle w:val="28"/>
                              <w:rPr>
                                <w:rFonts w:hint="eastAsia" w:ascii="宋体" w:hAnsi="宋体" w:cs="宋体"/>
                                <w:sz w:val="20"/>
                                <w:szCs w:val="20"/>
                                <w:lang w:eastAsia="zh-CN"/>
                              </w:rPr>
                            </w:pPr>
                          </w:p>
                          <w:p>
                            <w:pPr>
                              <w:pStyle w:val="28"/>
                              <w:rPr>
                                <w:rFonts w:hint="eastAsia" w:ascii="宋体" w:hAnsi="宋体" w:cs="宋体"/>
                                <w:sz w:val="20"/>
                                <w:szCs w:val="20"/>
                                <w:lang w:eastAsia="zh-CN"/>
                              </w:rPr>
                            </w:pPr>
                          </w:p>
                          <w:p>
                            <w:pPr>
                              <w:pStyle w:val="28"/>
                              <w:rPr>
                                <w:rFonts w:hint="eastAsia" w:ascii="宋体" w:hAnsi="宋体" w:cs="宋体"/>
                                <w:sz w:val="20"/>
                                <w:szCs w:val="20"/>
                                <w:lang w:eastAsia="zh-CN"/>
                              </w:rPr>
                            </w:pPr>
                          </w:p>
                          <w:p>
                            <w:pPr>
                              <w:pStyle w:val="28"/>
                              <w:rPr>
                                <w:rFonts w:hint="eastAsia" w:ascii="宋体" w:hAnsi="宋体" w:cs="宋体"/>
                                <w:sz w:val="20"/>
                                <w:szCs w:val="20"/>
                                <w:lang w:eastAsia="zh-CN"/>
                              </w:rPr>
                            </w:pPr>
                          </w:p>
                          <w:p>
                            <w:pPr>
                              <w:pStyle w:val="28"/>
                              <w:spacing w:before="5"/>
                              <w:rPr>
                                <w:rFonts w:hint="eastAsia" w:ascii="宋体" w:hAnsi="宋体" w:cs="宋体"/>
                                <w:sz w:val="18"/>
                                <w:szCs w:val="18"/>
                                <w:lang w:eastAsia="zh-CN"/>
                              </w:rPr>
                            </w:pPr>
                          </w:p>
                          <w:p>
                            <w:pPr>
                              <w:pStyle w:val="28"/>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rPr>
                                <w:rFonts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spacing w:before="6"/>
                              <w:rPr>
                                <w:rFonts w:hint="eastAsia" w:ascii="宋体" w:hAnsi="宋体" w:cs="宋体"/>
                                <w:sz w:val="26"/>
                                <w:szCs w:val="26"/>
                              </w:rPr>
                            </w:pPr>
                          </w:p>
                          <w:p>
                            <w:pPr>
                              <w:pStyle w:val="28"/>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pPr>
                              <w:pStyle w:val="28"/>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spacing w:before="1"/>
                              <w:rPr>
                                <w:rFonts w:ascii="宋体" w:hAnsi="宋体" w:cs="宋体"/>
                                <w:sz w:val="16"/>
                                <w:szCs w:val="16"/>
                              </w:rPr>
                            </w:pPr>
                          </w:p>
                          <w:p>
                            <w:pPr>
                              <w:pStyle w:val="2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pPr>
                              <w:pStyle w:val="28"/>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tblPrEx>
                          <w:tblCellMar>
                            <w:top w:w="0" w:type="dxa"/>
                            <w:left w:w="0" w:type="dxa"/>
                            <w:bottom w:w="0" w:type="dxa"/>
                            <w:right w:w="0" w:type="dxa"/>
                          </w:tblCellMar>
                        </w:tblPrEx>
                        <w:trPr>
                          <w:trHeight w:val="367"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2966" w:type="dxa"/>
                            <w:tcBorders>
                              <w:top w:val="nil"/>
                              <w:left w:val="single" w:color="000000" w:sz="4" w:space="0"/>
                              <w:bottom w:val="single" w:color="000000" w:sz="4" w:space="0"/>
                              <w:right w:val="single" w:color="000000" w:sz="4" w:space="0"/>
                            </w:tcBorders>
                            <w:noWrap w:val="0"/>
                            <w:vAlign w:val="top"/>
                          </w:tcPr>
                          <w:p>
                            <w:pPr>
                              <w:pStyle w:val="28"/>
                              <w:tabs>
                                <w:tab w:val="left" w:pos="1408"/>
                              </w:tabs>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rPr>
                                <w:rFonts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spacing w:before="171"/>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pPr>
                              <w:pStyle w:val="28"/>
                              <w:spacing w:before="50"/>
                              <w:ind w:left="7"/>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rPr>
                                <w:rFonts w:ascii="宋体" w:hAnsi="宋体" w:cs="宋体"/>
                                <w:sz w:val="20"/>
                                <w:szCs w:val="20"/>
                              </w:rPr>
                            </w:pPr>
                          </w:p>
                          <w:p>
                            <w:pPr>
                              <w:pStyle w:val="28"/>
                              <w:rPr>
                                <w:rFonts w:hint="eastAsia" w:ascii="宋体" w:hAnsi="宋体" w:cs="宋体"/>
                                <w:sz w:val="20"/>
                                <w:szCs w:val="20"/>
                              </w:rPr>
                            </w:pPr>
                          </w:p>
                          <w:p>
                            <w:pPr>
                              <w:pStyle w:val="28"/>
                              <w:spacing w:before="12"/>
                              <w:rPr>
                                <w:rFonts w:hint="eastAsia" w:ascii="宋体" w:hAnsi="宋体" w:cs="宋体"/>
                                <w:sz w:val="19"/>
                                <w:szCs w:val="19"/>
                              </w:rPr>
                            </w:pPr>
                          </w:p>
                          <w:p>
                            <w:pPr>
                              <w:pStyle w:val="28"/>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2966" w:type="dxa"/>
                            <w:tcBorders>
                              <w:top w:val="single" w:color="000000" w:sz="4" w:space="0"/>
                              <w:left w:val="single" w:color="000000" w:sz="4" w:space="0"/>
                              <w:bottom w:val="nil"/>
                              <w:right w:val="single" w:color="000000" w:sz="4" w:space="0"/>
                            </w:tcBorders>
                            <w:noWrap w:val="0"/>
                            <w:vAlign w:val="top"/>
                          </w:tcPr>
                          <w:p>
                            <w:pPr>
                              <w:pStyle w:val="28"/>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pPr>
                              <w:pStyle w:val="28"/>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pPr>
                              <w:pStyle w:val="28"/>
                              <w:spacing w:line="256" w:lineRule="exact"/>
                              <w:ind w:left="7"/>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noWrap w:val="0"/>
                            <w:vAlign w:val="top"/>
                          </w:tcPr>
                          <w:p>
                            <w:pPr>
                              <w:pStyle w:val="28"/>
                              <w:spacing w:line="256" w:lineRule="exact"/>
                              <w:ind w:left="7"/>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pPr>
                              <w:pStyle w:val="28"/>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pPr>
                              <w:pStyle w:val="28"/>
                              <w:spacing w:line="256" w:lineRule="exact"/>
                              <w:ind w:left="7"/>
                              <w:rPr>
                                <w:rFonts w:ascii="宋体" w:hAnsi="宋体" w:cs="宋体"/>
                                <w:sz w:val="20"/>
                                <w:szCs w:val="20"/>
                              </w:rPr>
                            </w:pPr>
                            <w:r>
                              <w:rPr>
                                <w:rFonts w:hint="eastAsia" w:ascii="宋体" w:hAnsi="宋体" w:cs="宋体"/>
                                <w:w w:val="99"/>
                                <w:sz w:val="20"/>
                                <w:szCs w:val="20"/>
                              </w:rPr>
                              <w:t>实施。</w:t>
                            </w:r>
                          </w:p>
                        </w:tc>
                      </w:tr>
                      <w:tr>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restart"/>
                            <w:tcBorders>
                              <w:top w:val="single" w:color="000000" w:sz="4" w:space="0"/>
                              <w:left w:val="single" w:color="000000" w:sz="4" w:space="0"/>
                              <w:bottom w:val="nil"/>
                              <w:right w:val="single" w:color="000000" w:sz="4" w:space="0"/>
                            </w:tcBorders>
                            <w:noWrap w:val="0"/>
                            <w:vAlign w:val="top"/>
                          </w:tcPr>
                          <w:p>
                            <w:pPr>
                              <w:pStyle w:val="28"/>
                              <w:spacing w:before="2"/>
                              <w:rPr>
                                <w:rFonts w:ascii="宋体" w:hAnsi="宋体" w:cs="宋体"/>
                                <w:sz w:val="24"/>
                                <w:szCs w:val="24"/>
                                <w:lang w:eastAsia="zh-CN"/>
                              </w:rPr>
                            </w:pPr>
                          </w:p>
                          <w:p>
                            <w:pPr>
                              <w:pStyle w:val="28"/>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pPr>
                              <w:pStyle w:val="28"/>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pPr>
                              <w:pStyle w:val="28"/>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pPr>
                              <w:pStyle w:val="28"/>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2966" w:type="dxa"/>
                            <w:tcBorders>
                              <w:top w:val="nil"/>
                              <w:left w:val="single" w:color="000000" w:sz="4" w:space="0"/>
                              <w:bottom w:val="nil"/>
                              <w:right w:val="single" w:color="000000" w:sz="4" w:space="0"/>
                            </w:tcBorders>
                            <w:noWrap w:val="0"/>
                            <w:vAlign w:val="top"/>
                          </w:tcPr>
                          <w:p>
                            <w:pPr>
                              <w:pStyle w:val="28"/>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pPr>
                              <w:pStyle w:val="28"/>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tblPrEx>
                          <w:tblCellMar>
                            <w:top w:w="0" w:type="dxa"/>
                            <w:left w:w="0" w:type="dxa"/>
                            <w:bottom w:w="0" w:type="dxa"/>
                            <w:right w:w="0" w:type="dxa"/>
                          </w:tblCellMar>
                        </w:tblPrEx>
                        <w:trPr>
                          <w:trHeight w:val="65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pPr>
                        <w:rPr>
                          <w:rFonts w:ascii="Calibri" w:hAnsi="Calibri"/>
                          <w:sz w:val="22"/>
                          <w:szCs w:val="22"/>
                        </w:rPr>
                      </w:pPr>
                    </w:p>
                  </w:txbxContent>
                </v:textbox>
              </v:shape>
            </w:pict>
          </mc:Fallback>
        </mc:AlternateContent>
      </w:r>
      <w:r>
        <w:rPr>
          <w:rFonts w:hint="eastAsia" w:ascii="宋体" w:hAnsi="宋体" w:cs="宋体"/>
          <w:w w:val="99"/>
          <w:sz w:val="20"/>
          <w:szCs w:val="20"/>
        </w:rPr>
        <w:t>）</w:t>
      </w: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spacing w:before="1"/>
        <w:rPr>
          <w:rFonts w:hint="eastAsia" w:ascii="宋体" w:hAnsi="宋体" w:cs="宋体"/>
          <w:sz w:val="14"/>
          <w:szCs w:val="14"/>
        </w:rPr>
      </w:pPr>
    </w:p>
    <w:p>
      <w:pPr>
        <w:spacing w:before="37"/>
        <w:ind w:right="104"/>
        <w:jc w:val="right"/>
        <w:rPr>
          <w:rFonts w:hint="eastAsia" w:ascii="宋体" w:hAnsi="宋体" w:cs="宋体"/>
          <w:sz w:val="20"/>
          <w:szCs w:val="20"/>
        </w:rPr>
      </w:pPr>
      <w:r>
        <w:rPr>
          <w:rFonts w:hint="eastAsia" w:ascii="宋体" w:hAnsi="宋体" w:cs="宋体"/>
          <w:w w:val="99"/>
          <w:sz w:val="20"/>
          <w:szCs w:val="20"/>
        </w:rPr>
        <w:t>；</w:t>
      </w:r>
    </w:p>
    <w:p>
      <w:pPr>
        <w:spacing w:before="11"/>
        <w:rPr>
          <w:rFonts w:hint="eastAsia" w:ascii="宋体" w:hAnsi="宋体" w:cs="宋体"/>
          <w:sz w:val="24"/>
        </w:rPr>
      </w:pPr>
    </w:p>
    <w:p>
      <w:pPr>
        <w:spacing w:before="37"/>
        <w:ind w:right="145"/>
        <w:jc w:val="right"/>
        <w:rPr>
          <w:rFonts w:hint="eastAsia" w:ascii="宋体" w:hAnsi="宋体" w:cs="宋体"/>
          <w:sz w:val="20"/>
          <w:szCs w:val="20"/>
        </w:rPr>
      </w:pPr>
      <w:r>
        <w:rPr>
          <w:rFonts w:hint="eastAsia" w:ascii="宋体" w:hAnsi="宋体" w:cs="宋体"/>
          <w:w w:val="99"/>
          <w:sz w:val="20"/>
          <w:szCs w:val="20"/>
        </w:rPr>
        <w:t>）</w:t>
      </w: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spacing w:before="6"/>
        <w:rPr>
          <w:rFonts w:hint="eastAsia" w:ascii="宋体" w:hAnsi="宋体" w:cs="宋体"/>
          <w:sz w:val="29"/>
          <w:szCs w:val="29"/>
        </w:rPr>
      </w:pPr>
    </w:p>
    <w:p>
      <w:pPr>
        <w:spacing w:before="37"/>
        <w:ind w:right="102"/>
        <w:jc w:val="right"/>
        <w:rPr>
          <w:rFonts w:hint="eastAsia" w:ascii="宋体" w:hAnsi="宋体" w:cs="宋体"/>
          <w:sz w:val="20"/>
          <w:szCs w:val="20"/>
        </w:rPr>
      </w:pPr>
      <w:r>
        <w:rPr>
          <w:rFonts w:hint="eastAsia" w:ascii="宋体" w:hAnsi="宋体" w:cs="宋体"/>
          <w:w w:val="99"/>
          <w:sz w:val="20"/>
          <w:szCs w:val="20"/>
        </w:rPr>
        <w:t>）</w:t>
      </w:r>
    </w:p>
    <w:p>
      <w:pPr>
        <w:rPr>
          <w:rFonts w:hint="eastAsia" w:ascii="宋体" w:hAnsi="宋体" w:cs="宋体"/>
          <w:sz w:val="20"/>
          <w:szCs w:val="20"/>
        </w:rPr>
      </w:pPr>
    </w:p>
    <w:p>
      <w:pPr>
        <w:rPr>
          <w:rFonts w:hint="eastAsia" w:ascii="宋体" w:hAnsi="宋体" w:cs="宋体"/>
          <w:sz w:val="20"/>
          <w:szCs w:val="20"/>
        </w:rPr>
      </w:pPr>
    </w:p>
    <w:p>
      <w:pPr>
        <w:spacing w:before="3"/>
        <w:rPr>
          <w:rFonts w:hint="eastAsia" w:ascii="宋体" w:hAnsi="宋体" w:cs="宋体"/>
          <w:sz w:val="22"/>
          <w:szCs w:val="22"/>
        </w:rPr>
      </w:pPr>
    </w:p>
    <w:p>
      <w:pPr>
        <w:spacing w:before="37"/>
        <w:ind w:right="102"/>
        <w:jc w:val="right"/>
        <w:rPr>
          <w:rFonts w:hint="eastAsia" w:ascii="宋体" w:hAnsi="宋体" w:cs="宋体"/>
          <w:sz w:val="20"/>
          <w:szCs w:val="20"/>
        </w:rPr>
      </w:pPr>
      <w:r>
        <w:rPr>
          <w:rFonts w:hint="eastAsia" w:ascii="宋体" w:hAnsi="宋体" w:cs="宋体"/>
          <w:w w:val="99"/>
          <w:sz w:val="20"/>
          <w:szCs w:val="20"/>
        </w:rPr>
        <w:t>）</w:t>
      </w:r>
    </w:p>
    <w:p>
      <w:pPr>
        <w:widowControl/>
        <w:jc w:val="left"/>
        <w:rPr>
          <w:rFonts w:ascii="宋体" w:hAnsi="宋体" w:cs="宋体"/>
          <w:sz w:val="20"/>
          <w:szCs w:val="20"/>
        </w:rPr>
        <w:sectPr>
          <w:pgSz w:w="11910" w:h="16840"/>
          <w:pgMar w:top="1340" w:right="1500" w:bottom="280" w:left="1680" w:header="720" w:footer="720" w:gutter="0"/>
          <w:pgNumType w:fmt="decimal"/>
          <w:cols w:space="720" w:num="1"/>
        </w:sectPr>
      </w:pPr>
    </w:p>
    <w:p>
      <w:pPr>
        <w:rPr>
          <w:rFonts w:hint="eastAsia" w:ascii="宋体" w:hAnsi="宋体" w:cs="宋体"/>
          <w:sz w:val="20"/>
          <w:szCs w:val="20"/>
        </w:rPr>
      </w:pPr>
      <w:r>
        <w:rPr>
          <w:rFonts w:hint="eastAsia"/>
        </w:rPr>
        <mc:AlternateContent>
          <mc:Choice Requires="wps">
            <w:drawing>
              <wp:anchor distT="0" distB="0" distL="114300" distR="114300" simplePos="0" relativeHeight="251667456" behindDoc="0" locked="0" layoutInCell="1" allowOverlap="1">
                <wp:simplePos x="0" y="0"/>
                <wp:positionH relativeFrom="page">
                  <wp:posOffset>1250950</wp:posOffset>
                </wp:positionH>
                <wp:positionV relativeFrom="paragraph">
                  <wp:posOffset>194945</wp:posOffset>
                </wp:positionV>
                <wp:extent cx="5356860" cy="929957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56860" cy="9299575"/>
                        </a:xfrm>
                        <a:prstGeom prst="rect">
                          <a:avLst/>
                        </a:prstGeom>
                        <a:noFill/>
                        <a:ln>
                          <a:noFill/>
                        </a:ln>
                        <a:effectLst/>
                      </wps:spPr>
                      <wps:txbx>
                        <w:txbxContent>
                          <w:tbl>
                            <w:tblPr>
                              <w:tblStyle w:val="2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pPr>
                                    <w:rPr>
                                      <w:rFonts w:ascii="Calibri" w:hAnsi="Calibri"/>
                                      <w:sz w:val="22"/>
                                      <w:szCs w:val="22"/>
                                    </w:rPr>
                                  </w:pP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pPr>
                                    <w:rPr>
                                      <w:rFonts w:ascii="Calibri" w:hAnsi="Calibri"/>
                                      <w:sz w:val="22"/>
                                      <w:szCs w:val="22"/>
                                    </w:rPr>
                                  </w:pPr>
                                </w:p>
                              </w:tc>
                              <w:tc>
                                <w:tcPr>
                                  <w:tcW w:w="1800" w:type="dxa"/>
                                  <w:vMerge w:val="restart"/>
                                  <w:tcBorders>
                                    <w:top w:val="single" w:color="auto" w:sz="4" w:space="0"/>
                                    <w:left w:val="single" w:color="auto" w:sz="4" w:space="0"/>
                                    <w:bottom w:val="single" w:color="auto" w:sz="4" w:space="0"/>
                                    <w:right w:val="single" w:color="auto" w:sz="4" w:space="0"/>
                                  </w:tcBorders>
                                  <w:noWrap w:val="0"/>
                                  <w:vAlign w:val="top"/>
                                </w:tcPr>
                                <w:p>
                                  <w:pPr>
                                    <w:pStyle w:val="28"/>
                                    <w:rPr>
                                      <w:rFonts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spacing w:before="1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915" w:type="dxa"/>
                                  <w:tcBorders>
                                    <w:top w:val="single" w:color="auto" w:sz="4" w:space="0"/>
                                    <w:left w:val="single" w:color="auto" w:sz="4" w:space="0"/>
                                    <w:bottom w:val="single" w:color="auto" w:sz="4" w:space="0"/>
                                    <w:right w:val="single" w:color="auto" w:sz="4" w:space="0"/>
                                  </w:tcBorders>
                                  <w:noWrap w:val="0"/>
                                  <w:vAlign w:val="top"/>
                                </w:tcPr>
                                <w:p>
                                  <w:pPr>
                                    <w:pStyle w:val="28"/>
                                    <w:spacing w:before="12"/>
                                    <w:rPr>
                                      <w:rFonts w:ascii="宋体" w:hAnsi="宋体" w:cs="宋体"/>
                                      <w:sz w:val="15"/>
                                      <w:szCs w:val="15"/>
                                    </w:rPr>
                                  </w:pPr>
                                </w:p>
                                <w:p>
                                  <w:pPr>
                                    <w:pStyle w:val="28"/>
                                    <w:ind w:left="7"/>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28"/>
                                    <w:tabs>
                                      <w:tab w:val="left" w:pos="1608"/>
                                    </w:tabs>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z w:val="20"/>
                                      <w:szCs w:val="20"/>
                                      <w:lang w:eastAsia="zh-CN"/>
                                    </w:rPr>
                                    <w:tab/>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Times New Roman"/>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kern w:val="0"/>
                                      <w:sz w:val="20"/>
                                      <w:szCs w:val="20"/>
                                    </w:rPr>
                                  </w:pPr>
                                </w:p>
                              </w:tc>
                              <w:tc>
                                <w:tcPr>
                                  <w:tcW w:w="1915" w:type="dxa"/>
                                  <w:tcBorders>
                                    <w:top w:val="single" w:color="auto" w:sz="4" w:space="0"/>
                                    <w:left w:val="single" w:color="auto" w:sz="4" w:space="0"/>
                                    <w:bottom w:val="single" w:color="auto" w:sz="4" w:space="0"/>
                                    <w:right w:val="single" w:color="auto" w:sz="4" w:space="0"/>
                                  </w:tcBorders>
                                  <w:noWrap w:val="0"/>
                                  <w:vAlign w:val="top"/>
                                </w:tcPr>
                                <w:p>
                                  <w:pPr>
                                    <w:pStyle w:val="28"/>
                                    <w:spacing w:before="2"/>
                                    <w:rPr>
                                      <w:rFonts w:ascii="宋体" w:hAnsi="宋体" w:cs="宋体"/>
                                      <w:sz w:val="24"/>
                                      <w:szCs w:val="24"/>
                                      <w:lang w:eastAsia="zh-CN"/>
                                    </w:rPr>
                                  </w:pPr>
                                </w:p>
                                <w:p>
                                  <w:pPr>
                                    <w:pStyle w:val="28"/>
                                    <w:ind w:left="7"/>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28"/>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pPr>
                                    <w:pStyle w:val="28"/>
                                    <w:spacing w:before="1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06</w:t>
                                  </w:r>
                                  <w:r>
                                    <w:rPr>
                                      <w:rFonts w:hint="eastAsia" w:ascii="宋体" w:hAnsi="宋体" w:cs="宋体"/>
                                      <w:spacing w:val="1"/>
                                      <w:w w:val="99"/>
                                      <w:sz w:val="20"/>
                                      <w:szCs w:val="20"/>
                                    </w:rPr>
                                    <w:t>65</w:t>
                                  </w:r>
                                  <w:r>
                                    <w:rPr>
                                      <w:rFonts w:hint="eastAsia" w:ascii="宋体" w:hAnsi="宋体" w:cs="宋体"/>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Times New Roman"/>
                                      <w:sz w:val="22"/>
                                      <w:szCs w:val="22"/>
                                      <w:lang w:eastAsia="en-US"/>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Times New Roman"/>
                                      <w:sz w:val="22"/>
                                      <w:szCs w:val="22"/>
                                      <w:lang w:eastAsia="en-US"/>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kern w:val="0"/>
                                      <w:sz w:val="20"/>
                                      <w:szCs w:val="20"/>
                                      <w:lang w:eastAsia="en-US"/>
                                    </w:rPr>
                                  </w:pPr>
                                </w:p>
                              </w:tc>
                              <w:tc>
                                <w:tcPr>
                                  <w:tcW w:w="1915" w:type="dxa"/>
                                  <w:tcBorders>
                                    <w:top w:val="single" w:color="auto" w:sz="4" w:space="0"/>
                                    <w:left w:val="single" w:color="auto" w:sz="4" w:space="0"/>
                                    <w:bottom w:val="single" w:color="auto" w:sz="4" w:space="0"/>
                                    <w:right w:val="single" w:color="auto" w:sz="4" w:space="0"/>
                                  </w:tcBorders>
                                  <w:noWrap w:val="0"/>
                                  <w:vAlign w:val="top"/>
                                </w:tcPr>
                                <w:p>
                                  <w:pPr>
                                    <w:pStyle w:val="28"/>
                                    <w:rPr>
                                      <w:rFonts w:ascii="宋体" w:hAnsi="宋体" w:cs="宋体"/>
                                      <w:sz w:val="19"/>
                                      <w:szCs w:val="19"/>
                                    </w:rPr>
                                  </w:pPr>
                                </w:p>
                                <w:p>
                                  <w:pPr>
                                    <w:pStyle w:val="28"/>
                                    <w:ind w:left="7"/>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28"/>
                                    <w:spacing w:before="93" w:line="280"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Times New Roman"/>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kern w:val="0"/>
                                      <w:sz w:val="20"/>
                                      <w:szCs w:val="20"/>
                                    </w:rPr>
                                  </w:pPr>
                                </w:p>
                              </w:tc>
                              <w:tc>
                                <w:tcPr>
                                  <w:tcW w:w="1915" w:type="dxa"/>
                                  <w:tcBorders>
                                    <w:top w:val="single" w:color="auto" w:sz="4" w:space="0"/>
                                    <w:left w:val="single" w:color="auto" w:sz="4" w:space="0"/>
                                    <w:bottom w:val="single" w:color="auto" w:sz="4" w:space="0"/>
                                    <w:right w:val="single" w:color="auto" w:sz="4" w:space="0"/>
                                  </w:tcBorders>
                                  <w:noWrap w:val="0"/>
                                  <w:vAlign w:val="top"/>
                                </w:tcPr>
                                <w:p>
                                  <w:pPr>
                                    <w:pStyle w:val="28"/>
                                    <w:spacing w:before="12"/>
                                    <w:rPr>
                                      <w:rFonts w:ascii="宋体" w:hAnsi="宋体" w:cs="宋体"/>
                                      <w:sz w:val="15"/>
                                      <w:szCs w:val="15"/>
                                      <w:lang w:eastAsia="zh-CN"/>
                                    </w:rPr>
                                  </w:pPr>
                                </w:p>
                                <w:p>
                                  <w:pPr>
                                    <w:pStyle w:val="28"/>
                                    <w:ind w:left="7"/>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28"/>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pPr>
                                    <w:pStyle w:val="28"/>
                                    <w:rPr>
                                      <w:rFonts w:ascii="宋体" w:hAnsi="宋体" w:cs="宋体"/>
                                      <w:sz w:val="20"/>
                                      <w:szCs w:val="20"/>
                                      <w:lang w:eastAsia="zh-CN"/>
                                    </w:rPr>
                                  </w:pPr>
                                </w:p>
                                <w:p>
                                  <w:pPr>
                                    <w:pStyle w:val="28"/>
                                    <w:rPr>
                                      <w:rFonts w:hint="eastAsia" w:ascii="宋体" w:hAnsi="宋体" w:cs="宋体"/>
                                      <w:sz w:val="20"/>
                                      <w:szCs w:val="20"/>
                                      <w:lang w:eastAsia="zh-CN"/>
                                    </w:rPr>
                                  </w:pPr>
                                </w:p>
                                <w:p>
                                  <w:pPr>
                                    <w:pStyle w:val="28"/>
                                    <w:rPr>
                                      <w:rFonts w:hint="eastAsia" w:ascii="宋体" w:hAnsi="宋体" w:cs="宋体"/>
                                      <w:sz w:val="20"/>
                                      <w:szCs w:val="20"/>
                                      <w:lang w:eastAsia="zh-CN"/>
                                    </w:rPr>
                                  </w:pPr>
                                </w:p>
                                <w:p>
                                  <w:pPr>
                                    <w:pStyle w:val="28"/>
                                    <w:rPr>
                                      <w:rFonts w:hint="eastAsia" w:ascii="宋体" w:hAnsi="宋体" w:cs="宋体"/>
                                      <w:sz w:val="20"/>
                                      <w:szCs w:val="20"/>
                                      <w:lang w:eastAsia="zh-CN"/>
                                    </w:rPr>
                                  </w:pPr>
                                </w:p>
                                <w:p>
                                  <w:pPr>
                                    <w:pStyle w:val="28"/>
                                    <w:rPr>
                                      <w:rFonts w:hint="eastAsia" w:ascii="宋体" w:hAnsi="宋体" w:cs="宋体"/>
                                      <w:sz w:val="20"/>
                                      <w:szCs w:val="20"/>
                                      <w:lang w:eastAsia="zh-CN"/>
                                    </w:rPr>
                                  </w:pPr>
                                </w:p>
                                <w:p>
                                  <w:pPr>
                                    <w:pStyle w:val="28"/>
                                    <w:spacing w:before="12"/>
                                    <w:rPr>
                                      <w:rFonts w:hint="eastAsia" w:ascii="宋体" w:hAnsi="宋体" w:cs="宋体"/>
                                      <w:sz w:val="23"/>
                                      <w:szCs w:val="23"/>
                                      <w:lang w:eastAsia="zh-CN"/>
                                    </w:rPr>
                                  </w:pPr>
                                </w:p>
                                <w:p>
                                  <w:pPr>
                                    <w:pStyle w:val="28"/>
                                    <w:ind w:left="182"/>
                                    <w:rPr>
                                      <w:rFonts w:ascii="宋体" w:hAnsi="宋体" w:cs="宋体"/>
                                      <w:sz w:val="20"/>
                                      <w:szCs w:val="20"/>
                                    </w:rPr>
                                  </w:pPr>
                                  <w:r>
                                    <w:rPr>
                                      <w:rFonts w:hint="eastAsia" w:ascii="宋体"/>
                                      <w:spacing w:val="1"/>
                                      <w:w w:val="99"/>
                                      <w:sz w:val="20"/>
                                    </w:rPr>
                                    <w:t>1</w:t>
                                  </w:r>
                                  <w:r>
                                    <w:rPr>
                                      <w:rFonts w:hint="eastAsia" w:ascii="宋体"/>
                                      <w:w w:val="99"/>
                                      <w:sz w:val="20"/>
                                    </w:rPr>
                                    <w:t>1</w:t>
                                  </w: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pPr>
                                    <w:pStyle w:val="28"/>
                                    <w:rPr>
                                      <w:rFonts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spacing w:before="157"/>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pPr>
                                    <w:pStyle w:val="28"/>
                                    <w:spacing w:before="50"/>
                                    <w:ind w:left="7"/>
                                    <w:rPr>
                                      <w:rFonts w:ascii="宋体" w:hAnsi="宋体" w:cs="宋体"/>
                                      <w:sz w:val="20"/>
                                      <w:szCs w:val="20"/>
                                    </w:rPr>
                                  </w:pPr>
                                  <w:r>
                                    <w:rPr>
                                      <w:rFonts w:hint="eastAsia" w:ascii="宋体" w:hAnsi="宋体" w:cs="宋体"/>
                                      <w:w w:val="99"/>
                                      <w:sz w:val="20"/>
                                      <w:szCs w:val="20"/>
                                    </w:rPr>
                                    <w:t>设备</w:t>
                                  </w: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28"/>
                                    <w:spacing w:before="133"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915"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28"/>
                                    <w:spacing w:before="13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28"/>
                                    <w:spacing w:before="92" w:line="280"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915"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28"/>
                                    <w:spacing w:before="92"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28"/>
                                    <w:spacing w:before="4"/>
                                    <w:rPr>
                                      <w:rFonts w:ascii="宋体" w:hAnsi="宋体" w:cs="宋体"/>
                                      <w:sz w:val="18"/>
                                      <w:szCs w:val="18"/>
                                      <w:lang w:eastAsia="zh-CN"/>
                                    </w:rPr>
                                  </w:pPr>
                                </w:p>
                                <w:p>
                                  <w:pPr>
                                    <w:pStyle w:val="28"/>
                                    <w:ind w:left="7"/>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915"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28"/>
                                    <w:spacing w:before="83"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28"/>
                                    <w:spacing w:before="5"/>
                                    <w:rPr>
                                      <w:rFonts w:ascii="宋体" w:hAnsi="宋体" w:cs="宋体"/>
                                      <w:sz w:val="15"/>
                                      <w:szCs w:val="15"/>
                                      <w:lang w:eastAsia="zh-CN"/>
                                    </w:rPr>
                                  </w:pPr>
                                </w:p>
                                <w:p>
                                  <w:pPr>
                                    <w:pStyle w:val="28"/>
                                    <w:spacing w:line="280" w:lineRule="auto"/>
                                    <w:ind w:left="7"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915"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28"/>
                                    <w:spacing w:before="5"/>
                                    <w:rPr>
                                      <w:rFonts w:ascii="宋体" w:hAnsi="宋体" w:cs="宋体"/>
                                      <w:sz w:val="15"/>
                                      <w:szCs w:val="15"/>
                                      <w:lang w:eastAsia="zh-CN"/>
                                    </w:rPr>
                                  </w:pPr>
                                </w:p>
                                <w:p>
                                  <w:pPr>
                                    <w:pStyle w:val="28"/>
                                    <w:spacing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74" w:type="dxa"/>
                                  <w:tcBorders>
                                    <w:top w:val="single" w:color="auto" w:sz="4" w:space="0"/>
                                    <w:left w:val="single" w:color="auto" w:sz="4" w:space="0"/>
                                    <w:bottom w:val="single" w:color="auto" w:sz="4" w:space="0"/>
                                    <w:right w:val="single" w:color="auto" w:sz="4" w:space="0"/>
                                  </w:tcBorders>
                                  <w:noWrap w:val="0"/>
                                  <w:vAlign w:val="top"/>
                                </w:tcPr>
                                <w:p>
                                  <w:pPr>
                                    <w:pStyle w:val="28"/>
                                    <w:spacing w:before="1"/>
                                    <w:rPr>
                                      <w:rFonts w:ascii="宋体" w:hAnsi="宋体" w:cs="宋体"/>
                                      <w:sz w:val="18"/>
                                      <w:szCs w:val="18"/>
                                      <w:lang w:eastAsia="zh-CN"/>
                                    </w:rPr>
                                  </w:pPr>
                                </w:p>
                                <w:p>
                                  <w:pPr>
                                    <w:pStyle w:val="28"/>
                                    <w:ind w:left="182"/>
                                    <w:rPr>
                                      <w:rFonts w:ascii="宋体" w:hAnsi="宋体" w:cs="宋体"/>
                                      <w:sz w:val="20"/>
                                      <w:szCs w:val="20"/>
                                    </w:rPr>
                                  </w:pPr>
                                  <w:r>
                                    <w:rPr>
                                      <w:rFonts w:hint="eastAsia" w:ascii="宋体"/>
                                      <w:spacing w:val="1"/>
                                      <w:w w:val="99"/>
                                      <w:sz w:val="20"/>
                                    </w:rPr>
                                    <w:t>1</w:t>
                                  </w:r>
                                  <w:r>
                                    <w:rPr>
                                      <w:rFonts w:hint="eastAsia" w:ascii="宋体"/>
                                      <w:w w:val="99"/>
                                      <w:sz w:val="20"/>
                                    </w:rPr>
                                    <w:t>2</w:t>
                                  </w:r>
                                </w:p>
                              </w:tc>
                              <w:tc>
                                <w:tcPr>
                                  <w:tcW w:w="1166" w:type="dxa"/>
                                  <w:tcBorders>
                                    <w:top w:val="single" w:color="auto" w:sz="4" w:space="0"/>
                                    <w:left w:val="single" w:color="auto" w:sz="4" w:space="0"/>
                                    <w:bottom w:val="single" w:color="auto" w:sz="4" w:space="0"/>
                                    <w:right w:val="single" w:color="auto" w:sz="4" w:space="0"/>
                                  </w:tcBorders>
                                  <w:noWrap w:val="0"/>
                                  <w:vAlign w:val="top"/>
                                </w:tcPr>
                                <w:p>
                                  <w:pPr>
                                    <w:pStyle w:val="28"/>
                                    <w:spacing w:before="8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pPr>
                                    <w:pStyle w:val="28"/>
                                    <w:spacing w:before="50"/>
                                    <w:ind w:left="7"/>
                                    <w:rPr>
                                      <w:rFonts w:ascii="宋体" w:hAnsi="宋体" w:cs="宋体"/>
                                      <w:sz w:val="20"/>
                                      <w:szCs w:val="20"/>
                                    </w:rPr>
                                  </w:pPr>
                                  <w:r>
                                    <w:rPr>
                                      <w:rFonts w:hint="eastAsia" w:ascii="宋体" w:hAnsi="宋体" w:cs="宋体"/>
                                      <w:w w:val="99"/>
                                      <w:sz w:val="20"/>
                                      <w:szCs w:val="20"/>
                                    </w:rPr>
                                    <w:t>视设备</w:t>
                                  </w: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28"/>
                                    <w:spacing w:before="81" w:line="280"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915"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28"/>
                                    <w:spacing w:before="81"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74" w:type="dxa"/>
                                  <w:tcBorders>
                                    <w:top w:val="single" w:color="auto" w:sz="4" w:space="0"/>
                                    <w:left w:val="single" w:color="auto" w:sz="4" w:space="0"/>
                                    <w:bottom w:val="single" w:color="auto" w:sz="4" w:space="0"/>
                                    <w:right w:val="single" w:color="auto" w:sz="4" w:space="0"/>
                                  </w:tcBorders>
                                  <w:noWrap w:val="0"/>
                                  <w:vAlign w:val="top"/>
                                </w:tcPr>
                                <w:p>
                                  <w:pPr>
                                    <w:pStyle w:val="28"/>
                                    <w:rPr>
                                      <w:rFonts w:ascii="宋体" w:hAnsi="宋体" w:cs="宋体"/>
                                      <w:sz w:val="20"/>
                                      <w:szCs w:val="20"/>
                                      <w:lang w:eastAsia="zh-CN"/>
                                    </w:rPr>
                                  </w:pPr>
                                </w:p>
                                <w:p>
                                  <w:pPr>
                                    <w:pStyle w:val="28"/>
                                    <w:rPr>
                                      <w:rFonts w:hint="eastAsia" w:ascii="宋体" w:hAnsi="宋体" w:cs="宋体"/>
                                      <w:sz w:val="20"/>
                                      <w:szCs w:val="20"/>
                                      <w:lang w:eastAsia="zh-CN"/>
                                    </w:rPr>
                                  </w:pPr>
                                </w:p>
                                <w:p>
                                  <w:pPr>
                                    <w:pStyle w:val="28"/>
                                    <w:spacing w:before="10"/>
                                    <w:rPr>
                                      <w:rFonts w:hint="eastAsia" w:ascii="宋体" w:hAnsi="宋体" w:cs="宋体"/>
                                      <w:sz w:val="21"/>
                                      <w:szCs w:val="21"/>
                                      <w:lang w:eastAsia="zh-CN"/>
                                    </w:rPr>
                                  </w:pPr>
                                </w:p>
                                <w:p>
                                  <w:pPr>
                                    <w:pStyle w:val="28"/>
                                    <w:ind w:left="182"/>
                                    <w:rPr>
                                      <w:rFonts w:ascii="宋体" w:hAnsi="宋体" w:cs="宋体"/>
                                      <w:sz w:val="20"/>
                                      <w:szCs w:val="20"/>
                                    </w:rPr>
                                  </w:pPr>
                                  <w:r>
                                    <w:rPr>
                                      <w:rFonts w:hint="eastAsia" w:ascii="宋体"/>
                                      <w:spacing w:val="1"/>
                                      <w:w w:val="99"/>
                                      <w:sz w:val="20"/>
                                    </w:rPr>
                                    <w:t>1</w:t>
                                  </w:r>
                                  <w:r>
                                    <w:rPr>
                                      <w:rFonts w:hint="eastAsia" w:ascii="宋体"/>
                                      <w:w w:val="99"/>
                                      <w:sz w:val="20"/>
                                    </w:rPr>
                                    <w:t>3</w:t>
                                  </w:r>
                                </w:p>
                              </w:tc>
                              <w:tc>
                                <w:tcPr>
                                  <w:tcW w:w="1166" w:type="dxa"/>
                                  <w:tcBorders>
                                    <w:top w:val="single" w:color="auto" w:sz="4" w:space="0"/>
                                    <w:left w:val="single" w:color="auto" w:sz="4" w:space="0"/>
                                    <w:bottom w:val="single" w:color="auto" w:sz="4" w:space="0"/>
                                    <w:right w:val="single" w:color="auto" w:sz="4" w:space="0"/>
                                  </w:tcBorders>
                                  <w:noWrap w:val="0"/>
                                  <w:vAlign w:val="top"/>
                                </w:tcPr>
                                <w:p>
                                  <w:pPr>
                                    <w:pStyle w:val="28"/>
                                    <w:rPr>
                                      <w:rFonts w:ascii="宋体" w:hAnsi="宋体" w:cs="宋体"/>
                                      <w:sz w:val="20"/>
                                      <w:szCs w:val="20"/>
                                    </w:rPr>
                                  </w:pPr>
                                </w:p>
                                <w:p>
                                  <w:pPr>
                                    <w:pStyle w:val="28"/>
                                    <w:spacing w:before="11"/>
                                    <w:rPr>
                                      <w:rFonts w:hint="eastAsia" w:ascii="宋体" w:hAnsi="宋体" w:cs="宋体"/>
                                      <w:sz w:val="29"/>
                                      <w:szCs w:val="29"/>
                                    </w:rPr>
                                  </w:pPr>
                                </w:p>
                                <w:p>
                                  <w:pPr>
                                    <w:pStyle w:val="28"/>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pPr>
                                    <w:pStyle w:val="28"/>
                                    <w:spacing w:before="50"/>
                                    <w:ind w:left="7"/>
                                    <w:rPr>
                                      <w:rFonts w:ascii="宋体" w:hAnsi="宋体" w:cs="宋体"/>
                                      <w:sz w:val="20"/>
                                      <w:szCs w:val="20"/>
                                    </w:rPr>
                                  </w:pPr>
                                  <w:r>
                                    <w:rPr>
                                      <w:rFonts w:hint="eastAsia" w:ascii="宋体" w:hAnsi="宋体" w:cs="宋体"/>
                                      <w:w w:val="99"/>
                                      <w:sz w:val="20"/>
                                      <w:szCs w:val="20"/>
                                    </w:rPr>
                                    <w:t>频设备</w:t>
                                  </w: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28"/>
                                    <w:rPr>
                                      <w:rFonts w:ascii="宋体" w:hAnsi="宋体" w:cs="宋体"/>
                                      <w:sz w:val="20"/>
                                      <w:szCs w:val="20"/>
                                    </w:rPr>
                                  </w:pPr>
                                </w:p>
                                <w:p>
                                  <w:pPr>
                                    <w:pStyle w:val="28"/>
                                    <w:spacing w:before="11"/>
                                    <w:rPr>
                                      <w:rFonts w:hint="eastAsia" w:ascii="宋体" w:hAnsi="宋体" w:cs="宋体"/>
                                      <w:sz w:val="29"/>
                                      <w:szCs w:val="29"/>
                                    </w:rPr>
                                  </w:pPr>
                                </w:p>
                                <w:p>
                                  <w:pPr>
                                    <w:pStyle w:val="28"/>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915" w:type="dxa"/>
                                  <w:tcBorders>
                                    <w:top w:val="single" w:color="auto" w:sz="4" w:space="0"/>
                                    <w:left w:val="single" w:color="auto" w:sz="4" w:space="0"/>
                                    <w:bottom w:val="single" w:color="auto" w:sz="4" w:space="0"/>
                                    <w:right w:val="single" w:color="auto" w:sz="4" w:space="0"/>
                                  </w:tcBorders>
                                  <w:noWrap w:val="0"/>
                                  <w:vAlign w:val="top"/>
                                </w:tcPr>
                                <w:p>
                                  <w:pPr>
                                    <w:pStyle w:val="28"/>
                                    <w:rPr>
                                      <w:rFonts w:ascii="宋体" w:hAnsi="宋体" w:cs="宋体"/>
                                      <w:sz w:val="20"/>
                                      <w:szCs w:val="20"/>
                                    </w:rPr>
                                  </w:pPr>
                                </w:p>
                                <w:p>
                                  <w:pPr>
                                    <w:pStyle w:val="28"/>
                                    <w:rPr>
                                      <w:rFonts w:hint="eastAsia" w:ascii="宋体" w:hAnsi="宋体" w:cs="宋体"/>
                                      <w:sz w:val="20"/>
                                      <w:szCs w:val="20"/>
                                    </w:rPr>
                                  </w:pPr>
                                </w:p>
                                <w:p>
                                  <w:pPr>
                                    <w:pStyle w:val="28"/>
                                    <w:spacing w:before="10"/>
                                    <w:rPr>
                                      <w:rFonts w:hint="eastAsia" w:ascii="宋体" w:hAnsi="宋体" w:cs="宋体"/>
                                      <w:sz w:val="21"/>
                                      <w:szCs w:val="21"/>
                                    </w:rPr>
                                  </w:pPr>
                                </w:p>
                                <w:p>
                                  <w:pPr>
                                    <w:pStyle w:val="28"/>
                                    <w:ind w:left="7"/>
                                    <w:rPr>
                                      <w:rFonts w:ascii="宋体" w:hAnsi="宋体" w:cs="宋体"/>
                                      <w:sz w:val="20"/>
                                      <w:szCs w:val="20"/>
                                    </w:rPr>
                                  </w:pPr>
                                  <w:r>
                                    <w:rPr>
                                      <w:rFonts w:hint="eastAsia" w:ascii="宋体" w:hAnsi="宋体" w:cs="宋体"/>
                                      <w:w w:val="99"/>
                                      <w:sz w:val="20"/>
                                      <w:szCs w:val="20"/>
                                    </w:rPr>
                                    <w:t>监视器</w:t>
                                  </w: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28"/>
                                    <w:spacing w:before="28" w:line="280"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74" w:type="dxa"/>
                                  <w:tcBorders>
                                    <w:top w:val="single" w:color="auto" w:sz="4" w:space="0"/>
                                    <w:left w:val="single" w:color="auto" w:sz="4" w:space="0"/>
                                    <w:bottom w:val="single" w:color="auto" w:sz="4" w:space="0"/>
                                    <w:right w:val="single" w:color="auto" w:sz="4" w:space="0"/>
                                  </w:tcBorders>
                                  <w:noWrap w:val="0"/>
                                  <w:vAlign w:val="top"/>
                                </w:tcPr>
                                <w:p>
                                  <w:pPr>
                                    <w:pStyle w:val="28"/>
                                    <w:spacing w:before="10"/>
                                    <w:rPr>
                                      <w:rFonts w:ascii="宋体" w:hAnsi="宋体" w:cs="宋体"/>
                                      <w:sz w:val="17"/>
                                      <w:szCs w:val="17"/>
                                      <w:lang w:eastAsia="zh-CN"/>
                                    </w:rPr>
                                  </w:pPr>
                                </w:p>
                                <w:p>
                                  <w:pPr>
                                    <w:pStyle w:val="28"/>
                                    <w:ind w:left="182"/>
                                    <w:rPr>
                                      <w:rFonts w:ascii="宋体" w:hAnsi="宋体" w:cs="宋体"/>
                                      <w:sz w:val="20"/>
                                      <w:szCs w:val="20"/>
                                    </w:rPr>
                                  </w:pPr>
                                  <w:r>
                                    <w:rPr>
                                      <w:rFonts w:hint="eastAsia" w:ascii="宋体"/>
                                      <w:spacing w:val="1"/>
                                      <w:w w:val="99"/>
                                      <w:sz w:val="20"/>
                                    </w:rPr>
                                    <w:t>1</w:t>
                                  </w:r>
                                  <w:r>
                                    <w:rPr>
                                      <w:rFonts w:hint="eastAsia" w:ascii="宋体"/>
                                      <w:w w:val="99"/>
                                      <w:sz w:val="20"/>
                                    </w:rPr>
                                    <w:t>4</w:t>
                                  </w:r>
                                </w:p>
                              </w:tc>
                              <w:tc>
                                <w:tcPr>
                                  <w:tcW w:w="1166" w:type="dxa"/>
                                  <w:tcBorders>
                                    <w:top w:val="single" w:color="auto" w:sz="4" w:space="0"/>
                                    <w:left w:val="single" w:color="auto" w:sz="4" w:space="0"/>
                                    <w:bottom w:val="single" w:color="auto" w:sz="4" w:space="0"/>
                                    <w:right w:val="single" w:color="auto" w:sz="4" w:space="0"/>
                                  </w:tcBorders>
                                  <w:noWrap w:val="0"/>
                                  <w:vAlign w:val="top"/>
                                </w:tcPr>
                                <w:p>
                                  <w:pPr>
                                    <w:pStyle w:val="28"/>
                                    <w:spacing w:before="76"/>
                                    <w:ind w:left="7"/>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pPr>
                                    <w:pStyle w:val="28"/>
                                    <w:spacing w:before="50"/>
                                    <w:ind w:left="7"/>
                                    <w:rPr>
                                      <w:rFonts w:ascii="宋体" w:hAnsi="宋体" w:cs="宋体"/>
                                      <w:sz w:val="20"/>
                                      <w:szCs w:val="20"/>
                                    </w:rPr>
                                  </w:pPr>
                                  <w:r>
                                    <w:rPr>
                                      <w:rFonts w:hint="eastAsia" w:ascii="宋体" w:hAnsi="宋体" w:cs="宋体"/>
                                      <w:w w:val="99"/>
                                      <w:sz w:val="20"/>
                                      <w:szCs w:val="20"/>
                                    </w:rPr>
                                    <w:t>炊事机械</w:t>
                                  </w: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28"/>
                                    <w:spacing w:before="10"/>
                                    <w:rPr>
                                      <w:rFonts w:ascii="宋体" w:hAnsi="宋体" w:cs="宋体"/>
                                      <w:sz w:val="17"/>
                                      <w:szCs w:val="17"/>
                                    </w:rPr>
                                  </w:pPr>
                                </w:p>
                                <w:p>
                                  <w:pPr>
                                    <w:pStyle w:val="28"/>
                                    <w:ind w:left="7"/>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915"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28"/>
                                    <w:spacing w:before="7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pPr>
                                    <w:pStyle w:val="28"/>
                                    <w:rPr>
                                      <w:rFonts w:ascii="宋体" w:hAnsi="宋体" w:cs="宋体"/>
                                      <w:sz w:val="20"/>
                                      <w:szCs w:val="20"/>
                                      <w:lang w:eastAsia="zh-CN"/>
                                    </w:rPr>
                                  </w:pPr>
                                </w:p>
                                <w:p>
                                  <w:pPr>
                                    <w:pStyle w:val="28"/>
                                    <w:rPr>
                                      <w:rFonts w:hint="eastAsia" w:ascii="宋体" w:hAnsi="宋体" w:cs="宋体"/>
                                      <w:sz w:val="20"/>
                                      <w:szCs w:val="20"/>
                                      <w:lang w:eastAsia="zh-CN"/>
                                    </w:rPr>
                                  </w:pPr>
                                </w:p>
                                <w:p>
                                  <w:pPr>
                                    <w:pStyle w:val="28"/>
                                    <w:rPr>
                                      <w:rFonts w:hint="eastAsia" w:ascii="宋体" w:hAnsi="宋体" w:cs="宋体"/>
                                      <w:sz w:val="20"/>
                                      <w:szCs w:val="20"/>
                                      <w:lang w:eastAsia="zh-CN"/>
                                    </w:rPr>
                                  </w:pPr>
                                </w:p>
                                <w:p>
                                  <w:pPr>
                                    <w:pStyle w:val="28"/>
                                    <w:spacing w:before="1"/>
                                    <w:rPr>
                                      <w:rFonts w:hint="eastAsia" w:ascii="宋体" w:hAnsi="宋体" w:cs="宋体"/>
                                      <w:sz w:val="29"/>
                                      <w:szCs w:val="29"/>
                                      <w:lang w:eastAsia="zh-CN"/>
                                    </w:rPr>
                                  </w:pPr>
                                </w:p>
                                <w:p>
                                  <w:pPr>
                                    <w:pStyle w:val="28"/>
                                    <w:ind w:left="182"/>
                                    <w:rPr>
                                      <w:rFonts w:ascii="宋体" w:hAnsi="宋体" w:cs="宋体"/>
                                      <w:sz w:val="20"/>
                                      <w:szCs w:val="20"/>
                                    </w:rPr>
                                  </w:pPr>
                                  <w:r>
                                    <w:rPr>
                                      <w:rFonts w:hint="eastAsia" w:ascii="宋体"/>
                                      <w:spacing w:val="1"/>
                                      <w:w w:val="99"/>
                                      <w:sz w:val="20"/>
                                    </w:rPr>
                                    <w:t>1</w:t>
                                  </w:r>
                                  <w:r>
                                    <w:rPr>
                                      <w:rFonts w:hint="eastAsia" w:ascii="宋体"/>
                                      <w:w w:val="99"/>
                                      <w:sz w:val="20"/>
                                    </w:rPr>
                                    <w:t>5</w:t>
                                  </w: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pPr>
                                    <w:pStyle w:val="28"/>
                                    <w:rPr>
                                      <w:rFonts w:ascii="宋体" w:hAnsi="宋体" w:cs="宋体"/>
                                      <w:sz w:val="20"/>
                                      <w:szCs w:val="20"/>
                                    </w:rPr>
                                  </w:pPr>
                                </w:p>
                                <w:p>
                                  <w:pPr>
                                    <w:pStyle w:val="28"/>
                                    <w:rPr>
                                      <w:rFonts w:hint="eastAsia" w:ascii="宋体" w:hAnsi="宋体" w:cs="宋体"/>
                                      <w:sz w:val="20"/>
                                      <w:szCs w:val="20"/>
                                    </w:rPr>
                                  </w:pPr>
                                </w:p>
                                <w:p>
                                  <w:pPr>
                                    <w:pStyle w:val="28"/>
                                    <w:spacing w:before="9"/>
                                    <w:rPr>
                                      <w:rFonts w:hint="eastAsia" w:ascii="宋体" w:hAnsi="宋体" w:cs="宋体"/>
                                      <w:sz w:val="17"/>
                                      <w:szCs w:val="17"/>
                                    </w:rPr>
                                  </w:pPr>
                                </w:p>
                                <w:p>
                                  <w:pPr>
                                    <w:pStyle w:val="28"/>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805便</w:t>
                                  </w:r>
                                </w:p>
                                <w:p>
                                  <w:pPr>
                                    <w:pStyle w:val="28"/>
                                    <w:spacing w:before="50"/>
                                    <w:ind w:left="7"/>
                                    <w:rPr>
                                      <w:rFonts w:ascii="宋体" w:hAnsi="宋体" w:cs="宋体"/>
                                      <w:sz w:val="20"/>
                                      <w:szCs w:val="20"/>
                                    </w:rPr>
                                  </w:pPr>
                                  <w:r>
                                    <w:rPr>
                                      <w:rFonts w:hint="eastAsia" w:ascii="宋体" w:hAnsi="宋体" w:cs="宋体"/>
                                      <w:w w:val="99"/>
                                      <w:sz w:val="20"/>
                                      <w:szCs w:val="20"/>
                                    </w:rPr>
                                    <w:t>器</w:t>
                                  </w: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28"/>
                                    <w:spacing w:before="5"/>
                                    <w:rPr>
                                      <w:rFonts w:ascii="宋体" w:hAnsi="宋体" w:cs="宋体"/>
                                      <w:sz w:val="21"/>
                                      <w:szCs w:val="21"/>
                                    </w:rPr>
                                  </w:pPr>
                                </w:p>
                                <w:p>
                                  <w:pPr>
                                    <w:pStyle w:val="28"/>
                                    <w:ind w:left="7"/>
                                    <w:rPr>
                                      <w:rFonts w:ascii="宋体" w:hAnsi="宋体" w:cs="宋体"/>
                                      <w:sz w:val="20"/>
                                      <w:szCs w:val="20"/>
                                    </w:rPr>
                                  </w:pPr>
                                  <w:r>
                                    <w:rPr>
                                      <w:rFonts w:hint="eastAsia" w:ascii="宋体" w:hAnsi="宋体" w:cs="宋体"/>
                                      <w:w w:val="99"/>
                                      <w:sz w:val="20"/>
                                      <w:szCs w:val="20"/>
                                    </w:rPr>
                                    <w:t>坐便器</w:t>
                                  </w:r>
                                </w:p>
                              </w:tc>
                              <w:tc>
                                <w:tcPr>
                                  <w:tcW w:w="1915"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28"/>
                                    <w:spacing w:before="124"/>
                                    <w:ind w:left="7"/>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pPr>
                                    <w:pStyle w:val="28"/>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kern w:val="0"/>
                                      <w:sz w:val="20"/>
                                      <w:szCs w:val="20"/>
                                      <w:lang w:eastAsia="en-US"/>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kern w:val="0"/>
                                      <w:sz w:val="20"/>
                                      <w:szCs w:val="20"/>
                                      <w:lang w:eastAsia="en-US"/>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28"/>
                                    <w:spacing w:before="5"/>
                                    <w:rPr>
                                      <w:rFonts w:ascii="宋体" w:hAnsi="宋体" w:cs="宋体"/>
                                      <w:sz w:val="21"/>
                                      <w:szCs w:val="21"/>
                                    </w:rPr>
                                  </w:pPr>
                                </w:p>
                                <w:p>
                                  <w:pPr>
                                    <w:pStyle w:val="28"/>
                                    <w:ind w:left="7"/>
                                    <w:rPr>
                                      <w:rFonts w:ascii="宋体" w:hAnsi="宋体" w:cs="宋体"/>
                                      <w:sz w:val="20"/>
                                      <w:szCs w:val="20"/>
                                    </w:rPr>
                                  </w:pPr>
                                  <w:r>
                                    <w:rPr>
                                      <w:rFonts w:hint="eastAsia" w:ascii="宋体" w:hAnsi="宋体" w:cs="宋体"/>
                                      <w:w w:val="99"/>
                                      <w:sz w:val="20"/>
                                      <w:szCs w:val="20"/>
                                    </w:rPr>
                                    <w:t>蹲便器</w:t>
                                  </w:r>
                                </w:p>
                              </w:tc>
                              <w:tc>
                                <w:tcPr>
                                  <w:tcW w:w="1915"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28"/>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28"/>
                                    <w:spacing w:before="5"/>
                                    <w:rPr>
                                      <w:rFonts w:ascii="宋体" w:hAnsi="宋体" w:cs="宋体"/>
                                      <w:sz w:val="21"/>
                                      <w:szCs w:val="21"/>
                                      <w:lang w:eastAsia="zh-CN"/>
                                    </w:rPr>
                                  </w:pPr>
                                </w:p>
                                <w:p>
                                  <w:pPr>
                                    <w:pStyle w:val="28"/>
                                    <w:ind w:left="7"/>
                                    <w:rPr>
                                      <w:rFonts w:ascii="宋体" w:hAnsi="宋体" w:cs="宋体"/>
                                      <w:sz w:val="20"/>
                                      <w:szCs w:val="20"/>
                                    </w:rPr>
                                  </w:pPr>
                                  <w:r>
                                    <w:rPr>
                                      <w:rFonts w:hint="eastAsia" w:ascii="宋体" w:hAnsi="宋体" w:cs="宋体"/>
                                      <w:w w:val="99"/>
                                      <w:sz w:val="20"/>
                                      <w:szCs w:val="20"/>
                                    </w:rPr>
                                    <w:t>小便器</w:t>
                                  </w:r>
                                </w:p>
                              </w:tc>
                              <w:tc>
                                <w:tcPr>
                                  <w:tcW w:w="1915"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28"/>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pPr>
                              <w:rPr>
                                <w:rFonts w:ascii="Calibri" w:hAnsi="Calibri"/>
                                <w:sz w:val="22"/>
                                <w:szCs w:val="22"/>
                              </w:rPr>
                            </w:pPr>
                          </w:p>
                        </w:txbxContent>
                      </wps:txbx>
                      <wps:bodyPr lIns="0" tIns="0" rIns="0" bIns="0" upright="1"/>
                    </wps:wsp>
                  </a:graphicData>
                </a:graphic>
              </wp:anchor>
            </w:drawing>
          </mc:Choice>
          <mc:Fallback>
            <w:pict>
              <v:shape id="_x0000_s1026" o:spid="_x0000_s1026" o:spt="202" type="#_x0000_t202" style="position:absolute;left:0pt;margin-left:98.5pt;margin-top:15.35pt;height:732.25pt;width:421.8pt;mso-position-horizontal-relative:page;z-index:251667456;mso-width-relative:page;mso-height-relative:page;" filled="f" stroked="f" coordsize="21600,21600" o:gfxdata="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ozuzjaAAAADAEAAA8AAAAAAAAAAQAgAAAAIgAAAGRycy9kb3ducmV2&#10;LnhtbFBLAQIUABQAAAAIAIdO4kDKDdi/wQEAAIEDAAAOAAAAAAAAAAEAIAAAACkBAABkcnMvZTJv&#10;RG9jLnhtbFBLBQYAAAAABgAGAFkBAABcBQAAAAA=&#10;">
                <v:fill on="f" focussize="0,0"/>
                <v:stroke on="f"/>
                <v:imagedata o:title=""/>
                <o:lock v:ext="edit" aspectratio="f"/>
                <v:textbox inset="0mm,0mm,0mm,0mm">
                  <w:txbxContent>
                    <w:tbl>
                      <w:tblPr>
                        <w:tblStyle w:val="2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pPr>
                              <w:rPr>
                                <w:rFonts w:ascii="Calibri" w:hAnsi="Calibri"/>
                                <w:sz w:val="22"/>
                                <w:szCs w:val="22"/>
                              </w:rPr>
                            </w:pP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pPr>
                              <w:rPr>
                                <w:rFonts w:ascii="Calibri" w:hAnsi="Calibri"/>
                                <w:sz w:val="22"/>
                                <w:szCs w:val="22"/>
                              </w:rPr>
                            </w:pPr>
                          </w:p>
                        </w:tc>
                        <w:tc>
                          <w:tcPr>
                            <w:tcW w:w="1800" w:type="dxa"/>
                            <w:vMerge w:val="restart"/>
                            <w:tcBorders>
                              <w:top w:val="single" w:color="auto" w:sz="4" w:space="0"/>
                              <w:left w:val="single" w:color="auto" w:sz="4" w:space="0"/>
                              <w:bottom w:val="single" w:color="auto" w:sz="4" w:space="0"/>
                              <w:right w:val="single" w:color="auto" w:sz="4" w:space="0"/>
                            </w:tcBorders>
                            <w:noWrap w:val="0"/>
                            <w:vAlign w:val="top"/>
                          </w:tcPr>
                          <w:p>
                            <w:pPr>
                              <w:pStyle w:val="28"/>
                              <w:rPr>
                                <w:rFonts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spacing w:before="1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915" w:type="dxa"/>
                            <w:tcBorders>
                              <w:top w:val="single" w:color="auto" w:sz="4" w:space="0"/>
                              <w:left w:val="single" w:color="auto" w:sz="4" w:space="0"/>
                              <w:bottom w:val="single" w:color="auto" w:sz="4" w:space="0"/>
                              <w:right w:val="single" w:color="auto" w:sz="4" w:space="0"/>
                            </w:tcBorders>
                            <w:noWrap w:val="0"/>
                            <w:vAlign w:val="top"/>
                          </w:tcPr>
                          <w:p>
                            <w:pPr>
                              <w:pStyle w:val="28"/>
                              <w:spacing w:before="12"/>
                              <w:rPr>
                                <w:rFonts w:ascii="宋体" w:hAnsi="宋体" w:cs="宋体"/>
                                <w:sz w:val="15"/>
                                <w:szCs w:val="15"/>
                              </w:rPr>
                            </w:pPr>
                          </w:p>
                          <w:p>
                            <w:pPr>
                              <w:pStyle w:val="28"/>
                              <w:ind w:left="7"/>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28"/>
                              <w:tabs>
                                <w:tab w:val="left" w:pos="1608"/>
                              </w:tabs>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z w:val="20"/>
                                <w:szCs w:val="20"/>
                                <w:lang w:eastAsia="zh-CN"/>
                              </w:rPr>
                              <w:tab/>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Times New Roman"/>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kern w:val="0"/>
                                <w:sz w:val="20"/>
                                <w:szCs w:val="20"/>
                              </w:rPr>
                            </w:pPr>
                          </w:p>
                        </w:tc>
                        <w:tc>
                          <w:tcPr>
                            <w:tcW w:w="1915" w:type="dxa"/>
                            <w:tcBorders>
                              <w:top w:val="single" w:color="auto" w:sz="4" w:space="0"/>
                              <w:left w:val="single" w:color="auto" w:sz="4" w:space="0"/>
                              <w:bottom w:val="single" w:color="auto" w:sz="4" w:space="0"/>
                              <w:right w:val="single" w:color="auto" w:sz="4" w:space="0"/>
                            </w:tcBorders>
                            <w:noWrap w:val="0"/>
                            <w:vAlign w:val="top"/>
                          </w:tcPr>
                          <w:p>
                            <w:pPr>
                              <w:pStyle w:val="28"/>
                              <w:spacing w:before="2"/>
                              <w:rPr>
                                <w:rFonts w:ascii="宋体" w:hAnsi="宋体" w:cs="宋体"/>
                                <w:sz w:val="24"/>
                                <w:szCs w:val="24"/>
                                <w:lang w:eastAsia="zh-CN"/>
                              </w:rPr>
                            </w:pPr>
                          </w:p>
                          <w:p>
                            <w:pPr>
                              <w:pStyle w:val="28"/>
                              <w:ind w:left="7"/>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28"/>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pPr>
                              <w:pStyle w:val="28"/>
                              <w:spacing w:before="1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06</w:t>
                            </w:r>
                            <w:r>
                              <w:rPr>
                                <w:rFonts w:hint="eastAsia" w:ascii="宋体" w:hAnsi="宋体" w:cs="宋体"/>
                                <w:spacing w:val="1"/>
                                <w:w w:val="99"/>
                                <w:sz w:val="20"/>
                                <w:szCs w:val="20"/>
                              </w:rPr>
                              <w:t>65</w:t>
                            </w:r>
                            <w:r>
                              <w:rPr>
                                <w:rFonts w:hint="eastAsia" w:ascii="宋体" w:hAnsi="宋体" w:cs="宋体"/>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Times New Roman"/>
                                <w:sz w:val="22"/>
                                <w:szCs w:val="22"/>
                                <w:lang w:eastAsia="en-US"/>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Times New Roman"/>
                                <w:sz w:val="22"/>
                                <w:szCs w:val="22"/>
                                <w:lang w:eastAsia="en-US"/>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kern w:val="0"/>
                                <w:sz w:val="20"/>
                                <w:szCs w:val="20"/>
                                <w:lang w:eastAsia="en-US"/>
                              </w:rPr>
                            </w:pPr>
                          </w:p>
                        </w:tc>
                        <w:tc>
                          <w:tcPr>
                            <w:tcW w:w="1915" w:type="dxa"/>
                            <w:tcBorders>
                              <w:top w:val="single" w:color="auto" w:sz="4" w:space="0"/>
                              <w:left w:val="single" w:color="auto" w:sz="4" w:space="0"/>
                              <w:bottom w:val="single" w:color="auto" w:sz="4" w:space="0"/>
                              <w:right w:val="single" w:color="auto" w:sz="4" w:space="0"/>
                            </w:tcBorders>
                            <w:noWrap w:val="0"/>
                            <w:vAlign w:val="top"/>
                          </w:tcPr>
                          <w:p>
                            <w:pPr>
                              <w:pStyle w:val="28"/>
                              <w:rPr>
                                <w:rFonts w:ascii="宋体" w:hAnsi="宋体" w:cs="宋体"/>
                                <w:sz w:val="19"/>
                                <w:szCs w:val="19"/>
                              </w:rPr>
                            </w:pPr>
                          </w:p>
                          <w:p>
                            <w:pPr>
                              <w:pStyle w:val="28"/>
                              <w:ind w:left="7"/>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28"/>
                              <w:spacing w:before="93" w:line="280"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Times New Roman"/>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kern w:val="0"/>
                                <w:sz w:val="20"/>
                                <w:szCs w:val="20"/>
                              </w:rPr>
                            </w:pPr>
                          </w:p>
                        </w:tc>
                        <w:tc>
                          <w:tcPr>
                            <w:tcW w:w="1915" w:type="dxa"/>
                            <w:tcBorders>
                              <w:top w:val="single" w:color="auto" w:sz="4" w:space="0"/>
                              <w:left w:val="single" w:color="auto" w:sz="4" w:space="0"/>
                              <w:bottom w:val="single" w:color="auto" w:sz="4" w:space="0"/>
                              <w:right w:val="single" w:color="auto" w:sz="4" w:space="0"/>
                            </w:tcBorders>
                            <w:noWrap w:val="0"/>
                            <w:vAlign w:val="top"/>
                          </w:tcPr>
                          <w:p>
                            <w:pPr>
                              <w:pStyle w:val="28"/>
                              <w:spacing w:before="12"/>
                              <w:rPr>
                                <w:rFonts w:ascii="宋体" w:hAnsi="宋体" w:cs="宋体"/>
                                <w:sz w:val="15"/>
                                <w:szCs w:val="15"/>
                                <w:lang w:eastAsia="zh-CN"/>
                              </w:rPr>
                            </w:pPr>
                          </w:p>
                          <w:p>
                            <w:pPr>
                              <w:pStyle w:val="28"/>
                              <w:ind w:left="7"/>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28"/>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pPr>
                              <w:pStyle w:val="28"/>
                              <w:rPr>
                                <w:rFonts w:ascii="宋体" w:hAnsi="宋体" w:cs="宋体"/>
                                <w:sz w:val="20"/>
                                <w:szCs w:val="20"/>
                                <w:lang w:eastAsia="zh-CN"/>
                              </w:rPr>
                            </w:pPr>
                          </w:p>
                          <w:p>
                            <w:pPr>
                              <w:pStyle w:val="28"/>
                              <w:rPr>
                                <w:rFonts w:hint="eastAsia" w:ascii="宋体" w:hAnsi="宋体" w:cs="宋体"/>
                                <w:sz w:val="20"/>
                                <w:szCs w:val="20"/>
                                <w:lang w:eastAsia="zh-CN"/>
                              </w:rPr>
                            </w:pPr>
                          </w:p>
                          <w:p>
                            <w:pPr>
                              <w:pStyle w:val="28"/>
                              <w:rPr>
                                <w:rFonts w:hint="eastAsia" w:ascii="宋体" w:hAnsi="宋体" w:cs="宋体"/>
                                <w:sz w:val="20"/>
                                <w:szCs w:val="20"/>
                                <w:lang w:eastAsia="zh-CN"/>
                              </w:rPr>
                            </w:pPr>
                          </w:p>
                          <w:p>
                            <w:pPr>
                              <w:pStyle w:val="28"/>
                              <w:rPr>
                                <w:rFonts w:hint="eastAsia" w:ascii="宋体" w:hAnsi="宋体" w:cs="宋体"/>
                                <w:sz w:val="20"/>
                                <w:szCs w:val="20"/>
                                <w:lang w:eastAsia="zh-CN"/>
                              </w:rPr>
                            </w:pPr>
                          </w:p>
                          <w:p>
                            <w:pPr>
                              <w:pStyle w:val="28"/>
                              <w:rPr>
                                <w:rFonts w:hint="eastAsia" w:ascii="宋体" w:hAnsi="宋体" w:cs="宋体"/>
                                <w:sz w:val="20"/>
                                <w:szCs w:val="20"/>
                                <w:lang w:eastAsia="zh-CN"/>
                              </w:rPr>
                            </w:pPr>
                          </w:p>
                          <w:p>
                            <w:pPr>
                              <w:pStyle w:val="28"/>
                              <w:spacing w:before="12"/>
                              <w:rPr>
                                <w:rFonts w:hint="eastAsia" w:ascii="宋体" w:hAnsi="宋体" w:cs="宋体"/>
                                <w:sz w:val="23"/>
                                <w:szCs w:val="23"/>
                                <w:lang w:eastAsia="zh-CN"/>
                              </w:rPr>
                            </w:pPr>
                          </w:p>
                          <w:p>
                            <w:pPr>
                              <w:pStyle w:val="28"/>
                              <w:ind w:left="182"/>
                              <w:rPr>
                                <w:rFonts w:ascii="宋体" w:hAnsi="宋体" w:cs="宋体"/>
                                <w:sz w:val="20"/>
                                <w:szCs w:val="20"/>
                              </w:rPr>
                            </w:pPr>
                            <w:r>
                              <w:rPr>
                                <w:rFonts w:hint="eastAsia" w:ascii="宋体"/>
                                <w:spacing w:val="1"/>
                                <w:w w:val="99"/>
                                <w:sz w:val="20"/>
                              </w:rPr>
                              <w:t>1</w:t>
                            </w:r>
                            <w:r>
                              <w:rPr>
                                <w:rFonts w:hint="eastAsia" w:ascii="宋体"/>
                                <w:w w:val="99"/>
                                <w:sz w:val="20"/>
                              </w:rPr>
                              <w:t>1</w:t>
                            </w: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pPr>
                              <w:pStyle w:val="28"/>
                              <w:rPr>
                                <w:rFonts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rPr>
                                <w:rFonts w:hint="eastAsia" w:ascii="宋体" w:hAnsi="宋体" w:cs="宋体"/>
                                <w:sz w:val="20"/>
                                <w:szCs w:val="20"/>
                              </w:rPr>
                            </w:pPr>
                          </w:p>
                          <w:p>
                            <w:pPr>
                              <w:pStyle w:val="28"/>
                              <w:spacing w:before="157"/>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pPr>
                              <w:pStyle w:val="28"/>
                              <w:spacing w:before="50"/>
                              <w:ind w:left="7"/>
                              <w:rPr>
                                <w:rFonts w:ascii="宋体" w:hAnsi="宋体" w:cs="宋体"/>
                                <w:sz w:val="20"/>
                                <w:szCs w:val="20"/>
                              </w:rPr>
                            </w:pPr>
                            <w:r>
                              <w:rPr>
                                <w:rFonts w:hint="eastAsia" w:ascii="宋体" w:hAnsi="宋体" w:cs="宋体"/>
                                <w:w w:val="99"/>
                                <w:sz w:val="20"/>
                                <w:szCs w:val="20"/>
                              </w:rPr>
                              <w:t>设备</w:t>
                            </w: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28"/>
                              <w:spacing w:before="133"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915"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28"/>
                              <w:spacing w:before="13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28"/>
                              <w:spacing w:before="92" w:line="280"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915"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28"/>
                              <w:spacing w:before="92"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28"/>
                              <w:spacing w:before="4"/>
                              <w:rPr>
                                <w:rFonts w:ascii="宋体" w:hAnsi="宋体" w:cs="宋体"/>
                                <w:sz w:val="18"/>
                                <w:szCs w:val="18"/>
                                <w:lang w:eastAsia="zh-CN"/>
                              </w:rPr>
                            </w:pPr>
                          </w:p>
                          <w:p>
                            <w:pPr>
                              <w:pStyle w:val="28"/>
                              <w:ind w:left="7"/>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915"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28"/>
                              <w:spacing w:before="83"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28"/>
                              <w:spacing w:before="5"/>
                              <w:rPr>
                                <w:rFonts w:ascii="宋体" w:hAnsi="宋体" w:cs="宋体"/>
                                <w:sz w:val="15"/>
                                <w:szCs w:val="15"/>
                                <w:lang w:eastAsia="zh-CN"/>
                              </w:rPr>
                            </w:pPr>
                          </w:p>
                          <w:p>
                            <w:pPr>
                              <w:pStyle w:val="28"/>
                              <w:spacing w:line="280" w:lineRule="auto"/>
                              <w:ind w:left="7"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915"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28"/>
                              <w:spacing w:before="5"/>
                              <w:rPr>
                                <w:rFonts w:ascii="宋体" w:hAnsi="宋体" w:cs="宋体"/>
                                <w:sz w:val="15"/>
                                <w:szCs w:val="15"/>
                                <w:lang w:eastAsia="zh-CN"/>
                              </w:rPr>
                            </w:pPr>
                          </w:p>
                          <w:p>
                            <w:pPr>
                              <w:pStyle w:val="28"/>
                              <w:spacing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74" w:type="dxa"/>
                            <w:tcBorders>
                              <w:top w:val="single" w:color="auto" w:sz="4" w:space="0"/>
                              <w:left w:val="single" w:color="auto" w:sz="4" w:space="0"/>
                              <w:bottom w:val="single" w:color="auto" w:sz="4" w:space="0"/>
                              <w:right w:val="single" w:color="auto" w:sz="4" w:space="0"/>
                            </w:tcBorders>
                            <w:noWrap w:val="0"/>
                            <w:vAlign w:val="top"/>
                          </w:tcPr>
                          <w:p>
                            <w:pPr>
                              <w:pStyle w:val="28"/>
                              <w:spacing w:before="1"/>
                              <w:rPr>
                                <w:rFonts w:ascii="宋体" w:hAnsi="宋体" w:cs="宋体"/>
                                <w:sz w:val="18"/>
                                <w:szCs w:val="18"/>
                                <w:lang w:eastAsia="zh-CN"/>
                              </w:rPr>
                            </w:pPr>
                          </w:p>
                          <w:p>
                            <w:pPr>
                              <w:pStyle w:val="28"/>
                              <w:ind w:left="182"/>
                              <w:rPr>
                                <w:rFonts w:ascii="宋体" w:hAnsi="宋体" w:cs="宋体"/>
                                <w:sz w:val="20"/>
                                <w:szCs w:val="20"/>
                              </w:rPr>
                            </w:pPr>
                            <w:r>
                              <w:rPr>
                                <w:rFonts w:hint="eastAsia" w:ascii="宋体"/>
                                <w:spacing w:val="1"/>
                                <w:w w:val="99"/>
                                <w:sz w:val="20"/>
                              </w:rPr>
                              <w:t>1</w:t>
                            </w:r>
                            <w:r>
                              <w:rPr>
                                <w:rFonts w:hint="eastAsia" w:ascii="宋体"/>
                                <w:w w:val="99"/>
                                <w:sz w:val="20"/>
                              </w:rPr>
                              <w:t>2</w:t>
                            </w:r>
                          </w:p>
                        </w:tc>
                        <w:tc>
                          <w:tcPr>
                            <w:tcW w:w="1166" w:type="dxa"/>
                            <w:tcBorders>
                              <w:top w:val="single" w:color="auto" w:sz="4" w:space="0"/>
                              <w:left w:val="single" w:color="auto" w:sz="4" w:space="0"/>
                              <w:bottom w:val="single" w:color="auto" w:sz="4" w:space="0"/>
                              <w:right w:val="single" w:color="auto" w:sz="4" w:space="0"/>
                            </w:tcBorders>
                            <w:noWrap w:val="0"/>
                            <w:vAlign w:val="top"/>
                          </w:tcPr>
                          <w:p>
                            <w:pPr>
                              <w:pStyle w:val="28"/>
                              <w:spacing w:before="8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pPr>
                              <w:pStyle w:val="28"/>
                              <w:spacing w:before="50"/>
                              <w:ind w:left="7"/>
                              <w:rPr>
                                <w:rFonts w:ascii="宋体" w:hAnsi="宋体" w:cs="宋体"/>
                                <w:sz w:val="20"/>
                                <w:szCs w:val="20"/>
                              </w:rPr>
                            </w:pPr>
                            <w:r>
                              <w:rPr>
                                <w:rFonts w:hint="eastAsia" w:ascii="宋体" w:hAnsi="宋体" w:cs="宋体"/>
                                <w:w w:val="99"/>
                                <w:sz w:val="20"/>
                                <w:szCs w:val="20"/>
                              </w:rPr>
                              <w:t>视设备</w:t>
                            </w: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28"/>
                              <w:spacing w:before="81" w:line="280"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915"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28"/>
                              <w:spacing w:before="81"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74" w:type="dxa"/>
                            <w:tcBorders>
                              <w:top w:val="single" w:color="auto" w:sz="4" w:space="0"/>
                              <w:left w:val="single" w:color="auto" w:sz="4" w:space="0"/>
                              <w:bottom w:val="single" w:color="auto" w:sz="4" w:space="0"/>
                              <w:right w:val="single" w:color="auto" w:sz="4" w:space="0"/>
                            </w:tcBorders>
                            <w:noWrap w:val="0"/>
                            <w:vAlign w:val="top"/>
                          </w:tcPr>
                          <w:p>
                            <w:pPr>
                              <w:pStyle w:val="28"/>
                              <w:rPr>
                                <w:rFonts w:ascii="宋体" w:hAnsi="宋体" w:cs="宋体"/>
                                <w:sz w:val="20"/>
                                <w:szCs w:val="20"/>
                                <w:lang w:eastAsia="zh-CN"/>
                              </w:rPr>
                            </w:pPr>
                          </w:p>
                          <w:p>
                            <w:pPr>
                              <w:pStyle w:val="28"/>
                              <w:rPr>
                                <w:rFonts w:hint="eastAsia" w:ascii="宋体" w:hAnsi="宋体" w:cs="宋体"/>
                                <w:sz w:val="20"/>
                                <w:szCs w:val="20"/>
                                <w:lang w:eastAsia="zh-CN"/>
                              </w:rPr>
                            </w:pPr>
                          </w:p>
                          <w:p>
                            <w:pPr>
                              <w:pStyle w:val="28"/>
                              <w:spacing w:before="10"/>
                              <w:rPr>
                                <w:rFonts w:hint="eastAsia" w:ascii="宋体" w:hAnsi="宋体" w:cs="宋体"/>
                                <w:sz w:val="21"/>
                                <w:szCs w:val="21"/>
                                <w:lang w:eastAsia="zh-CN"/>
                              </w:rPr>
                            </w:pPr>
                          </w:p>
                          <w:p>
                            <w:pPr>
                              <w:pStyle w:val="28"/>
                              <w:ind w:left="182"/>
                              <w:rPr>
                                <w:rFonts w:ascii="宋体" w:hAnsi="宋体" w:cs="宋体"/>
                                <w:sz w:val="20"/>
                                <w:szCs w:val="20"/>
                              </w:rPr>
                            </w:pPr>
                            <w:r>
                              <w:rPr>
                                <w:rFonts w:hint="eastAsia" w:ascii="宋体"/>
                                <w:spacing w:val="1"/>
                                <w:w w:val="99"/>
                                <w:sz w:val="20"/>
                              </w:rPr>
                              <w:t>1</w:t>
                            </w:r>
                            <w:r>
                              <w:rPr>
                                <w:rFonts w:hint="eastAsia" w:ascii="宋体"/>
                                <w:w w:val="99"/>
                                <w:sz w:val="20"/>
                              </w:rPr>
                              <w:t>3</w:t>
                            </w:r>
                          </w:p>
                        </w:tc>
                        <w:tc>
                          <w:tcPr>
                            <w:tcW w:w="1166" w:type="dxa"/>
                            <w:tcBorders>
                              <w:top w:val="single" w:color="auto" w:sz="4" w:space="0"/>
                              <w:left w:val="single" w:color="auto" w:sz="4" w:space="0"/>
                              <w:bottom w:val="single" w:color="auto" w:sz="4" w:space="0"/>
                              <w:right w:val="single" w:color="auto" w:sz="4" w:space="0"/>
                            </w:tcBorders>
                            <w:noWrap w:val="0"/>
                            <w:vAlign w:val="top"/>
                          </w:tcPr>
                          <w:p>
                            <w:pPr>
                              <w:pStyle w:val="28"/>
                              <w:rPr>
                                <w:rFonts w:ascii="宋体" w:hAnsi="宋体" w:cs="宋体"/>
                                <w:sz w:val="20"/>
                                <w:szCs w:val="20"/>
                              </w:rPr>
                            </w:pPr>
                          </w:p>
                          <w:p>
                            <w:pPr>
                              <w:pStyle w:val="28"/>
                              <w:spacing w:before="11"/>
                              <w:rPr>
                                <w:rFonts w:hint="eastAsia" w:ascii="宋体" w:hAnsi="宋体" w:cs="宋体"/>
                                <w:sz w:val="29"/>
                                <w:szCs w:val="29"/>
                              </w:rPr>
                            </w:pPr>
                          </w:p>
                          <w:p>
                            <w:pPr>
                              <w:pStyle w:val="28"/>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pPr>
                              <w:pStyle w:val="28"/>
                              <w:spacing w:before="50"/>
                              <w:ind w:left="7"/>
                              <w:rPr>
                                <w:rFonts w:ascii="宋体" w:hAnsi="宋体" w:cs="宋体"/>
                                <w:sz w:val="20"/>
                                <w:szCs w:val="20"/>
                              </w:rPr>
                            </w:pPr>
                            <w:r>
                              <w:rPr>
                                <w:rFonts w:hint="eastAsia" w:ascii="宋体" w:hAnsi="宋体" w:cs="宋体"/>
                                <w:w w:val="99"/>
                                <w:sz w:val="20"/>
                                <w:szCs w:val="20"/>
                              </w:rPr>
                              <w:t>频设备</w:t>
                            </w: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28"/>
                              <w:rPr>
                                <w:rFonts w:ascii="宋体" w:hAnsi="宋体" w:cs="宋体"/>
                                <w:sz w:val="20"/>
                                <w:szCs w:val="20"/>
                              </w:rPr>
                            </w:pPr>
                          </w:p>
                          <w:p>
                            <w:pPr>
                              <w:pStyle w:val="28"/>
                              <w:spacing w:before="11"/>
                              <w:rPr>
                                <w:rFonts w:hint="eastAsia" w:ascii="宋体" w:hAnsi="宋体" w:cs="宋体"/>
                                <w:sz w:val="29"/>
                                <w:szCs w:val="29"/>
                              </w:rPr>
                            </w:pPr>
                          </w:p>
                          <w:p>
                            <w:pPr>
                              <w:pStyle w:val="28"/>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915" w:type="dxa"/>
                            <w:tcBorders>
                              <w:top w:val="single" w:color="auto" w:sz="4" w:space="0"/>
                              <w:left w:val="single" w:color="auto" w:sz="4" w:space="0"/>
                              <w:bottom w:val="single" w:color="auto" w:sz="4" w:space="0"/>
                              <w:right w:val="single" w:color="auto" w:sz="4" w:space="0"/>
                            </w:tcBorders>
                            <w:noWrap w:val="0"/>
                            <w:vAlign w:val="top"/>
                          </w:tcPr>
                          <w:p>
                            <w:pPr>
                              <w:pStyle w:val="28"/>
                              <w:rPr>
                                <w:rFonts w:ascii="宋体" w:hAnsi="宋体" w:cs="宋体"/>
                                <w:sz w:val="20"/>
                                <w:szCs w:val="20"/>
                              </w:rPr>
                            </w:pPr>
                          </w:p>
                          <w:p>
                            <w:pPr>
                              <w:pStyle w:val="28"/>
                              <w:rPr>
                                <w:rFonts w:hint="eastAsia" w:ascii="宋体" w:hAnsi="宋体" w:cs="宋体"/>
                                <w:sz w:val="20"/>
                                <w:szCs w:val="20"/>
                              </w:rPr>
                            </w:pPr>
                          </w:p>
                          <w:p>
                            <w:pPr>
                              <w:pStyle w:val="28"/>
                              <w:spacing w:before="10"/>
                              <w:rPr>
                                <w:rFonts w:hint="eastAsia" w:ascii="宋体" w:hAnsi="宋体" w:cs="宋体"/>
                                <w:sz w:val="21"/>
                                <w:szCs w:val="21"/>
                              </w:rPr>
                            </w:pPr>
                          </w:p>
                          <w:p>
                            <w:pPr>
                              <w:pStyle w:val="28"/>
                              <w:ind w:left="7"/>
                              <w:rPr>
                                <w:rFonts w:ascii="宋体" w:hAnsi="宋体" w:cs="宋体"/>
                                <w:sz w:val="20"/>
                                <w:szCs w:val="20"/>
                              </w:rPr>
                            </w:pPr>
                            <w:r>
                              <w:rPr>
                                <w:rFonts w:hint="eastAsia" w:ascii="宋体" w:hAnsi="宋体" w:cs="宋体"/>
                                <w:w w:val="99"/>
                                <w:sz w:val="20"/>
                                <w:szCs w:val="20"/>
                              </w:rPr>
                              <w:t>监视器</w:t>
                            </w: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28"/>
                              <w:spacing w:before="28" w:line="280"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74" w:type="dxa"/>
                            <w:tcBorders>
                              <w:top w:val="single" w:color="auto" w:sz="4" w:space="0"/>
                              <w:left w:val="single" w:color="auto" w:sz="4" w:space="0"/>
                              <w:bottom w:val="single" w:color="auto" w:sz="4" w:space="0"/>
                              <w:right w:val="single" w:color="auto" w:sz="4" w:space="0"/>
                            </w:tcBorders>
                            <w:noWrap w:val="0"/>
                            <w:vAlign w:val="top"/>
                          </w:tcPr>
                          <w:p>
                            <w:pPr>
                              <w:pStyle w:val="28"/>
                              <w:spacing w:before="10"/>
                              <w:rPr>
                                <w:rFonts w:ascii="宋体" w:hAnsi="宋体" w:cs="宋体"/>
                                <w:sz w:val="17"/>
                                <w:szCs w:val="17"/>
                                <w:lang w:eastAsia="zh-CN"/>
                              </w:rPr>
                            </w:pPr>
                          </w:p>
                          <w:p>
                            <w:pPr>
                              <w:pStyle w:val="28"/>
                              <w:ind w:left="182"/>
                              <w:rPr>
                                <w:rFonts w:ascii="宋体" w:hAnsi="宋体" w:cs="宋体"/>
                                <w:sz w:val="20"/>
                                <w:szCs w:val="20"/>
                              </w:rPr>
                            </w:pPr>
                            <w:r>
                              <w:rPr>
                                <w:rFonts w:hint="eastAsia" w:ascii="宋体"/>
                                <w:spacing w:val="1"/>
                                <w:w w:val="99"/>
                                <w:sz w:val="20"/>
                              </w:rPr>
                              <w:t>1</w:t>
                            </w:r>
                            <w:r>
                              <w:rPr>
                                <w:rFonts w:hint="eastAsia" w:ascii="宋体"/>
                                <w:w w:val="99"/>
                                <w:sz w:val="20"/>
                              </w:rPr>
                              <w:t>4</w:t>
                            </w:r>
                          </w:p>
                        </w:tc>
                        <w:tc>
                          <w:tcPr>
                            <w:tcW w:w="1166" w:type="dxa"/>
                            <w:tcBorders>
                              <w:top w:val="single" w:color="auto" w:sz="4" w:space="0"/>
                              <w:left w:val="single" w:color="auto" w:sz="4" w:space="0"/>
                              <w:bottom w:val="single" w:color="auto" w:sz="4" w:space="0"/>
                              <w:right w:val="single" w:color="auto" w:sz="4" w:space="0"/>
                            </w:tcBorders>
                            <w:noWrap w:val="0"/>
                            <w:vAlign w:val="top"/>
                          </w:tcPr>
                          <w:p>
                            <w:pPr>
                              <w:pStyle w:val="28"/>
                              <w:spacing w:before="76"/>
                              <w:ind w:left="7"/>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pPr>
                              <w:pStyle w:val="28"/>
                              <w:spacing w:before="50"/>
                              <w:ind w:left="7"/>
                              <w:rPr>
                                <w:rFonts w:ascii="宋体" w:hAnsi="宋体" w:cs="宋体"/>
                                <w:sz w:val="20"/>
                                <w:szCs w:val="20"/>
                              </w:rPr>
                            </w:pPr>
                            <w:r>
                              <w:rPr>
                                <w:rFonts w:hint="eastAsia" w:ascii="宋体" w:hAnsi="宋体" w:cs="宋体"/>
                                <w:w w:val="99"/>
                                <w:sz w:val="20"/>
                                <w:szCs w:val="20"/>
                              </w:rPr>
                              <w:t>炊事机械</w:t>
                            </w: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28"/>
                              <w:spacing w:before="10"/>
                              <w:rPr>
                                <w:rFonts w:ascii="宋体" w:hAnsi="宋体" w:cs="宋体"/>
                                <w:sz w:val="17"/>
                                <w:szCs w:val="17"/>
                              </w:rPr>
                            </w:pPr>
                          </w:p>
                          <w:p>
                            <w:pPr>
                              <w:pStyle w:val="28"/>
                              <w:ind w:left="7"/>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915"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28"/>
                              <w:spacing w:before="7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pPr>
                              <w:pStyle w:val="28"/>
                              <w:rPr>
                                <w:rFonts w:ascii="宋体" w:hAnsi="宋体" w:cs="宋体"/>
                                <w:sz w:val="20"/>
                                <w:szCs w:val="20"/>
                                <w:lang w:eastAsia="zh-CN"/>
                              </w:rPr>
                            </w:pPr>
                          </w:p>
                          <w:p>
                            <w:pPr>
                              <w:pStyle w:val="28"/>
                              <w:rPr>
                                <w:rFonts w:hint="eastAsia" w:ascii="宋体" w:hAnsi="宋体" w:cs="宋体"/>
                                <w:sz w:val="20"/>
                                <w:szCs w:val="20"/>
                                <w:lang w:eastAsia="zh-CN"/>
                              </w:rPr>
                            </w:pPr>
                          </w:p>
                          <w:p>
                            <w:pPr>
                              <w:pStyle w:val="28"/>
                              <w:rPr>
                                <w:rFonts w:hint="eastAsia" w:ascii="宋体" w:hAnsi="宋体" w:cs="宋体"/>
                                <w:sz w:val="20"/>
                                <w:szCs w:val="20"/>
                                <w:lang w:eastAsia="zh-CN"/>
                              </w:rPr>
                            </w:pPr>
                          </w:p>
                          <w:p>
                            <w:pPr>
                              <w:pStyle w:val="28"/>
                              <w:spacing w:before="1"/>
                              <w:rPr>
                                <w:rFonts w:hint="eastAsia" w:ascii="宋体" w:hAnsi="宋体" w:cs="宋体"/>
                                <w:sz w:val="29"/>
                                <w:szCs w:val="29"/>
                                <w:lang w:eastAsia="zh-CN"/>
                              </w:rPr>
                            </w:pPr>
                          </w:p>
                          <w:p>
                            <w:pPr>
                              <w:pStyle w:val="28"/>
                              <w:ind w:left="182"/>
                              <w:rPr>
                                <w:rFonts w:ascii="宋体" w:hAnsi="宋体" w:cs="宋体"/>
                                <w:sz w:val="20"/>
                                <w:szCs w:val="20"/>
                              </w:rPr>
                            </w:pPr>
                            <w:r>
                              <w:rPr>
                                <w:rFonts w:hint="eastAsia" w:ascii="宋体"/>
                                <w:spacing w:val="1"/>
                                <w:w w:val="99"/>
                                <w:sz w:val="20"/>
                              </w:rPr>
                              <w:t>1</w:t>
                            </w:r>
                            <w:r>
                              <w:rPr>
                                <w:rFonts w:hint="eastAsia" w:ascii="宋体"/>
                                <w:w w:val="99"/>
                                <w:sz w:val="20"/>
                              </w:rPr>
                              <w:t>5</w:t>
                            </w: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pPr>
                              <w:pStyle w:val="28"/>
                              <w:rPr>
                                <w:rFonts w:ascii="宋体" w:hAnsi="宋体" w:cs="宋体"/>
                                <w:sz w:val="20"/>
                                <w:szCs w:val="20"/>
                              </w:rPr>
                            </w:pPr>
                          </w:p>
                          <w:p>
                            <w:pPr>
                              <w:pStyle w:val="28"/>
                              <w:rPr>
                                <w:rFonts w:hint="eastAsia" w:ascii="宋体" w:hAnsi="宋体" w:cs="宋体"/>
                                <w:sz w:val="20"/>
                                <w:szCs w:val="20"/>
                              </w:rPr>
                            </w:pPr>
                          </w:p>
                          <w:p>
                            <w:pPr>
                              <w:pStyle w:val="28"/>
                              <w:spacing w:before="9"/>
                              <w:rPr>
                                <w:rFonts w:hint="eastAsia" w:ascii="宋体" w:hAnsi="宋体" w:cs="宋体"/>
                                <w:sz w:val="17"/>
                                <w:szCs w:val="17"/>
                              </w:rPr>
                            </w:pPr>
                          </w:p>
                          <w:p>
                            <w:pPr>
                              <w:pStyle w:val="28"/>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805便</w:t>
                            </w:r>
                          </w:p>
                          <w:p>
                            <w:pPr>
                              <w:pStyle w:val="28"/>
                              <w:spacing w:before="50"/>
                              <w:ind w:left="7"/>
                              <w:rPr>
                                <w:rFonts w:ascii="宋体" w:hAnsi="宋体" w:cs="宋体"/>
                                <w:sz w:val="20"/>
                                <w:szCs w:val="20"/>
                              </w:rPr>
                            </w:pPr>
                            <w:r>
                              <w:rPr>
                                <w:rFonts w:hint="eastAsia" w:ascii="宋体" w:hAnsi="宋体" w:cs="宋体"/>
                                <w:w w:val="99"/>
                                <w:sz w:val="20"/>
                                <w:szCs w:val="20"/>
                              </w:rPr>
                              <w:t>器</w:t>
                            </w: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28"/>
                              <w:spacing w:before="5"/>
                              <w:rPr>
                                <w:rFonts w:ascii="宋体" w:hAnsi="宋体" w:cs="宋体"/>
                                <w:sz w:val="21"/>
                                <w:szCs w:val="21"/>
                              </w:rPr>
                            </w:pPr>
                          </w:p>
                          <w:p>
                            <w:pPr>
                              <w:pStyle w:val="28"/>
                              <w:ind w:left="7"/>
                              <w:rPr>
                                <w:rFonts w:ascii="宋体" w:hAnsi="宋体" w:cs="宋体"/>
                                <w:sz w:val="20"/>
                                <w:szCs w:val="20"/>
                              </w:rPr>
                            </w:pPr>
                            <w:r>
                              <w:rPr>
                                <w:rFonts w:hint="eastAsia" w:ascii="宋体" w:hAnsi="宋体" w:cs="宋体"/>
                                <w:w w:val="99"/>
                                <w:sz w:val="20"/>
                                <w:szCs w:val="20"/>
                              </w:rPr>
                              <w:t>坐便器</w:t>
                            </w:r>
                          </w:p>
                        </w:tc>
                        <w:tc>
                          <w:tcPr>
                            <w:tcW w:w="1915"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28"/>
                              <w:spacing w:before="124"/>
                              <w:ind w:left="7"/>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pPr>
                              <w:pStyle w:val="28"/>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kern w:val="0"/>
                                <w:sz w:val="20"/>
                                <w:szCs w:val="20"/>
                                <w:lang w:eastAsia="en-US"/>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kern w:val="0"/>
                                <w:sz w:val="20"/>
                                <w:szCs w:val="20"/>
                                <w:lang w:eastAsia="en-US"/>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28"/>
                              <w:spacing w:before="5"/>
                              <w:rPr>
                                <w:rFonts w:ascii="宋体" w:hAnsi="宋体" w:cs="宋体"/>
                                <w:sz w:val="21"/>
                                <w:szCs w:val="21"/>
                              </w:rPr>
                            </w:pPr>
                          </w:p>
                          <w:p>
                            <w:pPr>
                              <w:pStyle w:val="28"/>
                              <w:ind w:left="7"/>
                              <w:rPr>
                                <w:rFonts w:ascii="宋体" w:hAnsi="宋体" w:cs="宋体"/>
                                <w:sz w:val="20"/>
                                <w:szCs w:val="20"/>
                              </w:rPr>
                            </w:pPr>
                            <w:r>
                              <w:rPr>
                                <w:rFonts w:hint="eastAsia" w:ascii="宋体" w:hAnsi="宋体" w:cs="宋体"/>
                                <w:w w:val="99"/>
                                <w:sz w:val="20"/>
                                <w:szCs w:val="20"/>
                              </w:rPr>
                              <w:t>蹲便器</w:t>
                            </w:r>
                          </w:p>
                        </w:tc>
                        <w:tc>
                          <w:tcPr>
                            <w:tcW w:w="1915"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28"/>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28"/>
                              <w:spacing w:before="5"/>
                              <w:rPr>
                                <w:rFonts w:ascii="宋体" w:hAnsi="宋体" w:cs="宋体"/>
                                <w:sz w:val="21"/>
                                <w:szCs w:val="21"/>
                                <w:lang w:eastAsia="zh-CN"/>
                              </w:rPr>
                            </w:pPr>
                          </w:p>
                          <w:p>
                            <w:pPr>
                              <w:pStyle w:val="28"/>
                              <w:ind w:left="7"/>
                              <w:rPr>
                                <w:rFonts w:ascii="宋体" w:hAnsi="宋体" w:cs="宋体"/>
                                <w:sz w:val="20"/>
                                <w:szCs w:val="20"/>
                              </w:rPr>
                            </w:pPr>
                            <w:r>
                              <w:rPr>
                                <w:rFonts w:hint="eastAsia" w:ascii="宋体" w:hAnsi="宋体" w:cs="宋体"/>
                                <w:w w:val="99"/>
                                <w:sz w:val="20"/>
                                <w:szCs w:val="20"/>
                              </w:rPr>
                              <w:t>小便器</w:t>
                            </w:r>
                          </w:p>
                        </w:tc>
                        <w:tc>
                          <w:tcPr>
                            <w:tcW w:w="1915"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28"/>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pPr>
                        <w:rPr>
                          <w:rFonts w:ascii="Calibri" w:hAnsi="Calibri"/>
                          <w:sz w:val="22"/>
                          <w:szCs w:val="22"/>
                        </w:rPr>
                      </w:pPr>
                    </w:p>
                  </w:txbxContent>
                </v:textbox>
              </v:shape>
            </w:pict>
          </mc:Fallback>
        </mc:AlternateContent>
      </w:r>
    </w:p>
    <w:p>
      <w:pPr>
        <w:rPr>
          <w:rFonts w:hint="eastAsia" w:ascii="宋体" w:hAnsi="宋体" w:cs="宋体"/>
          <w:sz w:val="20"/>
          <w:szCs w:val="20"/>
        </w:rPr>
      </w:pPr>
    </w:p>
    <w:p>
      <w:pPr>
        <w:rPr>
          <w:rFonts w:hint="eastAsia" w:ascii="宋体" w:hAnsi="宋体" w:cs="宋体"/>
          <w:sz w:val="20"/>
          <w:szCs w:val="20"/>
        </w:rPr>
      </w:pPr>
    </w:p>
    <w:p>
      <w:pPr>
        <w:spacing w:before="13"/>
        <w:rPr>
          <w:rFonts w:hint="eastAsia" w:ascii="宋体" w:hAnsi="宋体" w:cs="宋体"/>
          <w:sz w:val="24"/>
        </w:rPr>
      </w:pPr>
    </w:p>
    <w:p>
      <w:pPr>
        <w:spacing w:before="37"/>
        <w:ind w:right="150"/>
        <w:jc w:val="right"/>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spacing w:before="8"/>
        <w:rPr>
          <w:rFonts w:hint="eastAsia" w:ascii="宋体" w:hAnsi="宋体" w:cs="宋体"/>
          <w:sz w:val="25"/>
          <w:szCs w:val="25"/>
        </w:rPr>
      </w:pPr>
    </w:p>
    <w:p>
      <w:pPr>
        <w:spacing w:before="37"/>
        <w:ind w:right="102"/>
        <w:jc w:val="right"/>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rPr>
          <w:rFonts w:hint="eastAsia" w:ascii="宋体" w:hAnsi="宋体" w:cs="宋体"/>
          <w:sz w:val="20"/>
          <w:szCs w:val="20"/>
        </w:rPr>
      </w:pPr>
    </w:p>
    <w:p>
      <w:pPr>
        <w:spacing w:before="3"/>
        <w:rPr>
          <w:rFonts w:hint="eastAsia" w:ascii="宋体" w:hAnsi="宋体" w:cs="宋体"/>
          <w:sz w:val="29"/>
          <w:szCs w:val="29"/>
        </w:rPr>
      </w:pPr>
    </w:p>
    <w:p>
      <w:pPr>
        <w:spacing w:before="37"/>
        <w:ind w:right="150"/>
        <w:jc w:val="right"/>
        <w:rPr>
          <w:rFonts w:hint="eastAsia" w:ascii="宋体" w:hAnsi="宋体" w:cs="宋体"/>
          <w:sz w:val="20"/>
          <w:szCs w:val="20"/>
        </w:rPr>
      </w:pPr>
    </w:p>
    <w:p>
      <w:pPr>
        <w:widowControl/>
        <w:jc w:val="left"/>
        <w:rPr>
          <w:rFonts w:ascii="宋体" w:hAnsi="宋体" w:cs="宋体"/>
          <w:sz w:val="20"/>
          <w:szCs w:val="20"/>
        </w:rPr>
      </w:pPr>
    </w:p>
    <w:p>
      <w:pPr>
        <w:widowControl/>
        <w:jc w:val="left"/>
        <w:rPr>
          <w:rFonts w:ascii="宋体" w:hAnsi="宋体" w:cs="宋体"/>
          <w:sz w:val="20"/>
          <w:szCs w:val="20"/>
        </w:rPr>
      </w:pPr>
      <w:r>
        <w:rPr>
          <w:rFonts w:ascii="宋体" w:hAnsi="宋体" w:cs="宋体"/>
          <w:sz w:val="20"/>
          <w:szCs w:val="20"/>
        </w:rPr>
        <w:br w:type="page"/>
      </w:r>
    </w:p>
    <w:tbl>
      <w:tblPr>
        <w:tblStyle w:val="21"/>
        <w:tblW w:w="0" w:type="auto"/>
        <w:tblInd w:w="626" w:type="dxa"/>
        <w:tblLayout w:type="fixed"/>
        <w:tblCellMar>
          <w:top w:w="0" w:type="dxa"/>
          <w:left w:w="0" w:type="dxa"/>
          <w:bottom w:w="0" w:type="dxa"/>
          <w:right w:w="0" w:type="dxa"/>
        </w:tblCellMar>
      </w:tblPr>
      <w:tblGrid>
        <w:gridCol w:w="574"/>
        <w:gridCol w:w="1166"/>
        <w:gridCol w:w="1800"/>
        <w:gridCol w:w="1915"/>
        <w:gridCol w:w="2966"/>
      </w:tblGrid>
      <w:tr>
        <w:tblPrEx>
          <w:tblCellMar>
            <w:top w:w="0" w:type="dxa"/>
            <w:left w:w="0" w:type="dxa"/>
            <w:bottom w:w="0" w:type="dxa"/>
            <w:right w:w="0" w:type="dxa"/>
          </w:tblCellMar>
        </w:tblPrEx>
        <w:trPr>
          <w:trHeight w:val="943"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8"/>
              <w:rPr>
                <w:rFonts w:ascii="宋体" w:hAnsi="宋体" w:cs="宋体"/>
                <w:sz w:val="23"/>
                <w:szCs w:val="23"/>
                <w:lang w:eastAsia="zh-CN"/>
              </w:rPr>
            </w:pPr>
          </w:p>
          <w:p>
            <w:pPr>
              <w:pStyle w:val="28"/>
              <w:ind w:left="182"/>
              <w:rPr>
                <w:rFonts w:ascii="宋体" w:hAnsi="宋体" w:cs="宋体"/>
                <w:sz w:val="20"/>
                <w:szCs w:val="20"/>
              </w:rPr>
            </w:pPr>
            <w:r>
              <w:rPr>
                <w:rFonts w:hint="eastAsia" w:ascii="宋体"/>
                <w:sz w:val="20"/>
              </w:rPr>
              <w:t>16</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153"/>
              <w:ind w:left="7"/>
              <w:rPr>
                <w:rFonts w:ascii="宋体" w:hAnsi="宋体" w:cs="宋体"/>
                <w:sz w:val="20"/>
                <w:szCs w:val="20"/>
              </w:rPr>
            </w:pPr>
            <w:r>
              <w:rPr>
                <w:rFonts w:hint="eastAsia" w:ascii="宋体" w:hAnsi="宋体" w:cs="宋体"/>
                <w:sz w:val="20"/>
                <w:szCs w:val="20"/>
              </w:rPr>
              <w:t>★A060806水</w:t>
            </w:r>
          </w:p>
          <w:p>
            <w:pPr>
              <w:pStyle w:val="28"/>
              <w:spacing w:before="50"/>
              <w:ind w:left="7"/>
              <w:rPr>
                <w:rFonts w:ascii="宋体" w:hAnsi="宋体" w:cs="宋体"/>
                <w:sz w:val="20"/>
                <w:szCs w:val="20"/>
              </w:rPr>
            </w:pPr>
            <w:r>
              <w:rPr>
                <w:rFonts w:hint="eastAsia" w:ascii="宋体" w:hAnsi="宋体" w:cs="宋体"/>
                <w:w w:val="99"/>
                <w:sz w:val="20"/>
                <w:szCs w:val="20"/>
              </w:rPr>
              <w:t>嘴</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153" w:line="280" w:lineRule="auto"/>
              <w:ind w:left="7" w:right="4"/>
              <w:rPr>
                <w:rFonts w:ascii="宋体" w:hAnsi="宋体" w:cs="宋体"/>
                <w:sz w:val="20"/>
                <w:szCs w:val="20"/>
                <w:lang w:eastAsia="zh-CN"/>
              </w:rPr>
            </w:pPr>
            <w:r>
              <w:rPr>
                <w:rFonts w:hint="eastAsia" w:ascii="宋体" w:hAnsi="宋体" w:cs="宋体"/>
                <w:spacing w:val="10"/>
                <w:sz w:val="20"/>
                <w:szCs w:val="20"/>
                <w:lang w:eastAsia="zh-CN"/>
              </w:rPr>
              <w:t>《水嘴用水效率限定值及用水效</w:t>
            </w:r>
            <w:r>
              <w:rPr>
                <w:rFonts w:hint="eastAsia" w:ascii="宋体" w:hAnsi="宋体" w:cs="宋体"/>
                <w:sz w:val="20"/>
                <w:szCs w:val="20"/>
                <w:lang w:eastAsia="zh-CN"/>
              </w:rPr>
              <w:t>率等级》（GB 25501）</w:t>
            </w:r>
          </w:p>
        </w:tc>
      </w:tr>
      <w:tr>
        <w:tblPrEx>
          <w:tblCellMar>
            <w:top w:w="0" w:type="dxa"/>
            <w:left w:w="0" w:type="dxa"/>
            <w:bottom w:w="0" w:type="dxa"/>
            <w:right w:w="0" w:type="dxa"/>
          </w:tblCellMar>
        </w:tblPrEx>
        <w:trPr>
          <w:trHeight w:val="86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6"/>
              <w:rPr>
                <w:rFonts w:ascii="宋体" w:hAnsi="宋体" w:cs="宋体"/>
                <w:sz w:val="20"/>
                <w:szCs w:val="20"/>
                <w:lang w:eastAsia="zh-CN"/>
              </w:rPr>
            </w:pPr>
          </w:p>
          <w:p>
            <w:pPr>
              <w:pStyle w:val="28"/>
              <w:ind w:left="182"/>
              <w:rPr>
                <w:rFonts w:ascii="宋体" w:hAnsi="宋体" w:cs="宋体"/>
                <w:sz w:val="20"/>
                <w:szCs w:val="20"/>
              </w:rPr>
            </w:pPr>
            <w:r>
              <w:rPr>
                <w:rFonts w:hint="eastAsia" w:ascii="宋体"/>
                <w:sz w:val="20"/>
              </w:rPr>
              <w:t>17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112"/>
              <w:ind w:left="7"/>
              <w:rPr>
                <w:rFonts w:ascii="宋体" w:hAnsi="宋体" w:cs="宋体"/>
                <w:sz w:val="20"/>
                <w:szCs w:val="20"/>
              </w:rPr>
            </w:pPr>
            <w:r>
              <w:rPr>
                <w:rFonts w:hint="eastAsia" w:ascii="宋体" w:hAnsi="宋体" w:cs="宋体"/>
                <w:sz w:val="20"/>
                <w:szCs w:val="20"/>
              </w:rPr>
              <w:t>A060807便器</w:t>
            </w:r>
          </w:p>
          <w:p>
            <w:pPr>
              <w:pStyle w:val="28"/>
              <w:spacing w:before="50"/>
              <w:ind w:left="7"/>
              <w:rPr>
                <w:rFonts w:ascii="宋体" w:hAnsi="宋体" w:cs="宋体"/>
                <w:sz w:val="20"/>
                <w:szCs w:val="20"/>
              </w:rPr>
            </w:pPr>
            <w:r>
              <w:rPr>
                <w:rFonts w:hint="eastAsia" w:ascii="宋体" w:hAnsi="宋体" w:cs="宋体"/>
                <w:sz w:val="20"/>
                <w:szCs w:val="20"/>
              </w:rPr>
              <w:t>冲洗阀</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112" w:line="280" w:lineRule="auto"/>
              <w:ind w:left="7" w:right="4"/>
              <w:rPr>
                <w:rFonts w:ascii="宋体" w:hAnsi="宋体" w:cs="宋体"/>
                <w:sz w:val="20"/>
                <w:szCs w:val="20"/>
                <w:lang w:eastAsia="zh-CN"/>
              </w:rPr>
            </w:pPr>
            <w:r>
              <w:rPr>
                <w:rFonts w:hint="eastAsia" w:ascii="宋体" w:hAnsi="宋体" w:cs="宋体"/>
                <w:spacing w:val="10"/>
                <w:sz w:val="20"/>
                <w:szCs w:val="20"/>
                <w:lang w:eastAsia="zh-CN"/>
              </w:rPr>
              <w:t>《便器冲洗阀用水效率限定值及</w:t>
            </w:r>
            <w:r>
              <w:rPr>
                <w:rFonts w:hint="eastAsia" w:ascii="宋体" w:hAnsi="宋体" w:cs="宋体"/>
                <w:sz w:val="20"/>
                <w:szCs w:val="20"/>
                <w:lang w:eastAsia="zh-CN"/>
              </w:rPr>
              <w:t>用水效率等级》（GB28379）</w:t>
            </w:r>
          </w:p>
        </w:tc>
      </w:tr>
      <w:tr>
        <w:tblPrEx>
          <w:tblCellMar>
            <w:top w:w="0" w:type="dxa"/>
            <w:left w:w="0" w:type="dxa"/>
            <w:bottom w:w="0" w:type="dxa"/>
            <w:right w:w="0" w:type="dxa"/>
          </w:tblCellMar>
        </w:tblPrEx>
        <w:trPr>
          <w:trHeight w:val="90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12"/>
              <w:rPr>
                <w:rFonts w:ascii="宋体" w:hAnsi="宋体" w:cs="宋体"/>
                <w:sz w:val="21"/>
                <w:szCs w:val="21"/>
                <w:lang w:eastAsia="zh-CN"/>
              </w:rPr>
            </w:pPr>
          </w:p>
          <w:p>
            <w:pPr>
              <w:pStyle w:val="28"/>
              <w:ind w:left="182"/>
              <w:rPr>
                <w:rFonts w:ascii="宋体" w:hAnsi="宋体" w:cs="宋体"/>
                <w:sz w:val="20"/>
                <w:szCs w:val="20"/>
              </w:rPr>
            </w:pPr>
            <w:r>
              <w:rPr>
                <w:rFonts w:hint="eastAsia" w:ascii="宋体"/>
                <w:sz w:val="20"/>
              </w:rPr>
              <w:t>18</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131"/>
              <w:ind w:left="7"/>
              <w:rPr>
                <w:rFonts w:ascii="宋体" w:hAnsi="宋体" w:cs="宋体"/>
                <w:sz w:val="20"/>
                <w:szCs w:val="20"/>
              </w:rPr>
            </w:pPr>
            <w:r>
              <w:rPr>
                <w:rFonts w:hint="eastAsia" w:ascii="宋体" w:hAnsi="宋体" w:cs="宋体"/>
                <w:sz w:val="20"/>
                <w:szCs w:val="20"/>
              </w:rPr>
              <w:t>A060810淋浴</w:t>
            </w:r>
          </w:p>
          <w:p>
            <w:pPr>
              <w:pStyle w:val="28"/>
              <w:spacing w:before="50"/>
              <w:ind w:left="7"/>
              <w:rPr>
                <w:rFonts w:ascii="宋体" w:hAnsi="宋体" w:cs="宋体"/>
                <w:sz w:val="20"/>
                <w:szCs w:val="20"/>
              </w:rPr>
            </w:pPr>
            <w:r>
              <w:rPr>
                <w:rFonts w:hint="eastAsia" w:ascii="宋体" w:hAnsi="宋体" w:cs="宋体"/>
                <w:w w:val="99"/>
                <w:sz w:val="20"/>
                <w:szCs w:val="20"/>
              </w:rPr>
              <w:t>器</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131" w:line="280" w:lineRule="auto"/>
              <w:ind w:left="7" w:right="4"/>
              <w:rPr>
                <w:rFonts w:ascii="宋体" w:hAnsi="宋体" w:cs="宋体"/>
                <w:sz w:val="20"/>
                <w:szCs w:val="20"/>
                <w:lang w:eastAsia="zh-CN"/>
              </w:rPr>
            </w:pPr>
            <w:r>
              <w:rPr>
                <w:rFonts w:hint="eastAsia" w:ascii="宋体" w:hAnsi="宋体" w:cs="宋体"/>
                <w:spacing w:val="10"/>
                <w:sz w:val="20"/>
                <w:szCs w:val="20"/>
                <w:lang w:eastAsia="zh-CN"/>
              </w:rPr>
              <w:t>《淋浴器用水效率限定值及用水</w:t>
            </w:r>
            <w:r>
              <w:rPr>
                <w:rFonts w:hint="eastAsia" w:ascii="宋体" w:hAnsi="宋体" w:cs="宋体"/>
                <w:sz w:val="20"/>
                <w:szCs w:val="20"/>
                <w:lang w:eastAsia="zh-CN"/>
              </w:rPr>
              <w:t>效率等级》（GB28378）</w:t>
            </w:r>
          </w:p>
        </w:tc>
      </w:tr>
    </w:tbl>
    <w:p>
      <w:pPr>
        <w:pStyle w:val="10"/>
        <w:spacing w:line="360" w:lineRule="auto"/>
        <w:rPr>
          <w:rFonts w:hint="eastAsia"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pPr>
        <w:pStyle w:val="14"/>
        <w:jc w:val="left"/>
        <w:rPr>
          <w:rFonts w:hint="eastAsia" w:ascii="Arial Unicode MS" w:hAnsi="Arial Unicode MS" w:eastAsia="Arial Unicode MS" w:cs="Arial Unicode MS"/>
          <w:sz w:val="32"/>
          <w:szCs w:val="32"/>
        </w:rPr>
      </w:pPr>
      <w:r>
        <w:rPr>
          <w:rFonts w:hint="eastAsia" w:hAnsi="宋体"/>
        </w:rPr>
        <w:t xml:space="preserve">    </w:t>
      </w:r>
      <w:r>
        <w:t>2.</w:t>
      </w:r>
      <w:r>
        <w:rPr>
          <w:rFonts w:hint="eastAsia"/>
        </w:rPr>
        <w:t>以</w:t>
      </w:r>
      <w:r>
        <w:t>“</w:t>
      </w:r>
      <w:r>
        <w:rPr>
          <w:rFonts w:hint="eastAsia" w:ascii="宋体" w:hAnsi="宋体" w:cs="宋体"/>
          <w:sz w:val="20"/>
          <w:szCs w:val="20"/>
        </w:rPr>
        <w:t>★</w:t>
      </w:r>
      <w:r>
        <w:t>”</w:t>
      </w:r>
      <w:r>
        <w:rPr>
          <w:rFonts w:hint="eastAsia"/>
        </w:rPr>
        <w:t>标注的为政府强制采购产品。</w:t>
      </w:r>
      <w:r>
        <w:br w:type="page"/>
      </w:r>
      <w:r>
        <w:rPr>
          <w:rFonts w:hint="eastAsia" w:ascii="Arial Unicode MS" w:hAnsi="Arial Unicode MS" w:eastAsia="Arial Unicode MS" w:cs="Arial Unicode MS"/>
          <w:sz w:val="32"/>
          <w:szCs w:val="32"/>
        </w:rPr>
        <w:t>附件2：</w:t>
      </w:r>
    </w:p>
    <w:p>
      <w:pPr>
        <w:spacing w:line="528" w:lineRule="exact"/>
        <w:ind w:left="1871"/>
        <w:rPr>
          <w:rFonts w:hint="eastAsia" w:ascii="Arial Unicode MS" w:hAnsi="Arial Unicode MS" w:eastAsia="Arial Unicode MS" w:cs="Arial Unicode MS"/>
          <w:sz w:val="40"/>
          <w:szCs w:val="40"/>
        </w:rPr>
      </w:pPr>
      <w:r>
        <w:rPr>
          <w:rFonts w:hint="eastAsia" w:ascii="Arial Unicode MS" w:hAnsi="Arial Unicode MS" w:eastAsia="Arial Unicode MS" w:cs="Arial Unicode MS"/>
          <w:sz w:val="40"/>
          <w:szCs w:val="40"/>
        </w:rPr>
        <w:t>中小微企业划型标准</w:t>
      </w:r>
    </w:p>
    <w:tbl>
      <w:tblPr>
        <w:tblStyle w:val="21"/>
        <w:tblW w:w="9497" w:type="dxa"/>
        <w:tblInd w:w="250" w:type="dxa"/>
        <w:tblLayout w:type="fixed"/>
        <w:tblCellMar>
          <w:top w:w="0" w:type="dxa"/>
          <w:left w:w="108" w:type="dxa"/>
          <w:bottom w:w="0" w:type="dxa"/>
          <w:right w:w="108" w:type="dxa"/>
        </w:tblCellMar>
      </w:tblPr>
      <w:tblGrid>
        <w:gridCol w:w="1985"/>
        <w:gridCol w:w="1984"/>
        <w:gridCol w:w="851"/>
        <w:gridCol w:w="1842"/>
        <w:gridCol w:w="1701"/>
        <w:gridCol w:w="1134"/>
      </w:tblGrid>
      <w:tr>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984"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1842"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微型</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pPr>
        <w:spacing w:line="560" w:lineRule="exact"/>
        <w:ind w:firstLine="525" w:firstLineChars="250"/>
        <w:rPr>
          <w:rFonts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pPr>
        <w:pStyle w:val="14"/>
        <w:jc w:val="center"/>
        <w:outlineLvl w:val="0"/>
        <w:rPr>
          <w:rFonts w:hAnsi="宋体"/>
        </w:rPr>
        <w:sectPr>
          <w:pgSz w:w="11906" w:h="16838"/>
          <w:pgMar w:top="1134" w:right="1134" w:bottom="1134" w:left="1134" w:header="720" w:footer="720" w:gutter="0"/>
          <w:cols w:space="720" w:num="1"/>
          <w:docGrid w:type="lines" w:linePitch="331" w:charSpace="0"/>
        </w:sectPr>
      </w:pPr>
    </w:p>
    <w:p>
      <w:pPr>
        <w:pStyle w:val="3"/>
        <w:jc w:val="center"/>
        <w:rPr>
          <w:rFonts w:hint="eastAsia"/>
        </w:rPr>
      </w:pPr>
      <w:bookmarkStart w:id="42" w:name="_Toc80205922"/>
      <w:r>
        <w:rPr>
          <w:rFonts w:hint="eastAsia" w:ascii="Cambria" w:hAnsi="Cambria"/>
          <w:bCs w:val="0"/>
          <w:sz w:val="32"/>
          <w:szCs w:val="32"/>
        </w:rPr>
        <w:t>第三章 供应商须知</w:t>
      </w:r>
      <w:bookmarkEnd w:id="42"/>
    </w:p>
    <w:p>
      <w:pPr>
        <w:pStyle w:val="4"/>
        <w:jc w:val="center"/>
        <w:rPr>
          <w:rFonts w:hint="eastAsia" w:ascii="宋体" w:hAnsi="宋体"/>
          <w:b w:val="0"/>
        </w:rPr>
      </w:pPr>
      <w:bookmarkStart w:id="43" w:name="_Toc80205923"/>
      <w:r>
        <w:rPr>
          <w:rFonts w:hint="eastAsia" w:ascii="宋体" w:hAnsi="宋体"/>
          <w:b w:val="0"/>
        </w:rPr>
        <w:t>第一节 供应商须知前附表</w:t>
      </w:r>
      <w:bookmarkEnd w:id="43"/>
    </w:p>
    <w:p>
      <w:pPr>
        <w:spacing w:line="400" w:lineRule="exact"/>
        <w:jc w:val="center"/>
        <w:rPr>
          <w:rFonts w:hint="eastAsia" w:ascii="宋体" w:hAnsi="宋体"/>
          <w:b/>
          <w:sz w:val="32"/>
          <w:szCs w:val="32"/>
        </w:rPr>
      </w:pPr>
    </w:p>
    <w:tbl>
      <w:tblPr>
        <w:tblStyle w:val="21"/>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6"/>
        <w:gridCol w:w="6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vAlign w:val="top"/>
          </w:tcPr>
          <w:p>
            <w:pPr>
              <w:spacing w:line="360" w:lineRule="auto"/>
              <w:jc w:val="center"/>
              <w:rPr>
                <w:rFonts w:hint="eastAsia" w:ascii="宋体" w:hAnsi="宋体" w:cs="宋体"/>
                <w:b/>
                <w:szCs w:val="21"/>
              </w:rPr>
            </w:pPr>
            <w:r>
              <w:rPr>
                <w:rFonts w:hint="eastAsia" w:ascii="宋体" w:hAnsi="宋体" w:cs="宋体"/>
                <w:b/>
                <w:szCs w:val="21"/>
              </w:rPr>
              <w:t>条款号</w:t>
            </w:r>
          </w:p>
        </w:tc>
        <w:tc>
          <w:tcPr>
            <w:tcW w:w="2786" w:type="dxa"/>
            <w:vAlign w:val="center"/>
          </w:tcPr>
          <w:p>
            <w:pPr>
              <w:spacing w:line="360" w:lineRule="auto"/>
              <w:jc w:val="center"/>
              <w:rPr>
                <w:rFonts w:hint="eastAsia" w:ascii="宋体" w:hAnsi="宋体" w:cs="宋体"/>
                <w:b/>
                <w:szCs w:val="21"/>
              </w:rPr>
            </w:pPr>
            <w:r>
              <w:rPr>
                <w:rFonts w:hint="eastAsia" w:ascii="宋体" w:hAnsi="宋体" w:cs="宋体"/>
                <w:b/>
                <w:szCs w:val="21"/>
              </w:rPr>
              <w:t>条款内容</w:t>
            </w:r>
          </w:p>
        </w:tc>
        <w:tc>
          <w:tcPr>
            <w:tcW w:w="6853" w:type="dxa"/>
            <w:vAlign w:val="top"/>
          </w:tcPr>
          <w:p>
            <w:pPr>
              <w:spacing w:line="360" w:lineRule="auto"/>
              <w:jc w:val="center"/>
              <w:rPr>
                <w:rFonts w:hint="eastAsia" w:ascii="宋体" w:hAnsi="宋体" w:cs="宋体"/>
                <w:b/>
                <w:szCs w:val="21"/>
              </w:rPr>
            </w:pPr>
            <w:r>
              <w:rPr>
                <w:rFonts w:hint="eastAsia" w:ascii="宋体" w:hAnsi="宋体" w:cs="宋体"/>
                <w:b/>
                <w:szCs w:val="21"/>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vAlign w:val="top"/>
          </w:tcPr>
          <w:p>
            <w:pPr>
              <w:spacing w:line="360" w:lineRule="auto"/>
              <w:rPr>
                <w:rFonts w:hint="eastAsia" w:ascii="宋体" w:hAnsi="宋体" w:cs="宋体"/>
                <w:szCs w:val="21"/>
              </w:rPr>
            </w:pPr>
            <w:r>
              <w:rPr>
                <w:rFonts w:hint="eastAsia" w:ascii="宋体" w:hAnsi="宋体" w:cs="宋体"/>
                <w:szCs w:val="21"/>
              </w:rPr>
              <w:t>3.1</w:t>
            </w:r>
          </w:p>
        </w:tc>
        <w:tc>
          <w:tcPr>
            <w:tcW w:w="2786" w:type="dxa"/>
            <w:vAlign w:val="center"/>
          </w:tcPr>
          <w:p>
            <w:pPr>
              <w:spacing w:line="360" w:lineRule="auto"/>
              <w:jc w:val="center"/>
              <w:rPr>
                <w:rFonts w:hint="eastAsia" w:ascii="宋体" w:hAnsi="宋体" w:cs="宋体"/>
                <w:szCs w:val="21"/>
              </w:rPr>
            </w:pPr>
            <w:r>
              <w:rPr>
                <w:rFonts w:hint="eastAsia" w:ascii="宋体" w:hAnsi="宋体" w:cs="宋体"/>
                <w:szCs w:val="21"/>
              </w:rPr>
              <w:t>供应商资格条件</w:t>
            </w:r>
          </w:p>
        </w:tc>
        <w:tc>
          <w:tcPr>
            <w:tcW w:w="6853" w:type="dxa"/>
            <w:vAlign w:val="top"/>
          </w:tcPr>
          <w:p>
            <w:pPr>
              <w:spacing w:line="400" w:lineRule="exact"/>
              <w:rPr>
                <w:rFonts w:hint="eastAsia" w:ascii="宋体" w:hAnsi="宋体" w:cs="宋体"/>
                <w:b/>
                <w:szCs w:val="21"/>
              </w:rPr>
            </w:pPr>
            <w:r>
              <w:rPr>
                <w:rFonts w:hint="eastAsia" w:ascii="宋体" w:hAnsi="宋体"/>
                <w:szCs w:val="21"/>
              </w:rPr>
              <w:t xml:space="preserve">供应商资格条件要求详见公告.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jc w:val="center"/>
        </w:trPr>
        <w:tc>
          <w:tcPr>
            <w:tcW w:w="725" w:type="dxa"/>
            <w:vAlign w:val="center"/>
          </w:tcPr>
          <w:p>
            <w:pPr>
              <w:spacing w:line="360" w:lineRule="auto"/>
              <w:jc w:val="both"/>
              <w:rPr>
                <w:rFonts w:hint="eastAsia" w:ascii="宋体" w:hAnsi="宋体" w:cs="宋体"/>
                <w:szCs w:val="21"/>
              </w:rPr>
            </w:pPr>
            <w:r>
              <w:rPr>
                <w:rFonts w:hint="eastAsia" w:ascii="宋体" w:hAnsi="宋体" w:cs="宋体"/>
                <w:szCs w:val="21"/>
              </w:rPr>
              <w:t>5.1</w:t>
            </w:r>
          </w:p>
        </w:tc>
        <w:tc>
          <w:tcPr>
            <w:tcW w:w="2786" w:type="dxa"/>
            <w:vAlign w:val="center"/>
          </w:tcPr>
          <w:p>
            <w:pPr>
              <w:spacing w:line="360" w:lineRule="auto"/>
              <w:jc w:val="center"/>
              <w:rPr>
                <w:rFonts w:hint="eastAsia" w:ascii="宋体" w:hAnsi="宋体" w:cs="宋体"/>
                <w:szCs w:val="21"/>
              </w:rPr>
            </w:pPr>
            <w:r>
              <w:rPr>
                <w:rFonts w:hint="eastAsia" w:ascii="宋体" w:hAnsi="宋体" w:cs="宋体"/>
                <w:szCs w:val="21"/>
              </w:rPr>
              <w:t>是否接受联合体竞标</w:t>
            </w:r>
          </w:p>
        </w:tc>
        <w:tc>
          <w:tcPr>
            <w:tcW w:w="6853" w:type="dxa"/>
            <w:vAlign w:val="center"/>
          </w:tcPr>
          <w:p>
            <w:pPr>
              <w:spacing w:line="360" w:lineRule="auto"/>
              <w:rPr>
                <w:rFonts w:hint="eastAsia" w:ascii="宋体" w:hAnsi="宋体" w:cs="宋体"/>
                <w:szCs w:val="21"/>
              </w:rPr>
            </w:pPr>
            <w:bookmarkStart w:id="44" w:name="PO_3000001871_PM007_1"/>
            <w:r>
              <w:rPr>
                <w:rFonts w:hint="eastAsia" w:ascii="宋体" w:hAnsi="宋体"/>
                <w:color w:val="000000"/>
                <w:szCs w:val="21"/>
                <w:lang w:eastAsia="zh-CN"/>
              </w:rPr>
              <w:t>分标1:不允许联合体投标</w:t>
            </w:r>
            <w:bookmarkEnd w:id="44"/>
            <w:r>
              <w:rPr>
                <w:rFonts w:hint="eastAsia" w:ascii="宋体" w:hAnsi="宋体"/>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pPr>
              <w:spacing w:line="360" w:lineRule="auto"/>
              <w:jc w:val="center"/>
              <w:rPr>
                <w:rFonts w:hint="eastAsia" w:ascii="宋体" w:hAnsi="宋体" w:cs="宋体"/>
                <w:szCs w:val="21"/>
              </w:rPr>
            </w:pPr>
            <w:r>
              <w:rPr>
                <w:rFonts w:hint="eastAsia" w:ascii="宋体" w:hAnsi="宋体" w:cs="宋体"/>
                <w:szCs w:val="21"/>
              </w:rPr>
              <w:t>5</w:t>
            </w:r>
            <w:r>
              <w:rPr>
                <w:rFonts w:ascii="宋体" w:hAnsi="宋体" w:cs="宋体"/>
                <w:szCs w:val="21"/>
              </w:rPr>
              <w:t>.2</w:t>
            </w:r>
          </w:p>
        </w:tc>
        <w:tc>
          <w:tcPr>
            <w:tcW w:w="2786" w:type="dxa"/>
            <w:vAlign w:val="center"/>
          </w:tcPr>
          <w:p>
            <w:pPr>
              <w:spacing w:line="360" w:lineRule="auto"/>
              <w:jc w:val="center"/>
              <w:rPr>
                <w:rFonts w:hint="eastAsia" w:ascii="宋体" w:hAnsi="宋体" w:cs="宋体"/>
                <w:szCs w:val="21"/>
              </w:rPr>
            </w:pPr>
            <w:r>
              <w:rPr>
                <w:rFonts w:hint="eastAsia" w:ascii="宋体" w:hAnsi="宋体"/>
                <w:szCs w:val="21"/>
              </w:rPr>
              <w:t>联合体竞标要求</w:t>
            </w:r>
          </w:p>
        </w:tc>
        <w:tc>
          <w:tcPr>
            <w:tcW w:w="6853" w:type="dxa"/>
            <w:vAlign w:val="center"/>
          </w:tcPr>
          <w:p>
            <w:pPr>
              <w:spacing w:line="360" w:lineRule="auto"/>
              <w:rPr>
                <w:rFonts w:hint="eastAsia" w:ascii="宋体" w:hAnsi="宋体" w:cs="宋体"/>
                <w:szCs w:val="21"/>
              </w:rPr>
            </w:pPr>
            <w:r>
              <w:rPr>
                <w:rFonts w:hint="eastAsia" w:ascii="宋体" w:hAnsi="宋体"/>
                <w:color w:val="000000"/>
                <w:szCs w:val="21"/>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pPr>
              <w:spacing w:line="360" w:lineRule="auto"/>
              <w:jc w:val="center"/>
              <w:rPr>
                <w:rFonts w:hint="eastAsia" w:ascii="宋体" w:hAnsi="宋体" w:cs="宋体"/>
                <w:szCs w:val="21"/>
              </w:rPr>
            </w:pPr>
            <w:r>
              <w:rPr>
                <w:rFonts w:hint="eastAsia" w:ascii="宋体" w:hAnsi="宋体" w:cs="宋体"/>
                <w:szCs w:val="21"/>
              </w:rPr>
              <w:t>6.1</w:t>
            </w:r>
          </w:p>
        </w:tc>
        <w:tc>
          <w:tcPr>
            <w:tcW w:w="2786" w:type="dxa"/>
            <w:vAlign w:val="center"/>
          </w:tcPr>
          <w:p>
            <w:pPr>
              <w:spacing w:line="360" w:lineRule="auto"/>
              <w:jc w:val="center"/>
              <w:rPr>
                <w:rFonts w:hint="eastAsia" w:ascii="宋体" w:hAnsi="宋体" w:cs="宋体"/>
                <w:szCs w:val="21"/>
              </w:rPr>
            </w:pPr>
            <w:r>
              <w:rPr>
                <w:rFonts w:hint="eastAsia" w:ascii="宋体" w:hAnsi="宋体" w:cs="宋体"/>
                <w:szCs w:val="21"/>
              </w:rPr>
              <w:t>是否允许分包</w:t>
            </w:r>
          </w:p>
        </w:tc>
        <w:tc>
          <w:tcPr>
            <w:tcW w:w="6853" w:type="dxa"/>
            <w:vAlign w:val="center"/>
          </w:tcPr>
          <w:p>
            <w:pPr>
              <w:pStyle w:val="8"/>
              <w:spacing w:line="360" w:lineRule="auto"/>
              <w:rPr>
                <w:rFonts w:hint="eastAsia" w:ascii="宋体" w:hAnsi="宋体" w:cs="宋体"/>
                <w:szCs w:val="21"/>
                <w:lang w:val="en-US" w:eastAsia="zh-CN"/>
              </w:rPr>
            </w:pPr>
            <w:bookmarkStart w:id="45" w:name="PO_3000001871_PM044"/>
            <w:r>
              <w:rPr>
                <w:rFonts w:hint="eastAsia" w:ascii="宋体" w:hAnsi="宋体"/>
                <w:szCs w:val="21"/>
                <w:lang w:val="en-US" w:eastAsia="zh-CN"/>
              </w:rPr>
              <w:t>不允许分包</w:t>
            </w:r>
            <w:bookmarkEnd w:id="4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pPr>
              <w:spacing w:line="360" w:lineRule="auto"/>
              <w:jc w:val="center"/>
              <w:rPr>
                <w:rFonts w:hint="eastAsia" w:ascii="宋体" w:hAnsi="宋体" w:cs="宋体"/>
                <w:szCs w:val="21"/>
              </w:rPr>
            </w:pPr>
            <w:r>
              <w:rPr>
                <w:rFonts w:hint="eastAsia" w:ascii="宋体" w:hAnsi="宋体" w:cs="宋体"/>
                <w:szCs w:val="21"/>
              </w:rPr>
              <w:t>12.1.</w:t>
            </w:r>
            <w:r>
              <w:rPr>
                <w:rFonts w:ascii="宋体" w:hAnsi="宋体" w:cs="宋体"/>
                <w:szCs w:val="21"/>
              </w:rPr>
              <w:t>1</w:t>
            </w:r>
          </w:p>
        </w:tc>
        <w:tc>
          <w:tcPr>
            <w:tcW w:w="2786" w:type="dxa"/>
            <w:vAlign w:val="center"/>
          </w:tcPr>
          <w:p>
            <w:pPr>
              <w:snapToGrid w:val="0"/>
              <w:spacing w:line="360" w:lineRule="auto"/>
              <w:jc w:val="center"/>
              <w:rPr>
                <w:rFonts w:hint="eastAsia" w:ascii="宋体" w:hAnsi="宋体" w:cs="宋体"/>
                <w:b/>
                <w:szCs w:val="21"/>
              </w:rPr>
            </w:pPr>
            <w:r>
              <w:rPr>
                <w:rFonts w:hint="eastAsia" w:ascii="宋体" w:hAnsi="宋体" w:cs="宋体"/>
                <w:b/>
                <w:szCs w:val="21"/>
              </w:rPr>
              <w:t>资格证明文件组成</w:t>
            </w:r>
          </w:p>
          <w:p>
            <w:pPr>
              <w:spacing w:line="360" w:lineRule="auto"/>
              <w:jc w:val="center"/>
              <w:rPr>
                <w:rFonts w:hint="eastAsia" w:ascii="宋体" w:hAnsi="宋体" w:cs="宋体"/>
                <w:szCs w:val="21"/>
              </w:rPr>
            </w:pPr>
          </w:p>
        </w:tc>
        <w:tc>
          <w:tcPr>
            <w:tcW w:w="6853" w:type="dxa"/>
            <w:vAlign w:val="center"/>
          </w:tcPr>
          <w:p>
            <w:pPr>
              <w:spacing w:line="440" w:lineRule="exact"/>
              <w:rPr>
                <w:rFonts w:hint="eastAsia" w:ascii="宋体" w:hAnsi="宋体"/>
                <w:szCs w:val="21"/>
              </w:rPr>
            </w:pPr>
            <w:r>
              <w:rPr>
                <w:rFonts w:hint="eastAsia" w:ascii="宋体" w:hAnsi="宋体"/>
                <w:szCs w:val="21"/>
              </w:rPr>
              <w:t>1.供应商为法人或者其他组织的提供其营业执照等证明文件（如营业执照或者事业单位法人证书或者执业许可证等），供应商为自然人的提供其身份证复印件；（必须提供，否则谈判文件按无效响应处理）</w:t>
            </w:r>
          </w:p>
          <w:p>
            <w:pPr>
              <w:spacing w:line="440" w:lineRule="exact"/>
              <w:rPr>
                <w:rFonts w:hint="eastAsia" w:ascii="宋体" w:hAnsi="宋体"/>
                <w:szCs w:val="21"/>
              </w:rPr>
            </w:pPr>
            <w:r>
              <w:rPr>
                <w:rFonts w:hint="eastAsia" w:ascii="宋体" w:hAnsi="宋体"/>
                <w:szCs w:val="21"/>
              </w:rPr>
              <w:t>2. 供应商依法缴纳税收的相关材料：[</w:t>
            </w:r>
            <w:r>
              <w:rPr>
                <w:rFonts w:ascii="宋体" w:hAnsi="宋体"/>
                <w:szCs w:val="21"/>
              </w:rPr>
              <w:t>2021</w:t>
            </w:r>
            <w:r>
              <w:rPr>
                <w:rFonts w:hint="eastAsia" w:ascii="宋体" w:hAnsi="宋体"/>
                <w:szCs w:val="21"/>
              </w:rPr>
              <w:t>年</w:t>
            </w:r>
            <w:r>
              <w:rPr>
                <w:rFonts w:ascii="宋体" w:hAnsi="宋体"/>
                <w:szCs w:val="21"/>
              </w:rPr>
              <w:t>9</w:t>
            </w:r>
            <w:r>
              <w:rPr>
                <w:rFonts w:hint="eastAsia" w:ascii="宋体" w:hAnsi="宋体"/>
                <w:szCs w:val="21"/>
              </w:rPr>
              <w:t>月至</w:t>
            </w:r>
            <w:r>
              <w:rPr>
                <w:rFonts w:ascii="宋体" w:hAnsi="宋体"/>
                <w:szCs w:val="21"/>
              </w:rPr>
              <w:t>2022</w:t>
            </w:r>
            <w:r>
              <w:rPr>
                <w:rFonts w:hint="eastAsia" w:ascii="宋体" w:hAnsi="宋体"/>
                <w:szCs w:val="21"/>
              </w:rPr>
              <w:t>年</w:t>
            </w:r>
            <w:r>
              <w:rPr>
                <w:rFonts w:ascii="宋体" w:hAnsi="宋体"/>
                <w:szCs w:val="21"/>
              </w:rPr>
              <w:t>2</w:t>
            </w:r>
            <w:r>
              <w:rPr>
                <w:rFonts w:hint="eastAsia" w:ascii="宋体" w:hAnsi="宋体"/>
                <w:szCs w:val="21"/>
              </w:rPr>
              <w:t>月]任意连续</w:t>
            </w:r>
            <w:r>
              <w:rPr>
                <w:rFonts w:ascii="宋体" w:hAnsi="宋体"/>
                <w:szCs w:val="21"/>
              </w:rPr>
              <w:t>3</w:t>
            </w:r>
            <w:r>
              <w:rPr>
                <w:rFonts w:hint="eastAsia" w:ascii="宋体" w:hAnsi="宋体"/>
                <w:szCs w:val="21"/>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必须提供，否则作无效响应处理）</w:t>
            </w:r>
          </w:p>
          <w:p>
            <w:pPr>
              <w:spacing w:line="440" w:lineRule="exact"/>
              <w:rPr>
                <w:rFonts w:hint="eastAsia" w:ascii="宋体" w:hAnsi="宋体"/>
                <w:szCs w:val="21"/>
              </w:rPr>
            </w:pPr>
            <w:r>
              <w:rPr>
                <w:rFonts w:hint="eastAsia" w:ascii="宋体" w:hAnsi="宋体"/>
                <w:szCs w:val="21"/>
              </w:rPr>
              <w:t>3.供应商依法缴纳社会保障资金的相关材料：[</w:t>
            </w:r>
            <w:r>
              <w:rPr>
                <w:rFonts w:ascii="宋体" w:hAnsi="宋体"/>
                <w:szCs w:val="21"/>
              </w:rPr>
              <w:t>2021</w:t>
            </w:r>
            <w:r>
              <w:rPr>
                <w:rFonts w:hint="eastAsia" w:ascii="宋体" w:hAnsi="宋体"/>
                <w:szCs w:val="21"/>
              </w:rPr>
              <w:t>年</w:t>
            </w:r>
            <w:r>
              <w:rPr>
                <w:rFonts w:ascii="宋体" w:hAnsi="宋体"/>
                <w:szCs w:val="21"/>
              </w:rPr>
              <w:t>9</w:t>
            </w:r>
            <w:r>
              <w:rPr>
                <w:rFonts w:hint="eastAsia" w:ascii="宋体" w:hAnsi="宋体"/>
                <w:szCs w:val="21"/>
              </w:rPr>
              <w:t>月至</w:t>
            </w:r>
            <w:r>
              <w:rPr>
                <w:rFonts w:ascii="宋体" w:hAnsi="宋体"/>
                <w:szCs w:val="21"/>
              </w:rPr>
              <w:t>2022</w:t>
            </w:r>
            <w:r>
              <w:rPr>
                <w:rFonts w:hint="eastAsia" w:ascii="宋体" w:hAnsi="宋体"/>
                <w:szCs w:val="21"/>
              </w:rPr>
              <w:t>年</w:t>
            </w:r>
            <w:r>
              <w:rPr>
                <w:rFonts w:ascii="宋体" w:hAnsi="宋体"/>
                <w:szCs w:val="21"/>
              </w:rPr>
              <w:t>2</w:t>
            </w:r>
            <w:r>
              <w:rPr>
                <w:rFonts w:hint="eastAsia" w:ascii="宋体" w:hAnsi="宋体"/>
                <w:szCs w:val="21"/>
              </w:rPr>
              <w:t>月]任意连续</w:t>
            </w:r>
            <w:r>
              <w:rPr>
                <w:rFonts w:ascii="宋体" w:hAnsi="宋体"/>
                <w:szCs w:val="21"/>
              </w:rPr>
              <w:t>3</w:t>
            </w:r>
            <w:r>
              <w:rPr>
                <w:rFonts w:hint="eastAsia" w:ascii="宋体" w:hAnsi="宋体"/>
                <w:szCs w:val="21"/>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必须提供，否则作无效响应处理）</w:t>
            </w:r>
          </w:p>
          <w:p>
            <w:pPr>
              <w:spacing w:line="440" w:lineRule="exact"/>
              <w:rPr>
                <w:rFonts w:hint="eastAsia" w:ascii="宋体" w:hAnsi="宋体"/>
                <w:szCs w:val="21"/>
              </w:rPr>
            </w:pPr>
            <w:r>
              <w:rPr>
                <w:rFonts w:hint="eastAsia" w:ascii="宋体" w:hAnsi="宋体"/>
                <w:szCs w:val="21"/>
              </w:rPr>
              <w:t>4. 供应商财务状况报告：[</w:t>
            </w:r>
            <w:r>
              <w:rPr>
                <w:rFonts w:ascii="宋体" w:hAnsi="宋体"/>
                <w:szCs w:val="21"/>
              </w:rPr>
              <w:t>2020</w:t>
            </w:r>
            <w:r>
              <w:rPr>
                <w:rFonts w:hint="eastAsia" w:ascii="宋体" w:hAnsi="宋体"/>
                <w:szCs w:val="21"/>
              </w:rPr>
              <w:t>年]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必须提供，否则作无效响应处理）</w:t>
            </w:r>
          </w:p>
          <w:p>
            <w:pPr>
              <w:spacing w:line="440" w:lineRule="exact"/>
              <w:rPr>
                <w:rFonts w:hint="eastAsia" w:ascii="宋体" w:hAnsi="宋体"/>
                <w:szCs w:val="21"/>
              </w:rPr>
            </w:pPr>
            <w:r>
              <w:rPr>
                <w:rFonts w:hint="eastAsia" w:ascii="宋体" w:hAnsi="宋体"/>
                <w:szCs w:val="21"/>
              </w:rPr>
              <w:t>5.供应商直接控股股东信息；（必须提供，否则响应文件按无效响应处理）</w:t>
            </w:r>
          </w:p>
          <w:p>
            <w:pPr>
              <w:spacing w:line="440" w:lineRule="exact"/>
              <w:rPr>
                <w:rFonts w:hint="eastAsia" w:ascii="宋体" w:hAnsi="宋体"/>
                <w:szCs w:val="21"/>
              </w:rPr>
            </w:pPr>
            <w:r>
              <w:rPr>
                <w:rFonts w:hint="eastAsia" w:ascii="宋体" w:hAnsi="宋体"/>
                <w:szCs w:val="21"/>
              </w:rPr>
              <w:t>6.供应商直接管理关系信息表；（必须提供，否则响应文件按无效响应处理）</w:t>
            </w:r>
          </w:p>
          <w:p>
            <w:pPr>
              <w:spacing w:line="440" w:lineRule="exact"/>
              <w:rPr>
                <w:rFonts w:hint="eastAsia" w:ascii="宋体" w:hAnsi="宋体"/>
                <w:szCs w:val="21"/>
              </w:rPr>
            </w:pPr>
            <w:r>
              <w:rPr>
                <w:rFonts w:hint="eastAsia" w:ascii="宋体" w:hAnsi="宋体"/>
                <w:szCs w:val="21"/>
              </w:rPr>
              <w:t>7.资格声明函；（必须提供，否则响应文件按无效响应处理）</w:t>
            </w:r>
          </w:p>
          <w:p>
            <w:pPr>
              <w:spacing w:line="440" w:lineRule="exact"/>
              <w:rPr>
                <w:rFonts w:hint="eastAsia" w:ascii="宋体" w:hAnsi="宋体"/>
                <w:szCs w:val="21"/>
              </w:rPr>
            </w:pPr>
            <w:r>
              <w:rPr>
                <w:rFonts w:hint="eastAsia" w:ascii="宋体" w:hAnsi="宋体"/>
                <w:szCs w:val="21"/>
              </w:rPr>
              <w:t>8. 符合特定资格条件的有关证明材料（复印件）；（如有请提供）</w:t>
            </w:r>
          </w:p>
          <w:p>
            <w:pPr>
              <w:spacing w:line="440" w:lineRule="exact"/>
              <w:rPr>
                <w:rFonts w:hint="eastAsia" w:ascii="宋体" w:hAnsi="宋体"/>
                <w:szCs w:val="21"/>
              </w:rPr>
            </w:pPr>
            <w:r>
              <w:rPr>
                <w:rFonts w:hint="eastAsia" w:ascii="宋体" w:hAnsi="宋体"/>
                <w:szCs w:val="21"/>
              </w:rPr>
              <w:t>9. 除谈判文件规定必须提供以外，供应商认为需要提供的其他证明材料；</w:t>
            </w:r>
          </w:p>
          <w:p>
            <w:pPr>
              <w:spacing w:line="440" w:lineRule="exact"/>
              <w:rPr>
                <w:rFonts w:hint="eastAsia" w:ascii="宋体" w:hAnsi="宋体"/>
                <w:szCs w:val="21"/>
              </w:rPr>
            </w:pPr>
            <w:r>
              <w:rPr>
                <w:rFonts w:hint="eastAsia" w:ascii="宋体" w:hAnsi="宋体"/>
                <w:szCs w:val="21"/>
              </w:rPr>
              <w:t>；</w:t>
            </w:r>
          </w:p>
          <w:p>
            <w:pPr>
              <w:spacing w:line="440" w:lineRule="exact"/>
              <w:rPr>
                <w:rFonts w:hint="eastAsia" w:ascii="宋体" w:hAnsi="宋体"/>
                <w:szCs w:val="21"/>
              </w:rPr>
            </w:pPr>
            <w:r>
              <w:rPr>
                <w:rFonts w:hint="eastAsia" w:ascii="宋体" w:hAnsi="宋体"/>
                <w:szCs w:val="21"/>
              </w:rPr>
              <w:t>注：</w:t>
            </w:r>
          </w:p>
          <w:p>
            <w:pPr>
              <w:spacing w:line="440" w:lineRule="exact"/>
              <w:rPr>
                <w:rFonts w:hint="eastAsia" w:ascii="宋体" w:hAnsi="宋体" w:cs="宋体"/>
                <w:b/>
                <w:szCs w:val="21"/>
                <w:lang w:val="en-US" w:eastAsia="zh-CN"/>
              </w:rPr>
            </w:pPr>
            <w:r>
              <w:rPr>
                <w:rFonts w:hint="eastAsia" w:ascii="宋体" w:hAnsi="宋体"/>
                <w:szCs w:val="21"/>
              </w:rPr>
              <w:t>1.以上标明“必须提供”的材料属于复印件的扫描件的，必须加盖供应商电子公章，否则响应文件按无效响应处理。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vAlign w:val="center"/>
          </w:tcPr>
          <w:p>
            <w:pPr>
              <w:spacing w:line="360" w:lineRule="auto"/>
              <w:jc w:val="center"/>
              <w:rPr>
                <w:rFonts w:hint="eastAsia"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.2</w:t>
            </w:r>
          </w:p>
        </w:tc>
        <w:tc>
          <w:tcPr>
            <w:tcW w:w="2786" w:type="dxa"/>
            <w:vAlign w:val="center"/>
          </w:tcPr>
          <w:p>
            <w:pPr>
              <w:spacing w:line="360" w:lineRule="auto"/>
              <w:jc w:val="center"/>
              <w:rPr>
                <w:rFonts w:hint="eastAsia" w:ascii="宋体" w:hAnsi="宋体" w:cs="宋体"/>
                <w:b/>
                <w:bCs/>
                <w:szCs w:val="21"/>
              </w:rPr>
            </w:pPr>
            <w:r>
              <w:rPr>
                <w:rFonts w:hint="eastAsia" w:ascii="宋体" w:hAnsi="宋体" w:cs="宋体"/>
                <w:b/>
                <w:bCs/>
                <w:szCs w:val="21"/>
              </w:rPr>
              <w:t>商务文件组成</w:t>
            </w:r>
          </w:p>
        </w:tc>
        <w:tc>
          <w:tcPr>
            <w:tcW w:w="6853" w:type="dxa"/>
            <w:vAlign w:val="center"/>
          </w:tcPr>
          <w:p>
            <w:pPr>
              <w:spacing w:line="440" w:lineRule="exact"/>
              <w:rPr>
                <w:rFonts w:hint="eastAsia" w:ascii="宋体" w:hAnsi="宋体"/>
                <w:szCs w:val="21"/>
              </w:rPr>
            </w:pPr>
            <w:r>
              <w:rPr>
                <w:rFonts w:hint="eastAsia" w:ascii="宋体" w:hAnsi="宋体"/>
                <w:szCs w:val="21"/>
              </w:rPr>
              <w:t>1.无串通竞标行为的承诺函；（必须提供，否则响应文件按无效响应处理）</w:t>
            </w:r>
          </w:p>
          <w:p>
            <w:pPr>
              <w:spacing w:line="440" w:lineRule="exact"/>
              <w:rPr>
                <w:rFonts w:hint="eastAsia" w:ascii="宋体" w:hAnsi="宋体"/>
                <w:szCs w:val="21"/>
              </w:rPr>
            </w:pPr>
            <w:r>
              <w:rPr>
                <w:rFonts w:hint="eastAsia" w:ascii="宋体" w:hAnsi="宋体"/>
                <w:szCs w:val="21"/>
              </w:rPr>
              <w:t>2.法定代表人身份证明书及法定代表人有效身份证正反面复印件；（除自然人竞标外必须提供，否则响应文件按无效响应处理）</w:t>
            </w:r>
          </w:p>
          <w:p>
            <w:pPr>
              <w:spacing w:line="440" w:lineRule="exact"/>
              <w:rPr>
                <w:rFonts w:hint="eastAsia" w:ascii="宋体" w:hAnsi="宋体"/>
                <w:szCs w:val="21"/>
              </w:rPr>
            </w:pPr>
            <w:r>
              <w:rPr>
                <w:rFonts w:hint="eastAsia" w:ascii="宋体" w:hAnsi="宋体"/>
                <w:szCs w:val="21"/>
              </w:rPr>
              <w:t>3.法定代表人授权委托书及委托代理人有效身份证正反面复印件；（委托时必须提供，否则响应文件按无效响应处理）</w:t>
            </w:r>
          </w:p>
          <w:p>
            <w:pPr>
              <w:spacing w:line="440" w:lineRule="exact"/>
              <w:rPr>
                <w:rFonts w:hint="eastAsia" w:ascii="宋体" w:hAnsi="宋体"/>
                <w:szCs w:val="21"/>
              </w:rPr>
            </w:pPr>
            <w:r>
              <w:rPr>
                <w:rFonts w:hint="eastAsia" w:ascii="宋体" w:hAnsi="宋体"/>
                <w:szCs w:val="21"/>
              </w:rPr>
              <w:t>4.商务条款偏离表；（必须提供，否则响应文件按无效响应处理）</w:t>
            </w:r>
          </w:p>
          <w:p>
            <w:pPr>
              <w:spacing w:line="440" w:lineRule="exact"/>
              <w:rPr>
                <w:rFonts w:hint="eastAsia" w:ascii="宋体" w:hAnsi="宋体"/>
                <w:szCs w:val="21"/>
              </w:rPr>
            </w:pPr>
            <w:r>
              <w:rPr>
                <w:rFonts w:hint="eastAsia" w:ascii="宋体" w:hAnsi="宋体"/>
                <w:szCs w:val="21"/>
              </w:rPr>
              <w:t>5.竞标人情况介绍；</w:t>
            </w:r>
          </w:p>
          <w:p>
            <w:pPr>
              <w:spacing w:line="440" w:lineRule="exact"/>
              <w:rPr>
                <w:rFonts w:hint="eastAsia" w:ascii="宋体" w:hAnsi="宋体"/>
                <w:szCs w:val="21"/>
              </w:rPr>
            </w:pPr>
            <w:r>
              <w:rPr>
                <w:rFonts w:ascii="宋体" w:hAnsi="宋体"/>
                <w:szCs w:val="21"/>
              </w:rPr>
              <w:t>6</w:t>
            </w:r>
            <w:r>
              <w:rPr>
                <w:rFonts w:hint="eastAsia" w:ascii="宋体" w:hAnsi="宋体"/>
                <w:szCs w:val="21"/>
              </w:rPr>
              <w:t>.供应商认为需要提供的其他有关资料。</w:t>
            </w:r>
          </w:p>
          <w:p>
            <w:pPr>
              <w:spacing w:line="440" w:lineRule="exact"/>
              <w:rPr>
                <w:rFonts w:hint="eastAsia" w:ascii="宋体" w:hAnsi="宋体"/>
                <w:szCs w:val="21"/>
              </w:rPr>
            </w:pPr>
            <w:r>
              <w:rPr>
                <w:rFonts w:hint="eastAsia" w:ascii="宋体" w:hAnsi="宋体"/>
                <w:szCs w:val="21"/>
              </w:rPr>
              <w:t xml:space="preserve">注： </w:t>
            </w:r>
          </w:p>
          <w:p>
            <w:pPr>
              <w:spacing w:line="440" w:lineRule="exact"/>
              <w:rPr>
                <w:rFonts w:hint="eastAsia" w:ascii="宋体" w:hAnsi="宋体"/>
                <w:szCs w:val="21"/>
              </w:rPr>
            </w:pPr>
            <w:r>
              <w:rPr>
                <w:rFonts w:hint="eastAsia" w:ascii="宋体" w:hAnsi="宋体"/>
                <w:szCs w:val="21"/>
              </w:rPr>
              <w:t>1.法定代表人授权委托书必须由法定代表人及委托代理人签字，并加盖供应商公章，否则响应文件按无效响应处理。</w:t>
            </w:r>
          </w:p>
          <w:p>
            <w:pPr>
              <w:spacing w:line="440" w:lineRule="exact"/>
              <w:rPr>
                <w:rFonts w:hint="eastAsia" w:ascii="宋体" w:hAnsi="宋体" w:cs="宋体"/>
                <w:b/>
                <w:szCs w:val="21"/>
              </w:rPr>
            </w:pPr>
            <w:r>
              <w:rPr>
                <w:rFonts w:ascii="宋体" w:hAnsi="宋体"/>
                <w:szCs w:val="21"/>
              </w:rPr>
              <w:t>2</w:t>
            </w:r>
            <w:r>
              <w:rPr>
                <w:rFonts w:hint="eastAsia" w:ascii="宋体" w:hAnsi="宋体"/>
                <w:szCs w:val="21"/>
              </w:rPr>
              <w:t>.以上标明“必须提供”的材料属于复印件的扫描件的，必须加盖供应商电子公章，否则响应文件按无效响应处理。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pPr>
              <w:spacing w:line="360" w:lineRule="auto"/>
              <w:jc w:val="center"/>
              <w:rPr>
                <w:rFonts w:hint="eastAsia" w:ascii="宋体" w:hAnsi="宋体" w:cs="宋体"/>
                <w:szCs w:val="21"/>
              </w:rPr>
            </w:pPr>
          </w:p>
        </w:tc>
        <w:tc>
          <w:tcPr>
            <w:tcW w:w="2786" w:type="dxa"/>
            <w:vAlign w:val="center"/>
          </w:tcPr>
          <w:p>
            <w:pPr>
              <w:spacing w:line="360" w:lineRule="auto"/>
              <w:jc w:val="center"/>
              <w:rPr>
                <w:rFonts w:hint="eastAsia" w:ascii="宋体" w:hAnsi="宋体" w:cs="宋体"/>
                <w:b/>
                <w:bCs/>
                <w:szCs w:val="21"/>
              </w:rPr>
            </w:pPr>
            <w:r>
              <w:rPr>
                <w:rFonts w:hint="eastAsia" w:ascii="宋体" w:hAnsi="宋体" w:cs="宋体"/>
                <w:b/>
                <w:bCs/>
                <w:szCs w:val="21"/>
              </w:rPr>
              <w:t>技术文件组成</w:t>
            </w:r>
          </w:p>
        </w:tc>
        <w:tc>
          <w:tcPr>
            <w:tcW w:w="6853" w:type="dxa"/>
            <w:vAlign w:val="center"/>
          </w:tcPr>
          <w:p>
            <w:pPr>
              <w:spacing w:line="440" w:lineRule="exact"/>
              <w:rPr>
                <w:rFonts w:ascii="宋体" w:hAnsi="宋体"/>
                <w:szCs w:val="21"/>
              </w:rPr>
            </w:pPr>
            <w:r>
              <w:rPr>
                <w:rFonts w:hint="eastAsia" w:ascii="宋体" w:hAnsi="宋体"/>
                <w:szCs w:val="21"/>
              </w:rPr>
              <w:t>1.</w:t>
            </w:r>
            <w:r>
              <w:rPr>
                <w:rFonts w:hint="eastAsia" w:ascii="宋体" w:hAnsi="宋体" w:cs="宋体"/>
                <w:szCs w:val="21"/>
              </w:rPr>
              <w:t xml:space="preserve"> </w:t>
            </w:r>
            <w:r>
              <w:rPr>
                <w:rFonts w:hint="eastAsia" w:ascii="宋体" w:hAnsi="宋体"/>
                <w:szCs w:val="21"/>
              </w:rPr>
              <w:t>货物需求偏离表；（必须提供，否则响应文件按无效响应处理）</w:t>
            </w:r>
          </w:p>
          <w:p>
            <w:pPr>
              <w:spacing w:line="440" w:lineRule="exact"/>
              <w:rPr>
                <w:rFonts w:hint="eastAsia" w:ascii="宋体" w:hAnsi="宋体"/>
                <w:szCs w:val="21"/>
              </w:rPr>
            </w:pPr>
            <w:r>
              <w:rPr>
                <w:rFonts w:hint="eastAsia" w:ascii="宋体" w:hAnsi="宋体"/>
                <w:szCs w:val="21"/>
              </w:rPr>
              <w:t>2.组织服务方案；（如</w:t>
            </w:r>
            <w:r>
              <w:rPr>
                <w:rFonts w:ascii="宋体" w:hAnsi="宋体"/>
                <w:szCs w:val="21"/>
              </w:rPr>
              <w:t>有请提供</w:t>
            </w:r>
            <w:r>
              <w:rPr>
                <w:rFonts w:hint="eastAsia" w:ascii="宋体" w:hAnsi="宋体"/>
                <w:szCs w:val="21"/>
              </w:rPr>
              <w:t>）</w:t>
            </w:r>
          </w:p>
          <w:p>
            <w:pPr>
              <w:spacing w:line="440" w:lineRule="exact"/>
              <w:rPr>
                <w:rFonts w:hint="eastAsia" w:ascii="宋体" w:hAnsi="宋体"/>
                <w:szCs w:val="21"/>
              </w:rPr>
            </w:pPr>
            <w:r>
              <w:rPr>
                <w:rFonts w:hint="eastAsia" w:ascii="宋体" w:hAnsi="宋体"/>
                <w:szCs w:val="21"/>
              </w:rPr>
              <w:t>3.售后服务承诺；（必须提供，否则响应文件按无效响应处理）</w:t>
            </w:r>
          </w:p>
          <w:p>
            <w:pPr>
              <w:spacing w:line="440" w:lineRule="exact"/>
              <w:rPr>
                <w:rFonts w:hint="eastAsia" w:ascii="宋体" w:hAnsi="宋体"/>
                <w:szCs w:val="21"/>
              </w:rPr>
            </w:pPr>
            <w:r>
              <w:rPr>
                <w:rFonts w:hint="eastAsia" w:ascii="宋体" w:hAnsi="宋体"/>
                <w:szCs w:val="21"/>
              </w:rPr>
              <w:t>4.项目实施人员一览表（如</w:t>
            </w:r>
            <w:r>
              <w:rPr>
                <w:rFonts w:ascii="宋体" w:hAnsi="宋体"/>
                <w:szCs w:val="21"/>
              </w:rPr>
              <w:t>有请提供</w:t>
            </w:r>
            <w:r>
              <w:rPr>
                <w:rFonts w:hint="eastAsia" w:ascii="宋体" w:hAnsi="宋体"/>
                <w:szCs w:val="21"/>
              </w:rPr>
              <w:t xml:space="preserve">）； </w:t>
            </w:r>
          </w:p>
          <w:p>
            <w:pPr>
              <w:spacing w:line="440" w:lineRule="exact"/>
              <w:rPr>
                <w:rFonts w:hint="eastAsia" w:ascii="宋体" w:hAnsi="宋体"/>
                <w:szCs w:val="21"/>
              </w:rPr>
            </w:pPr>
            <w:r>
              <w:rPr>
                <w:rFonts w:hint="eastAsia" w:ascii="宋体" w:hAnsi="宋体"/>
                <w:szCs w:val="21"/>
              </w:rPr>
              <w:t>5.对应采购需求的服务需求、商务条款提供的其他文件资料；</w:t>
            </w:r>
          </w:p>
          <w:p>
            <w:pPr>
              <w:spacing w:line="440" w:lineRule="exact"/>
              <w:rPr>
                <w:rFonts w:hint="eastAsia" w:ascii="宋体" w:hAnsi="宋体"/>
                <w:szCs w:val="21"/>
              </w:rPr>
            </w:pPr>
            <w:r>
              <w:rPr>
                <w:rFonts w:hint="eastAsia" w:ascii="宋体" w:hAnsi="宋体"/>
                <w:szCs w:val="21"/>
              </w:rPr>
              <w:t>6.供应商认为需要提供的其他有关资料。</w:t>
            </w:r>
          </w:p>
          <w:p>
            <w:pPr>
              <w:spacing w:line="360" w:lineRule="auto"/>
              <w:rPr>
                <w:rFonts w:hint="eastAsia" w:ascii="宋体" w:hAnsi="宋体" w:cs="宋体"/>
                <w:szCs w:val="21"/>
              </w:rPr>
            </w:pPr>
            <w:r>
              <w:rPr>
                <w:rFonts w:hint="eastAsia" w:ascii="宋体" w:hAnsi="宋体"/>
                <w:szCs w:val="21"/>
              </w:rPr>
              <w:t>注：1.以上标明“必须提供”的材料属于复印件的扫描件的，必须加盖供应商电子公章，否则响应文件按无效响应处理。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pPr>
              <w:spacing w:line="360" w:lineRule="auto"/>
              <w:jc w:val="center"/>
              <w:rPr>
                <w:rFonts w:hint="eastAsia"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.3</w:t>
            </w:r>
          </w:p>
        </w:tc>
        <w:tc>
          <w:tcPr>
            <w:tcW w:w="2786" w:type="dxa"/>
            <w:vAlign w:val="center"/>
          </w:tcPr>
          <w:p>
            <w:pPr>
              <w:spacing w:line="360" w:lineRule="auto"/>
              <w:jc w:val="center"/>
              <w:rPr>
                <w:rFonts w:hint="eastAsia" w:ascii="宋体" w:hAnsi="宋体" w:cs="宋体"/>
                <w:szCs w:val="21"/>
              </w:rPr>
            </w:pPr>
            <w:r>
              <w:rPr>
                <w:rFonts w:hint="eastAsia" w:ascii="宋体" w:hAnsi="宋体" w:cs="宋体"/>
                <w:b/>
                <w:bCs/>
                <w:szCs w:val="21"/>
              </w:rPr>
              <w:t>报价文件组成</w:t>
            </w:r>
          </w:p>
        </w:tc>
        <w:tc>
          <w:tcPr>
            <w:tcW w:w="6853" w:type="dxa"/>
            <w:vAlign w:val="center"/>
          </w:tcPr>
          <w:p>
            <w:pPr>
              <w:spacing w:line="440" w:lineRule="exact"/>
              <w:rPr>
                <w:rFonts w:hint="eastAsia" w:ascii="宋体" w:hAnsi="宋体"/>
                <w:szCs w:val="21"/>
              </w:rPr>
            </w:pPr>
            <w:r>
              <w:rPr>
                <w:rFonts w:hint="eastAsia" w:ascii="宋体" w:hAnsi="宋体"/>
                <w:szCs w:val="21"/>
              </w:rPr>
              <w:t>1.响应函；（必须提供，否则作无效响应处理）</w:t>
            </w:r>
          </w:p>
          <w:p>
            <w:pPr>
              <w:spacing w:line="440" w:lineRule="exact"/>
              <w:rPr>
                <w:rFonts w:hint="eastAsia" w:ascii="宋体" w:hAnsi="宋体"/>
                <w:szCs w:val="21"/>
              </w:rPr>
            </w:pPr>
            <w:r>
              <w:rPr>
                <w:rFonts w:hint="eastAsia" w:ascii="宋体" w:hAnsi="宋体"/>
                <w:szCs w:val="21"/>
              </w:rPr>
              <w:t>2.响应报价表；（必须提供，否则响应文件按无效响应处理）</w:t>
            </w:r>
          </w:p>
          <w:p>
            <w:pPr>
              <w:spacing w:line="440" w:lineRule="exact"/>
              <w:rPr>
                <w:rFonts w:hint="eastAsia" w:ascii="宋体" w:hAnsi="宋体"/>
                <w:szCs w:val="21"/>
              </w:rPr>
            </w:pPr>
            <w:r>
              <w:rPr>
                <w:rFonts w:hint="eastAsia" w:ascii="宋体" w:hAnsi="宋体"/>
                <w:szCs w:val="21"/>
              </w:rPr>
              <w:t>3.中小企业声明函。</w:t>
            </w:r>
          </w:p>
          <w:p>
            <w:pPr>
              <w:spacing w:line="440" w:lineRule="exact"/>
              <w:rPr>
                <w:rFonts w:hint="eastAsia" w:ascii="宋体" w:hAnsi="宋体"/>
                <w:color w:val="000000"/>
                <w:szCs w:val="21"/>
              </w:rPr>
            </w:pPr>
            <w:r>
              <w:rPr>
                <w:rFonts w:hint="eastAsia" w:ascii="宋体" w:hAnsi="宋体"/>
                <w:szCs w:val="21"/>
              </w:rPr>
              <w:t>注：1.上述材料必须在规定盖章处加盖供应商公章，否则作无效响应处理。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pPr>
              <w:spacing w:line="360" w:lineRule="auto"/>
              <w:jc w:val="center"/>
              <w:rPr>
                <w:rFonts w:hint="eastAsia" w:ascii="宋体" w:hAnsi="宋体" w:cs="宋体"/>
                <w:szCs w:val="21"/>
              </w:rPr>
            </w:pPr>
            <w:r>
              <w:rPr>
                <w:rFonts w:hint="eastAsia" w:ascii="宋体" w:hAnsi="宋体" w:cs="宋体"/>
                <w:szCs w:val="21"/>
              </w:rPr>
              <w:t>12.</w:t>
            </w:r>
            <w:r>
              <w:rPr>
                <w:rFonts w:ascii="宋体" w:hAnsi="宋体" w:cs="宋体"/>
                <w:szCs w:val="21"/>
              </w:rPr>
              <w:t>2</w:t>
            </w:r>
          </w:p>
        </w:tc>
        <w:tc>
          <w:tcPr>
            <w:tcW w:w="2786" w:type="dxa"/>
            <w:vAlign w:val="center"/>
          </w:tcPr>
          <w:p>
            <w:pPr>
              <w:spacing w:line="360" w:lineRule="auto"/>
              <w:jc w:val="center"/>
              <w:rPr>
                <w:rFonts w:hint="eastAsia" w:ascii="宋体" w:hAnsi="宋体" w:cs="宋体"/>
                <w:szCs w:val="21"/>
              </w:rPr>
            </w:pPr>
            <w:r>
              <w:rPr>
                <w:rFonts w:hint="eastAsia" w:ascii="宋体" w:hAnsi="宋体" w:cs="宋体"/>
                <w:szCs w:val="21"/>
              </w:rPr>
              <w:t>响应文件电子版要求</w:t>
            </w:r>
          </w:p>
        </w:tc>
        <w:tc>
          <w:tcPr>
            <w:tcW w:w="6853" w:type="dxa"/>
            <w:vAlign w:val="center"/>
          </w:tcPr>
          <w:p>
            <w:pPr>
              <w:spacing w:line="440" w:lineRule="exact"/>
              <w:rPr>
                <w:rFonts w:hint="eastAsia" w:ascii="宋体" w:hAnsi="宋体"/>
                <w:szCs w:val="21"/>
              </w:rPr>
            </w:pPr>
            <w:r>
              <w:rPr>
                <w:rFonts w:hint="eastAsia" w:ascii="宋体" w:hAnsi="宋体"/>
                <w:szCs w:val="21"/>
              </w:rPr>
              <w:t>1.响应文件电子版要求：按照本采购文件“第五章 响应文件格式”编写（第五章未附格式的，由供应商自行拟定），不可涂改并在规定加盖公章处加盖电子公章，否则响应文件按无效响应处理。</w:t>
            </w:r>
          </w:p>
          <w:p>
            <w:pPr>
              <w:spacing w:line="440" w:lineRule="exact"/>
              <w:rPr>
                <w:rFonts w:hint="eastAsia" w:ascii="宋体" w:hAnsi="宋体" w:cs="宋体"/>
                <w:szCs w:val="21"/>
              </w:rPr>
            </w:pPr>
            <w:r>
              <w:rPr>
                <w:rFonts w:hint="eastAsia" w:ascii="宋体" w:hAnsi="宋体"/>
                <w:szCs w:val="21"/>
              </w:rPr>
              <w:t>2.响应文件电子版密封方式：电子响应文件通过平台有效CA加密后在“政采云”平台投送。（操作方式见公告附件“电子响应文件制作与投送教程”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pPr>
              <w:spacing w:line="360" w:lineRule="auto"/>
              <w:jc w:val="center"/>
              <w:rPr>
                <w:rFonts w:hint="eastAsia" w:ascii="宋体" w:hAnsi="宋体" w:cs="宋体"/>
                <w:szCs w:val="21"/>
              </w:rPr>
            </w:pPr>
            <w:r>
              <w:rPr>
                <w:rFonts w:hint="eastAsia" w:ascii="宋体" w:hAnsi="宋体" w:cs="宋体"/>
                <w:szCs w:val="21"/>
              </w:rPr>
              <w:t>15.2</w:t>
            </w:r>
          </w:p>
        </w:tc>
        <w:tc>
          <w:tcPr>
            <w:tcW w:w="2786" w:type="dxa"/>
            <w:vAlign w:val="center"/>
          </w:tcPr>
          <w:p>
            <w:pPr>
              <w:spacing w:line="360" w:lineRule="auto"/>
              <w:jc w:val="center"/>
              <w:rPr>
                <w:rFonts w:hint="eastAsia" w:ascii="宋体" w:hAnsi="宋体" w:cs="宋体"/>
                <w:szCs w:val="21"/>
              </w:rPr>
            </w:pPr>
            <w:r>
              <w:rPr>
                <w:rFonts w:hint="eastAsia" w:ascii="宋体" w:hAnsi="宋体" w:cs="宋体"/>
                <w:szCs w:val="21"/>
              </w:rPr>
              <w:t>响应报价要求</w:t>
            </w:r>
          </w:p>
        </w:tc>
        <w:tc>
          <w:tcPr>
            <w:tcW w:w="6853" w:type="dxa"/>
            <w:vAlign w:val="center"/>
          </w:tcPr>
          <w:p>
            <w:pPr>
              <w:spacing w:line="440" w:lineRule="exact"/>
              <w:rPr>
                <w:rFonts w:hint="eastAsia" w:ascii="宋体" w:hAnsi="宋体" w:cs="宋体"/>
                <w:szCs w:val="21"/>
              </w:rPr>
            </w:pPr>
            <w:r>
              <w:rPr>
                <w:rFonts w:hint="eastAsia" w:ascii="宋体" w:hAnsi="宋体"/>
                <w:szCs w:val="21"/>
              </w:rPr>
              <w:t>响应报价必须包含满足本次竞标全部采购需求所应提供的服务，以及伴随的货物和工程（如有）的价格；包含竞标服务、货物、工程的成本、运输（含保险）、安装（如有）、调试、检验、技术服务、培训、税费等所有费用。（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pPr>
              <w:spacing w:line="360" w:lineRule="auto"/>
              <w:jc w:val="center"/>
              <w:rPr>
                <w:rFonts w:hint="eastAsia" w:ascii="宋体" w:hAnsi="宋体" w:cs="宋体"/>
                <w:szCs w:val="21"/>
              </w:rPr>
            </w:pPr>
            <w:r>
              <w:rPr>
                <w:rFonts w:hint="eastAsia" w:ascii="宋体" w:hAnsi="宋体" w:cs="宋体"/>
                <w:szCs w:val="21"/>
              </w:rPr>
              <w:t>16.</w:t>
            </w:r>
            <w:r>
              <w:rPr>
                <w:rFonts w:ascii="宋体" w:hAnsi="宋体" w:cs="宋体"/>
                <w:szCs w:val="21"/>
              </w:rPr>
              <w:t>2</w:t>
            </w:r>
          </w:p>
        </w:tc>
        <w:tc>
          <w:tcPr>
            <w:tcW w:w="2786" w:type="dxa"/>
            <w:vAlign w:val="center"/>
          </w:tcPr>
          <w:p>
            <w:pPr>
              <w:spacing w:line="360" w:lineRule="auto"/>
              <w:jc w:val="center"/>
              <w:rPr>
                <w:rFonts w:hint="eastAsia" w:ascii="宋体" w:hAnsi="宋体" w:cs="宋体"/>
                <w:szCs w:val="21"/>
              </w:rPr>
            </w:pPr>
            <w:r>
              <w:rPr>
                <w:rFonts w:hint="eastAsia" w:ascii="宋体" w:hAnsi="宋体" w:cs="宋体"/>
                <w:szCs w:val="21"/>
              </w:rPr>
              <w:t>竞标有效期</w:t>
            </w:r>
          </w:p>
        </w:tc>
        <w:tc>
          <w:tcPr>
            <w:tcW w:w="6853" w:type="dxa"/>
            <w:vAlign w:val="center"/>
          </w:tcPr>
          <w:p>
            <w:pPr>
              <w:pStyle w:val="6"/>
              <w:widowControl w:val="0"/>
              <w:tabs>
                <w:tab w:val="left" w:pos="720"/>
                <w:tab w:val="left" w:pos="840"/>
              </w:tabs>
              <w:snapToGrid w:val="0"/>
              <w:spacing w:afterLines="0" w:line="360" w:lineRule="auto"/>
              <w:ind w:left="283" w:hanging="283" w:hangingChars="135"/>
              <w:rPr>
                <w:rFonts w:hint="eastAsia" w:ascii="宋体" w:hAnsi="宋体" w:cs="宋体"/>
                <w:kern w:val="2"/>
                <w:sz w:val="21"/>
                <w:szCs w:val="21"/>
              </w:rPr>
            </w:pPr>
            <w:r>
              <w:rPr>
                <w:rFonts w:hint="eastAsia" w:ascii="宋体" w:hAnsi="宋体" w:cs="宋体"/>
                <w:kern w:val="2"/>
                <w:sz w:val="21"/>
                <w:szCs w:val="21"/>
              </w:rPr>
              <w:t>自首次响应文件提交截止之日起</w:t>
            </w:r>
            <w:bookmarkStart w:id="46" w:name="PO_3000001871_PM046"/>
            <w:r>
              <w:rPr>
                <w:rFonts w:hint="eastAsia" w:ascii="宋体" w:hAnsi="宋体" w:cs="宋体"/>
                <w:kern w:val="2"/>
                <w:sz w:val="21"/>
                <w:szCs w:val="21"/>
                <w:highlight w:val="none"/>
                <w:u w:val="single"/>
                <w:lang w:eastAsia="zh-CN"/>
              </w:rPr>
              <w:t>60日历天</w:t>
            </w:r>
            <w:bookmarkEnd w:id="46"/>
            <w:r>
              <w:rPr>
                <w:rFonts w:hint="eastAsia" w:ascii="宋体" w:hAnsi="宋体" w:cs="宋体"/>
                <w:kern w:val="2"/>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pPr>
              <w:spacing w:line="360" w:lineRule="auto"/>
              <w:jc w:val="center"/>
              <w:rPr>
                <w:rFonts w:hint="eastAsia" w:ascii="宋体" w:hAnsi="宋体" w:cs="宋体"/>
                <w:szCs w:val="21"/>
              </w:rPr>
            </w:pPr>
            <w:r>
              <w:rPr>
                <w:rFonts w:hint="eastAsia" w:ascii="宋体" w:hAnsi="宋体" w:cs="宋体"/>
                <w:szCs w:val="21"/>
              </w:rPr>
              <w:t>17.1</w:t>
            </w:r>
          </w:p>
        </w:tc>
        <w:tc>
          <w:tcPr>
            <w:tcW w:w="2786" w:type="dxa"/>
            <w:vAlign w:val="center"/>
          </w:tcPr>
          <w:p>
            <w:pPr>
              <w:spacing w:line="360" w:lineRule="auto"/>
              <w:jc w:val="center"/>
              <w:rPr>
                <w:rFonts w:hint="eastAsia" w:ascii="宋体" w:hAnsi="宋体" w:cs="宋体"/>
                <w:szCs w:val="21"/>
              </w:rPr>
            </w:pPr>
            <w:r>
              <w:rPr>
                <w:rFonts w:hint="eastAsia" w:ascii="宋体" w:hAnsi="宋体" w:cs="宋体"/>
                <w:szCs w:val="21"/>
              </w:rPr>
              <w:t>谈判保证金</w:t>
            </w:r>
          </w:p>
        </w:tc>
        <w:tc>
          <w:tcPr>
            <w:tcW w:w="6853" w:type="dxa"/>
            <w:vAlign w:val="center"/>
          </w:tcPr>
          <w:p>
            <w:pPr>
              <w:autoSpaceDE w:val="0"/>
              <w:autoSpaceDN w:val="0"/>
              <w:snapToGrid w:val="0"/>
              <w:spacing w:line="360" w:lineRule="auto"/>
              <w:textAlignment w:val="bottom"/>
              <w:rPr>
                <w:rFonts w:hint="eastAsia" w:ascii="宋体" w:hAnsi="宋体"/>
                <w:szCs w:val="21"/>
              </w:rPr>
            </w:pPr>
            <w:r>
              <w:rPr>
                <w:rFonts w:hint="eastAsia" w:ascii="宋体" w:hAnsi="宋体"/>
                <w:szCs w:val="21"/>
              </w:rPr>
              <w:t>本项目不收取谈判保证金。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vAlign w:val="center"/>
          </w:tcPr>
          <w:p>
            <w:pPr>
              <w:spacing w:line="360" w:lineRule="auto"/>
              <w:jc w:val="center"/>
              <w:rPr>
                <w:rFonts w:hint="eastAsia" w:ascii="宋体" w:hAnsi="宋体" w:cs="宋体"/>
                <w:szCs w:val="21"/>
              </w:rPr>
            </w:pPr>
            <w:r>
              <w:rPr>
                <w:rFonts w:hint="eastAsia" w:ascii="宋体" w:hAnsi="宋体" w:cs="宋体"/>
                <w:szCs w:val="21"/>
              </w:rPr>
              <w:t>20.1</w:t>
            </w:r>
          </w:p>
        </w:tc>
        <w:tc>
          <w:tcPr>
            <w:tcW w:w="2786" w:type="dxa"/>
            <w:vAlign w:val="center"/>
          </w:tcPr>
          <w:p>
            <w:pPr>
              <w:spacing w:line="360" w:lineRule="auto"/>
              <w:jc w:val="center"/>
              <w:rPr>
                <w:rFonts w:hint="eastAsia" w:ascii="宋体" w:hAnsi="宋体" w:cs="宋体"/>
                <w:szCs w:val="21"/>
              </w:rPr>
            </w:pPr>
            <w:r>
              <w:rPr>
                <w:rFonts w:hint="eastAsia" w:ascii="宋体" w:hAnsi="宋体" w:cs="宋体"/>
                <w:szCs w:val="21"/>
              </w:rPr>
              <w:t>首次响应文件提交起止时间</w:t>
            </w:r>
          </w:p>
        </w:tc>
        <w:tc>
          <w:tcPr>
            <w:tcW w:w="6853" w:type="dxa"/>
            <w:vAlign w:val="center"/>
          </w:tcPr>
          <w:p>
            <w:pPr>
              <w:snapToGrid w:val="0"/>
              <w:spacing w:line="360" w:lineRule="auto"/>
              <w:jc w:val="left"/>
              <w:rPr>
                <w:rFonts w:hint="eastAsia" w:ascii="宋体" w:hAnsi="宋体" w:cs="宋体"/>
                <w:szCs w:val="21"/>
                <w:u w:val="single"/>
              </w:rPr>
            </w:pPr>
            <w:r>
              <w:rPr>
                <w:rFonts w:hint="eastAsia" w:ascii="宋体" w:hAnsi="宋体" w:cs="宋体"/>
                <w:szCs w:val="21"/>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vAlign w:val="center"/>
          </w:tcPr>
          <w:p>
            <w:pPr>
              <w:spacing w:line="360" w:lineRule="auto"/>
              <w:jc w:val="center"/>
              <w:rPr>
                <w:rFonts w:hint="eastAsia" w:ascii="宋体" w:hAnsi="宋体" w:cs="宋体"/>
                <w:szCs w:val="21"/>
              </w:rPr>
            </w:pPr>
          </w:p>
        </w:tc>
        <w:tc>
          <w:tcPr>
            <w:tcW w:w="2786" w:type="dxa"/>
            <w:vAlign w:val="center"/>
          </w:tcPr>
          <w:p>
            <w:pPr>
              <w:spacing w:line="360" w:lineRule="auto"/>
              <w:jc w:val="center"/>
              <w:rPr>
                <w:rFonts w:hint="eastAsia" w:ascii="宋体" w:hAnsi="宋体" w:cs="宋体"/>
                <w:szCs w:val="21"/>
              </w:rPr>
            </w:pPr>
            <w:r>
              <w:rPr>
                <w:rFonts w:hint="eastAsia" w:ascii="宋体" w:hAnsi="宋体" w:cs="宋体"/>
                <w:szCs w:val="21"/>
              </w:rPr>
              <w:t>首次响应文件提交地点</w:t>
            </w:r>
          </w:p>
        </w:tc>
        <w:tc>
          <w:tcPr>
            <w:tcW w:w="6853" w:type="dxa"/>
            <w:vAlign w:val="center"/>
          </w:tcPr>
          <w:p>
            <w:pPr>
              <w:snapToGrid w:val="0"/>
              <w:spacing w:line="360" w:lineRule="auto"/>
              <w:jc w:val="left"/>
              <w:rPr>
                <w:rFonts w:hint="eastAsia" w:ascii="宋体" w:hAnsi="宋体" w:cs="宋体"/>
                <w:szCs w:val="21"/>
                <w:u w:val="single"/>
              </w:rPr>
            </w:pPr>
            <w:r>
              <w:rPr>
                <w:rFonts w:hint="eastAsia" w:ascii="宋体" w:hAnsi="宋体" w:cs="宋体"/>
                <w:szCs w:val="21"/>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Align w:val="center"/>
          </w:tcPr>
          <w:p>
            <w:pPr>
              <w:spacing w:line="360" w:lineRule="auto"/>
              <w:jc w:val="center"/>
              <w:rPr>
                <w:rFonts w:hint="eastAsia" w:ascii="宋体" w:hAnsi="宋体" w:cs="宋体"/>
                <w:szCs w:val="21"/>
              </w:rPr>
            </w:pPr>
            <w:r>
              <w:rPr>
                <w:rFonts w:hint="eastAsia" w:ascii="宋体" w:hAnsi="宋体" w:cs="宋体"/>
                <w:szCs w:val="21"/>
              </w:rPr>
              <w:t>20.6</w:t>
            </w:r>
          </w:p>
        </w:tc>
        <w:tc>
          <w:tcPr>
            <w:tcW w:w="2786" w:type="dxa"/>
            <w:vAlign w:val="center"/>
          </w:tcPr>
          <w:p>
            <w:pPr>
              <w:spacing w:line="360" w:lineRule="auto"/>
              <w:jc w:val="center"/>
              <w:rPr>
                <w:rFonts w:hint="eastAsia" w:ascii="宋体" w:hAnsi="宋体" w:cs="宋体"/>
                <w:szCs w:val="21"/>
              </w:rPr>
            </w:pPr>
            <w:r>
              <w:rPr>
                <w:rFonts w:hint="eastAsia" w:ascii="宋体" w:hAnsi="宋体" w:cs="宋体"/>
                <w:szCs w:val="21"/>
              </w:rPr>
              <w:t>备份响应文件</w:t>
            </w:r>
          </w:p>
        </w:tc>
        <w:tc>
          <w:tcPr>
            <w:tcW w:w="6853" w:type="dxa"/>
            <w:vAlign w:val="center"/>
          </w:tcPr>
          <w:p>
            <w:pPr>
              <w:snapToGrid w:val="0"/>
              <w:spacing w:line="360" w:lineRule="auto"/>
              <w:jc w:val="left"/>
              <w:rPr>
                <w:rFonts w:hint="eastAsia" w:ascii="宋体" w:hAnsi="宋体" w:cs="宋体"/>
                <w:szCs w:val="21"/>
              </w:rPr>
            </w:pPr>
            <w:r>
              <w:rPr>
                <w:rFonts w:hint="eastAsia" w:ascii="宋体" w:hAnsi="宋体"/>
                <w:color w:val="000000"/>
                <w:szCs w:val="21"/>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Align w:val="center"/>
          </w:tcPr>
          <w:p>
            <w:pPr>
              <w:spacing w:line="360" w:lineRule="auto"/>
              <w:jc w:val="center"/>
              <w:rPr>
                <w:rFonts w:hint="eastAsia" w:ascii="宋体" w:hAnsi="宋体" w:cs="宋体"/>
                <w:szCs w:val="21"/>
              </w:rPr>
            </w:pPr>
            <w:r>
              <w:rPr>
                <w:rFonts w:hint="eastAsia" w:ascii="宋体" w:hAnsi="宋体" w:cs="宋体"/>
                <w:szCs w:val="21"/>
              </w:rPr>
              <w:t>21</w:t>
            </w:r>
          </w:p>
        </w:tc>
        <w:tc>
          <w:tcPr>
            <w:tcW w:w="2786" w:type="dxa"/>
            <w:vAlign w:val="center"/>
          </w:tcPr>
          <w:p>
            <w:pPr>
              <w:spacing w:line="360" w:lineRule="auto"/>
              <w:jc w:val="center"/>
              <w:rPr>
                <w:rFonts w:hint="eastAsia" w:ascii="宋体" w:hAnsi="宋体" w:cs="宋体"/>
                <w:szCs w:val="21"/>
              </w:rPr>
            </w:pPr>
            <w:r>
              <w:rPr>
                <w:rFonts w:hint="eastAsia" w:ascii="宋体" w:hAnsi="宋体" w:cs="宋体"/>
                <w:szCs w:val="21"/>
              </w:rPr>
              <w:t>首次响应文件的退回</w:t>
            </w:r>
          </w:p>
        </w:tc>
        <w:tc>
          <w:tcPr>
            <w:tcW w:w="6853" w:type="dxa"/>
            <w:vAlign w:val="center"/>
          </w:tcPr>
          <w:p>
            <w:pPr>
              <w:snapToGrid w:val="0"/>
              <w:spacing w:line="360" w:lineRule="auto"/>
              <w:jc w:val="left"/>
              <w:rPr>
                <w:rFonts w:hint="eastAsia" w:ascii="宋体" w:hAnsi="宋体" w:cs="宋体"/>
                <w:szCs w:val="21"/>
              </w:rPr>
            </w:pPr>
            <w:r>
              <w:rPr>
                <w:rFonts w:hint="eastAsia" w:ascii="宋体" w:hAnsi="宋体" w:cs="宋体"/>
                <w:szCs w:val="21"/>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vAlign w:val="center"/>
          </w:tcPr>
          <w:p>
            <w:pPr>
              <w:spacing w:line="360" w:lineRule="auto"/>
              <w:jc w:val="center"/>
              <w:rPr>
                <w:rFonts w:hint="eastAsia" w:ascii="宋体" w:hAnsi="宋体" w:cs="宋体"/>
                <w:szCs w:val="21"/>
              </w:rPr>
            </w:pPr>
            <w:r>
              <w:rPr>
                <w:rFonts w:hint="eastAsia" w:ascii="宋体" w:hAnsi="宋体" w:cs="宋体"/>
                <w:szCs w:val="21"/>
              </w:rPr>
              <w:t>2</w:t>
            </w:r>
            <w:r>
              <w:rPr>
                <w:rFonts w:ascii="宋体" w:hAnsi="宋体" w:cs="宋体"/>
                <w:szCs w:val="21"/>
              </w:rPr>
              <w:t>6.2</w:t>
            </w:r>
          </w:p>
        </w:tc>
        <w:tc>
          <w:tcPr>
            <w:tcW w:w="2786" w:type="dxa"/>
            <w:vAlign w:val="center"/>
          </w:tcPr>
          <w:p>
            <w:pPr>
              <w:spacing w:line="360" w:lineRule="auto"/>
              <w:jc w:val="center"/>
              <w:rPr>
                <w:rFonts w:hint="eastAsia" w:ascii="宋体" w:hAnsi="宋体" w:cs="宋体"/>
                <w:szCs w:val="21"/>
              </w:rPr>
            </w:pPr>
            <w:r>
              <w:rPr>
                <w:rFonts w:hint="eastAsia" w:ascii="宋体" w:hAnsi="宋体" w:cs="宋体"/>
                <w:szCs w:val="21"/>
              </w:rPr>
              <w:t>负偏离要求</w:t>
            </w:r>
          </w:p>
        </w:tc>
        <w:tc>
          <w:tcPr>
            <w:tcW w:w="6853" w:type="dxa"/>
            <w:vAlign w:val="center"/>
          </w:tcPr>
          <w:p>
            <w:pPr>
              <w:snapToGrid w:val="0"/>
              <w:spacing w:line="360" w:lineRule="auto"/>
              <w:rPr>
                <w:rFonts w:hint="eastAsia"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0</w:t>
            </w:r>
            <w:r>
              <w:rPr>
                <w:rFonts w:hint="eastAsia" w:ascii="宋体" w:hAnsi="宋体" w:cs="宋体"/>
                <w:szCs w:val="21"/>
              </w:rPr>
              <w:t>项。</w:t>
            </w:r>
          </w:p>
          <w:p>
            <w:pPr>
              <w:snapToGrid w:val="0"/>
              <w:spacing w:line="360" w:lineRule="auto"/>
              <w:rPr>
                <w:rFonts w:hint="eastAsia" w:ascii="宋体" w:hAnsi="宋体" w:cs="宋体"/>
                <w:szCs w:val="21"/>
              </w:rPr>
            </w:pPr>
            <w:r>
              <w:rPr>
                <w:rFonts w:hint="eastAsia" w:ascii="宋体" w:hAnsi="宋体" w:cs="宋体"/>
                <w:szCs w:val="21"/>
              </w:rPr>
              <w:t>货物需求评审中允许负偏离的条款数为</w:t>
            </w:r>
            <w:r>
              <w:rPr>
                <w:rFonts w:hint="eastAsia" w:ascii="宋体" w:hAnsi="宋体" w:cs="宋体"/>
                <w:szCs w:val="21"/>
                <w:u w:val="single"/>
              </w:rPr>
              <w:t xml:space="preserve"> 0</w:t>
            </w:r>
            <w:r>
              <w:rPr>
                <w:rFonts w:hint="eastAsia" w:ascii="宋体" w:hAnsi="宋体" w:cs="宋体"/>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pPr>
              <w:spacing w:line="360" w:lineRule="auto"/>
              <w:jc w:val="center"/>
              <w:rPr>
                <w:rFonts w:hint="eastAsia" w:ascii="宋体" w:hAnsi="宋体" w:cs="宋体"/>
                <w:szCs w:val="21"/>
              </w:rPr>
            </w:pPr>
          </w:p>
        </w:tc>
        <w:tc>
          <w:tcPr>
            <w:tcW w:w="2786" w:type="dxa"/>
            <w:vAlign w:val="center"/>
          </w:tcPr>
          <w:p>
            <w:pPr>
              <w:snapToGrid w:val="0"/>
              <w:spacing w:line="360" w:lineRule="auto"/>
              <w:jc w:val="center"/>
              <w:rPr>
                <w:rFonts w:hint="eastAsia" w:ascii="宋体" w:hAnsi="宋体" w:cs="宋体"/>
                <w:szCs w:val="21"/>
              </w:rPr>
            </w:pPr>
            <w:r>
              <w:rPr>
                <w:rFonts w:hint="eastAsia" w:ascii="宋体" w:hAnsi="宋体" w:cs="宋体"/>
                <w:szCs w:val="21"/>
              </w:rPr>
              <w:t>谈判的顺序</w:t>
            </w:r>
          </w:p>
          <w:p>
            <w:pPr>
              <w:spacing w:line="360" w:lineRule="auto"/>
              <w:jc w:val="center"/>
              <w:rPr>
                <w:rFonts w:hint="eastAsia" w:ascii="宋体" w:hAnsi="宋体" w:cs="宋体"/>
                <w:szCs w:val="21"/>
              </w:rPr>
            </w:pPr>
          </w:p>
        </w:tc>
        <w:tc>
          <w:tcPr>
            <w:tcW w:w="6853" w:type="dxa"/>
            <w:vAlign w:val="center"/>
          </w:tcPr>
          <w:p>
            <w:pPr>
              <w:snapToGrid w:val="0"/>
              <w:spacing w:line="360" w:lineRule="auto"/>
              <w:rPr>
                <w:rFonts w:hint="eastAsia" w:ascii="宋体" w:hAnsi="宋体" w:cs="宋体"/>
                <w:szCs w:val="21"/>
              </w:rPr>
            </w:pPr>
            <w:r>
              <w:rPr>
                <w:rFonts w:hint="eastAsia" w:ascii="宋体" w:hAnsi="宋体" w:cs="宋体"/>
                <w:szCs w:val="21"/>
              </w:rPr>
              <w:t>系统自动提取的顺序</w:t>
            </w:r>
          </w:p>
          <w:p>
            <w:pPr>
              <w:pStyle w:val="8"/>
              <w:spacing w:line="360" w:lineRule="auto"/>
              <w:rPr>
                <w:rFonts w:hint="eastAsia" w:ascii="宋体" w:hAnsi="宋体" w:cs="宋体"/>
                <w:b/>
                <w:szCs w:val="21"/>
                <w:lang w:val="en-US" w:eastAsia="zh-CN"/>
              </w:rPr>
            </w:pPr>
            <w:r>
              <w:rPr>
                <w:rFonts w:hint="eastAsia" w:ascii="宋体" w:hAnsi="宋体" w:cs="宋体"/>
                <w:b/>
                <w:szCs w:val="21"/>
                <w:lang w:val="en-US" w:eastAsia="zh-CN"/>
              </w:rPr>
              <w:t>参与谈判前，供应商法定代表人或者委托代理人必须通过电脑摄像头向谈判小组出示本人有效证件原件</w:t>
            </w:r>
            <w:r>
              <w:rPr>
                <w:rFonts w:ascii="宋体" w:hAnsi="宋体" w:cs="宋体"/>
                <w:b/>
                <w:szCs w:val="21"/>
                <w:lang w:val="en-US" w:eastAsia="zh-CN"/>
              </w:rPr>
              <w:t>[</w:t>
            </w:r>
            <w:r>
              <w:rPr>
                <w:rFonts w:hint="eastAsia" w:ascii="宋体" w:hAnsi="宋体" w:cs="宋体"/>
                <w:b/>
                <w:szCs w:val="21"/>
                <w:lang w:val="en-US" w:eastAsia="zh-CN"/>
              </w:rPr>
              <w:t>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pPr>
              <w:spacing w:line="360" w:lineRule="auto"/>
              <w:jc w:val="center"/>
              <w:rPr>
                <w:rFonts w:ascii="宋体" w:hAnsi="宋体" w:cs="宋体"/>
                <w:szCs w:val="21"/>
              </w:rPr>
            </w:pPr>
          </w:p>
        </w:tc>
        <w:tc>
          <w:tcPr>
            <w:tcW w:w="2786" w:type="dxa"/>
            <w:vAlign w:val="center"/>
          </w:tcPr>
          <w:p>
            <w:pPr>
              <w:spacing w:line="360" w:lineRule="auto"/>
              <w:jc w:val="center"/>
              <w:rPr>
                <w:rFonts w:hint="eastAsia" w:ascii="宋体" w:hAnsi="宋体" w:cs="宋体"/>
                <w:szCs w:val="21"/>
              </w:rPr>
            </w:pPr>
            <w:r>
              <w:rPr>
                <w:rFonts w:hint="eastAsia" w:ascii="宋体" w:hAnsi="宋体" w:cs="宋体"/>
                <w:szCs w:val="21"/>
              </w:rPr>
              <w:t>评审价相同时成交原则</w:t>
            </w:r>
          </w:p>
        </w:tc>
        <w:tc>
          <w:tcPr>
            <w:tcW w:w="6853" w:type="dxa"/>
            <w:vAlign w:val="center"/>
          </w:tcPr>
          <w:p>
            <w:pPr>
              <w:snapToGrid w:val="0"/>
              <w:spacing w:line="360" w:lineRule="auto"/>
              <w:rPr>
                <w:rFonts w:hint="eastAsia" w:ascii="宋体" w:hAnsi="宋体" w:cs="宋体"/>
                <w:color w:val="000000"/>
                <w:szCs w:val="21"/>
              </w:rPr>
            </w:pPr>
            <w:r>
              <w:rPr>
                <w:rFonts w:hint="eastAsia" w:ascii="宋体" w:hAnsi="宋体" w:cs="宋体"/>
                <w:color w:val="000000"/>
                <w:szCs w:val="21"/>
              </w:rPr>
              <w:t>评审价相同时，按照最后报价由低到高顺序依次推荐；最后报价相同时，按以下原则确定成交候选人的顺序：</w:t>
            </w:r>
          </w:p>
          <w:p>
            <w:pPr>
              <w:snapToGrid w:val="0"/>
              <w:spacing w:line="360" w:lineRule="auto"/>
              <w:rPr>
                <w:rFonts w:hint="eastAsia" w:ascii="宋体" w:hAnsi="宋体" w:cs="宋体"/>
                <w:color w:val="000000"/>
                <w:szCs w:val="21"/>
              </w:rPr>
            </w:pPr>
            <w:r>
              <w:rPr>
                <w:rFonts w:hint="eastAsia" w:ascii="宋体" w:hAnsi="宋体" w:cs="宋体"/>
                <w:color w:val="000000"/>
                <w:szCs w:val="21"/>
                <w:lang w:eastAsia="zh-CN"/>
              </w:rPr>
              <w:t>☑</w:t>
            </w:r>
            <w:r>
              <w:rPr>
                <w:rFonts w:hint="eastAsia" w:ascii="宋体" w:hAnsi="宋体" w:cs="宋体"/>
                <w:color w:val="000000"/>
                <w:szCs w:val="21"/>
              </w:rPr>
              <w:t>依次按带“▲”的实质性要求正偏离项数多的优先、均无正偏离或者正偏离项数一致时负偏离项数少的优先、质量保证期长优先、交货期短优先、故障响应时间短优先的顺序排列。</w:t>
            </w:r>
          </w:p>
          <w:p>
            <w:pPr>
              <w:snapToGrid w:val="0"/>
              <w:spacing w:line="360" w:lineRule="auto"/>
              <w:rPr>
                <w:rFonts w:hint="eastAsia" w:ascii="宋体" w:hAnsi="宋体" w:cs="宋体"/>
                <w:szCs w:val="21"/>
              </w:rPr>
            </w:pPr>
            <w:r>
              <w:rPr>
                <w:rFonts w:hint="eastAsia" w:ascii="宋体" w:hAnsi="宋体" w:cs="宋体"/>
                <w:color w:val="000000"/>
                <w:szCs w:val="21"/>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pPr>
              <w:spacing w:line="360" w:lineRule="auto"/>
              <w:jc w:val="center"/>
              <w:rPr>
                <w:rFonts w:hint="eastAsia" w:ascii="宋体" w:hAnsi="宋体" w:cs="宋体"/>
                <w:szCs w:val="21"/>
              </w:rPr>
            </w:pPr>
            <w:r>
              <w:rPr>
                <w:rFonts w:ascii="宋体" w:hAnsi="宋体" w:cs="宋体"/>
                <w:szCs w:val="21"/>
              </w:rPr>
              <w:t>28</w:t>
            </w:r>
          </w:p>
        </w:tc>
        <w:tc>
          <w:tcPr>
            <w:tcW w:w="2786" w:type="dxa"/>
            <w:vAlign w:val="center"/>
          </w:tcPr>
          <w:p>
            <w:pPr>
              <w:spacing w:line="360" w:lineRule="auto"/>
              <w:jc w:val="center"/>
              <w:rPr>
                <w:rFonts w:hint="eastAsia" w:ascii="宋体" w:hAnsi="宋体" w:cs="宋体"/>
                <w:szCs w:val="21"/>
              </w:rPr>
            </w:pPr>
            <w:r>
              <w:rPr>
                <w:rFonts w:hint="eastAsia" w:ascii="宋体" w:hAnsi="宋体" w:cs="宋体"/>
                <w:szCs w:val="21"/>
              </w:rPr>
              <w:t>履约保证金</w:t>
            </w:r>
          </w:p>
        </w:tc>
        <w:tc>
          <w:tcPr>
            <w:tcW w:w="6853" w:type="dxa"/>
            <w:vAlign w:val="center"/>
          </w:tcPr>
          <w:p>
            <w:pPr>
              <w:snapToGrid w:val="0"/>
              <w:spacing w:line="360" w:lineRule="auto"/>
              <w:rPr>
                <w:rFonts w:hint="eastAsia" w:ascii="宋体" w:hAnsi="宋体" w:cs="宋体"/>
                <w:szCs w:val="21"/>
              </w:rPr>
            </w:pPr>
            <w:r>
              <w:rPr>
                <w:rFonts w:hint="eastAsia" w:ascii="宋体" w:hAnsi="宋体" w:cs="宋体"/>
                <w:szCs w:val="21"/>
              </w:rPr>
              <w:t xml:space="preserve">本项目不收取履约保证金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pPr>
              <w:spacing w:line="360" w:lineRule="auto"/>
              <w:jc w:val="center"/>
              <w:rPr>
                <w:rFonts w:hint="eastAsia" w:ascii="宋体" w:hAnsi="宋体" w:cs="宋体"/>
                <w:szCs w:val="21"/>
              </w:rPr>
            </w:pPr>
            <w:r>
              <w:rPr>
                <w:rFonts w:ascii="宋体" w:hAnsi="宋体" w:cs="宋体"/>
                <w:szCs w:val="21"/>
              </w:rPr>
              <w:t>29.</w:t>
            </w:r>
            <w:r>
              <w:rPr>
                <w:rFonts w:hint="eastAsia" w:ascii="宋体" w:hAnsi="宋体" w:cs="宋体"/>
                <w:szCs w:val="21"/>
              </w:rPr>
              <w:t>5</w:t>
            </w:r>
          </w:p>
        </w:tc>
        <w:tc>
          <w:tcPr>
            <w:tcW w:w="2786" w:type="dxa"/>
            <w:vAlign w:val="center"/>
          </w:tcPr>
          <w:p>
            <w:pPr>
              <w:spacing w:line="360" w:lineRule="auto"/>
              <w:jc w:val="center"/>
              <w:rPr>
                <w:rFonts w:hint="eastAsia" w:ascii="宋体" w:hAnsi="宋体" w:cs="宋体"/>
                <w:szCs w:val="21"/>
              </w:rPr>
            </w:pPr>
            <w:r>
              <w:rPr>
                <w:rFonts w:hint="eastAsia" w:ascii="宋体" w:hAnsi="宋体"/>
                <w:szCs w:val="21"/>
              </w:rPr>
              <w:t>签订合同携带的材料</w:t>
            </w:r>
          </w:p>
        </w:tc>
        <w:tc>
          <w:tcPr>
            <w:tcW w:w="6853" w:type="dxa"/>
            <w:vAlign w:val="center"/>
          </w:tcPr>
          <w:p>
            <w:pPr>
              <w:snapToGrid w:val="0"/>
              <w:spacing w:line="360" w:lineRule="auto"/>
              <w:rPr>
                <w:rFonts w:hint="eastAsia" w:ascii="宋体" w:hAnsi="宋体" w:cs="宋体"/>
                <w:szCs w:val="21"/>
              </w:rPr>
            </w:pPr>
            <w:r>
              <w:rPr>
                <w:rFonts w:hint="eastAsia" w:ascii="宋体" w:hAnsi="宋体"/>
                <w:szCs w:val="21"/>
              </w:rPr>
              <w:t>使用的有效CA证书加盖单位电子公章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vAlign w:val="center"/>
          </w:tcPr>
          <w:p>
            <w:pPr>
              <w:spacing w:line="360" w:lineRule="auto"/>
              <w:jc w:val="center"/>
              <w:rPr>
                <w:rFonts w:hint="eastAsia" w:ascii="宋体" w:hAnsi="宋体" w:cs="宋体"/>
                <w:szCs w:val="21"/>
              </w:rPr>
            </w:pPr>
            <w:r>
              <w:rPr>
                <w:rFonts w:hint="eastAsia" w:ascii="宋体" w:hAnsi="宋体" w:cs="宋体"/>
                <w:szCs w:val="21"/>
              </w:rPr>
              <w:t>3</w:t>
            </w:r>
            <w:r>
              <w:rPr>
                <w:rFonts w:ascii="宋体" w:hAnsi="宋体" w:cs="宋体"/>
                <w:szCs w:val="21"/>
              </w:rPr>
              <w:t>1.2</w:t>
            </w:r>
          </w:p>
        </w:tc>
        <w:tc>
          <w:tcPr>
            <w:tcW w:w="2786" w:type="dxa"/>
            <w:vAlign w:val="center"/>
          </w:tcPr>
          <w:p>
            <w:pPr>
              <w:spacing w:line="380" w:lineRule="exact"/>
              <w:jc w:val="center"/>
              <w:rPr>
                <w:rFonts w:hint="eastAsia" w:ascii="宋体" w:hAnsi="宋体"/>
                <w:color w:val="000000"/>
                <w:szCs w:val="21"/>
              </w:rPr>
            </w:pPr>
            <w:r>
              <w:rPr>
                <w:rFonts w:hint="eastAsia" w:ascii="宋体" w:hAnsi="宋体"/>
                <w:color w:val="000000"/>
                <w:szCs w:val="21"/>
              </w:rPr>
              <w:t>接收质疑函方式</w:t>
            </w:r>
          </w:p>
        </w:tc>
        <w:tc>
          <w:tcPr>
            <w:tcW w:w="6853" w:type="dxa"/>
            <w:vAlign w:val="center"/>
          </w:tcPr>
          <w:p>
            <w:pPr>
              <w:snapToGrid w:val="0"/>
              <w:spacing w:line="380" w:lineRule="exact"/>
              <w:rPr>
                <w:rFonts w:hint="eastAsia" w:ascii="宋体" w:hAnsi="宋体"/>
                <w:color w:val="000000"/>
                <w:szCs w:val="21"/>
              </w:rPr>
            </w:pPr>
            <w:r>
              <w:rPr>
                <w:rFonts w:hint="eastAsia" w:ascii="宋体" w:hAnsi="宋体"/>
                <w:color w:val="000000"/>
                <w:szCs w:val="21"/>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pPr>
              <w:spacing w:line="360" w:lineRule="auto"/>
              <w:jc w:val="center"/>
              <w:rPr>
                <w:rFonts w:hint="eastAsia" w:ascii="宋体" w:hAnsi="宋体" w:cs="宋体"/>
                <w:szCs w:val="21"/>
              </w:rPr>
            </w:pPr>
          </w:p>
        </w:tc>
        <w:tc>
          <w:tcPr>
            <w:tcW w:w="2786" w:type="dxa"/>
            <w:vAlign w:val="center"/>
          </w:tcPr>
          <w:p>
            <w:pPr>
              <w:spacing w:line="380" w:lineRule="exact"/>
              <w:jc w:val="center"/>
              <w:rPr>
                <w:rFonts w:hint="eastAsia" w:ascii="宋体" w:hAnsi="宋体"/>
                <w:color w:val="000000"/>
                <w:szCs w:val="21"/>
              </w:rPr>
            </w:pPr>
            <w:r>
              <w:rPr>
                <w:rFonts w:hint="eastAsia" w:ascii="宋体" w:hAnsi="宋体"/>
                <w:color w:val="000000"/>
                <w:szCs w:val="21"/>
              </w:rPr>
              <w:t>质疑联系部门及联系方式</w:t>
            </w:r>
          </w:p>
        </w:tc>
        <w:tc>
          <w:tcPr>
            <w:tcW w:w="6853" w:type="dxa"/>
            <w:vAlign w:val="center"/>
          </w:tcPr>
          <w:p>
            <w:pPr>
              <w:snapToGrid w:val="0"/>
              <w:spacing w:line="360" w:lineRule="auto"/>
              <w:rPr>
                <w:rFonts w:hint="eastAsia" w:ascii="宋体" w:hAnsi="宋体"/>
                <w:color w:val="000000"/>
                <w:szCs w:val="21"/>
              </w:rPr>
            </w:pPr>
            <w:r>
              <w:rPr>
                <w:rFonts w:hint="eastAsia" w:ascii="宋体" w:hAnsi="宋体"/>
                <w:color w:val="000000"/>
                <w:szCs w:val="21"/>
                <w:u w:val="single"/>
              </w:rPr>
              <w:t>（1）</w:t>
            </w:r>
            <w:bookmarkStart w:id="47" w:name="PO_3000001871_PM031_3"/>
            <w:r>
              <w:rPr>
                <w:rFonts w:hint="eastAsia" w:ascii="宋体" w:hAnsi="宋体"/>
                <w:color w:val="000000"/>
                <w:szCs w:val="21"/>
                <w:u w:val="single"/>
                <w:lang w:eastAsia="zh-CN"/>
              </w:rPr>
              <w:t>南宁高新技术产业开发区</w:t>
            </w:r>
            <w:bookmarkEnd w:id="47"/>
            <w:r>
              <w:rPr>
                <w:rFonts w:hint="eastAsia" w:ascii="宋体" w:hAnsi="宋体"/>
                <w:color w:val="000000"/>
                <w:szCs w:val="21"/>
                <w:u w:val="single"/>
                <w:lang w:val="en-US" w:eastAsia="zh-CN"/>
              </w:rPr>
              <w:t>公共资源交易中心</w:t>
            </w:r>
            <w:r>
              <w:rPr>
                <w:rFonts w:hint="eastAsia" w:ascii="宋体" w:hAnsi="宋体"/>
                <w:color w:val="000000"/>
                <w:szCs w:val="21"/>
                <w:u w:val="single"/>
              </w:rPr>
              <w:t xml:space="preserve">    </w:t>
            </w:r>
            <w:r>
              <w:rPr>
                <w:rFonts w:hint="eastAsia" w:ascii="宋体" w:hAnsi="宋体"/>
                <w:color w:val="000000"/>
                <w:szCs w:val="21"/>
              </w:rPr>
              <w:t>部门；</w:t>
            </w:r>
          </w:p>
          <w:p>
            <w:pPr>
              <w:snapToGrid w:val="0"/>
              <w:spacing w:line="360" w:lineRule="auto"/>
              <w:rPr>
                <w:rFonts w:hint="eastAsia" w:ascii="宋体" w:hAnsi="宋体"/>
                <w:color w:val="000000"/>
                <w:szCs w:val="21"/>
              </w:rPr>
            </w:pPr>
            <w:r>
              <w:rPr>
                <w:rFonts w:ascii="宋体" w:hAnsi="宋体"/>
                <w:color w:val="000000"/>
                <w:szCs w:val="21"/>
              </w:rPr>
              <w:t>联系电话</w:t>
            </w:r>
            <w:r>
              <w:rPr>
                <w:rFonts w:hint="eastAsia" w:ascii="宋体" w:hAnsi="宋体"/>
                <w:color w:val="000000"/>
                <w:szCs w:val="21"/>
              </w:rPr>
              <w:t>：</w:t>
            </w:r>
            <w:bookmarkStart w:id="48" w:name="PO_3000001871_PM033"/>
            <w:r>
              <w:rPr>
                <w:rFonts w:hint="eastAsia" w:ascii="宋体" w:hAnsi="宋体"/>
                <w:color w:val="000000"/>
                <w:szCs w:val="21"/>
                <w:lang w:eastAsia="zh-CN"/>
              </w:rPr>
              <w:t>0771-5816874</w:t>
            </w:r>
            <w:bookmarkEnd w:id="48"/>
          </w:p>
          <w:p>
            <w:pPr>
              <w:snapToGrid w:val="0"/>
              <w:spacing w:line="360" w:lineRule="auto"/>
              <w:rPr>
                <w:rFonts w:hint="eastAsia" w:ascii="宋体" w:hAnsi="宋体"/>
                <w:color w:val="000000"/>
                <w:szCs w:val="21"/>
              </w:rPr>
            </w:pPr>
            <w:r>
              <w:rPr>
                <w:rFonts w:ascii="宋体" w:hAnsi="宋体"/>
                <w:color w:val="000000"/>
                <w:szCs w:val="21"/>
              </w:rPr>
              <w:t>通讯地址</w:t>
            </w:r>
            <w:r>
              <w:rPr>
                <w:rFonts w:hint="eastAsia" w:ascii="宋体" w:hAnsi="宋体" w:cs="Helvetica"/>
                <w:color w:val="000000"/>
                <w:szCs w:val="21"/>
              </w:rPr>
              <w:t>：</w:t>
            </w:r>
            <w:r>
              <w:rPr>
                <w:rFonts w:hint="eastAsia" w:ascii="宋体" w:hAnsi="宋体"/>
                <w:color w:val="000000"/>
                <w:szCs w:val="21"/>
                <w:u w:val="single"/>
              </w:rPr>
              <w:t xml:space="preserve"> </w:t>
            </w:r>
            <w:bookmarkStart w:id="49" w:name="PO_3000001871_PM033_1"/>
            <w:r>
              <w:rPr>
                <w:rFonts w:hint="eastAsia" w:ascii="宋体" w:hAnsi="宋体"/>
                <w:color w:val="000000"/>
                <w:szCs w:val="21"/>
                <w:u w:val="single"/>
                <w:lang w:eastAsia="zh-CN"/>
              </w:rPr>
              <w:t>0771-5816874</w:t>
            </w:r>
            <w:bookmarkEnd w:id="49"/>
            <w:r>
              <w:rPr>
                <w:rFonts w:hint="eastAsia" w:ascii="宋体" w:hAnsi="宋体"/>
                <w:color w:val="000000"/>
                <w:szCs w:val="21"/>
                <w:u w:val="single"/>
              </w:rPr>
              <w:t xml:space="preserve"> </w:t>
            </w:r>
            <w:r>
              <w:rPr>
                <w:rFonts w:hint="eastAsia" w:ascii="宋体" w:hAnsi="宋体"/>
                <w:color w:val="000000"/>
                <w:szCs w:val="21"/>
              </w:rPr>
              <w:t xml:space="preserve"> </w:t>
            </w:r>
          </w:p>
          <w:p>
            <w:pPr>
              <w:snapToGrid w:val="0"/>
              <w:spacing w:line="360" w:lineRule="auto"/>
              <w:rPr>
                <w:rFonts w:hint="eastAsia" w:ascii="宋体" w:hAnsi="宋体"/>
                <w:color w:val="000000"/>
                <w:szCs w:val="21"/>
              </w:rPr>
            </w:pPr>
            <w:r>
              <w:rPr>
                <w:rFonts w:hint="eastAsia" w:ascii="宋体" w:hAnsi="宋体"/>
                <w:color w:val="000000"/>
                <w:szCs w:val="21"/>
                <w:u w:val="single"/>
              </w:rPr>
              <w:t>（2）</w:t>
            </w:r>
            <w:r>
              <w:rPr>
                <w:rFonts w:hint="eastAsia" w:ascii="宋体" w:hAnsi="宋体"/>
                <w:color w:val="000000"/>
                <w:szCs w:val="21"/>
                <w:u w:val="single"/>
                <w:lang w:eastAsia="zh-CN"/>
              </w:rPr>
              <w:t>南宁高新技术产业开发区教育局</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部门；</w:t>
            </w:r>
          </w:p>
          <w:p>
            <w:pPr>
              <w:snapToGrid w:val="0"/>
              <w:spacing w:line="360" w:lineRule="auto"/>
              <w:rPr>
                <w:rFonts w:hint="eastAsia" w:ascii="宋体" w:hAnsi="宋体"/>
                <w:color w:val="000000"/>
                <w:szCs w:val="21"/>
              </w:rPr>
            </w:pPr>
            <w:r>
              <w:rPr>
                <w:rFonts w:ascii="宋体" w:hAnsi="宋体"/>
                <w:color w:val="000000"/>
                <w:szCs w:val="21"/>
              </w:rPr>
              <w:t>联系电话</w:t>
            </w:r>
            <w:r>
              <w:rPr>
                <w:rFonts w:hint="eastAsia" w:ascii="宋体" w:hAnsi="宋体"/>
                <w:color w:val="000000"/>
                <w:szCs w:val="21"/>
              </w:rPr>
              <w:t>：</w:t>
            </w:r>
            <w:bookmarkStart w:id="50" w:name="PO_3000001871_PM028_2"/>
            <w:r>
              <w:rPr>
                <w:rFonts w:hint="eastAsia" w:ascii="宋体" w:hAnsi="宋体"/>
                <w:color w:val="000000"/>
                <w:szCs w:val="21"/>
                <w:lang w:eastAsia="zh-CN"/>
              </w:rPr>
              <w:t>0771-</w:t>
            </w:r>
            <w:bookmarkEnd w:id="50"/>
            <w:r>
              <w:rPr>
                <w:rFonts w:hint="eastAsia" w:ascii="宋体" w:hAnsi="宋体"/>
                <w:color w:val="000000"/>
                <w:szCs w:val="21"/>
                <w:lang w:eastAsia="zh-CN"/>
              </w:rPr>
              <w:t>3368232</w:t>
            </w:r>
          </w:p>
          <w:p>
            <w:pPr>
              <w:snapToGrid w:val="0"/>
              <w:spacing w:line="360" w:lineRule="auto"/>
              <w:rPr>
                <w:rFonts w:hint="eastAsia" w:ascii="宋体" w:hAnsi="宋体"/>
                <w:color w:val="000000"/>
                <w:szCs w:val="21"/>
              </w:rPr>
            </w:pPr>
            <w:r>
              <w:rPr>
                <w:rFonts w:ascii="宋体" w:hAnsi="宋体"/>
                <w:color w:val="000000"/>
                <w:szCs w:val="21"/>
              </w:rPr>
              <w:t>通讯地址</w:t>
            </w:r>
            <w:r>
              <w:rPr>
                <w:rFonts w:hint="eastAsia" w:ascii="宋体" w:hAnsi="宋体" w:cs="Helvetica"/>
                <w:color w:val="000000"/>
                <w:szCs w:val="21"/>
              </w:rPr>
              <w:t>：</w:t>
            </w:r>
            <w:r>
              <w:rPr>
                <w:rFonts w:hint="eastAsia" w:ascii="宋体" w:hAnsi="宋体"/>
                <w:color w:val="000000"/>
                <w:szCs w:val="21"/>
                <w:u w:val="single"/>
              </w:rPr>
              <w:t xml:space="preserve"> </w:t>
            </w:r>
            <w:bookmarkStart w:id="51" w:name="PO_3000001871_PM030_2"/>
            <w:r>
              <w:rPr>
                <w:rFonts w:hint="eastAsia" w:ascii="宋体" w:hAnsi="宋体"/>
                <w:color w:val="000000"/>
                <w:szCs w:val="21"/>
                <w:u w:val="single"/>
                <w:lang w:eastAsia="zh-CN"/>
              </w:rPr>
              <w:t>滨河路1号火炬大厦</w:t>
            </w:r>
            <w:bookmarkEnd w:id="51"/>
            <w:r>
              <w:rPr>
                <w:rFonts w:hint="eastAsia" w:ascii="宋体" w:hAnsi="宋体"/>
                <w:color w:val="000000"/>
                <w:szCs w:val="21"/>
                <w:u w:val="single"/>
              </w:rPr>
              <w:t xml:space="preserve"> </w:t>
            </w:r>
            <w:r>
              <w:rPr>
                <w:rFonts w:hint="eastAsia" w:ascii="宋体" w:hAnsi="宋体"/>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pPr>
              <w:spacing w:line="360" w:lineRule="auto"/>
              <w:jc w:val="center"/>
              <w:rPr>
                <w:rFonts w:ascii="宋体" w:hAnsi="宋体" w:cs="宋体"/>
                <w:szCs w:val="21"/>
              </w:rPr>
            </w:pPr>
          </w:p>
        </w:tc>
        <w:tc>
          <w:tcPr>
            <w:tcW w:w="2786" w:type="dxa"/>
            <w:vAlign w:val="center"/>
          </w:tcPr>
          <w:p>
            <w:pPr>
              <w:spacing w:line="380" w:lineRule="exact"/>
              <w:jc w:val="center"/>
              <w:rPr>
                <w:rFonts w:hint="eastAsia" w:ascii="宋体" w:hAnsi="宋体"/>
                <w:color w:val="000000"/>
                <w:szCs w:val="21"/>
              </w:rPr>
            </w:pPr>
            <w:r>
              <w:rPr>
                <w:rFonts w:hint="eastAsia" w:hAnsi="宋体"/>
                <w:color w:val="000000"/>
              </w:rPr>
              <w:t>现场提交质疑办理业务时间</w:t>
            </w:r>
          </w:p>
        </w:tc>
        <w:tc>
          <w:tcPr>
            <w:tcW w:w="6853" w:type="dxa"/>
            <w:vAlign w:val="center"/>
          </w:tcPr>
          <w:p>
            <w:pPr>
              <w:snapToGrid w:val="0"/>
              <w:spacing w:line="380" w:lineRule="exact"/>
              <w:rPr>
                <w:rFonts w:hint="eastAsia" w:ascii="宋体" w:hAnsi="宋体"/>
                <w:color w:val="000000"/>
                <w:szCs w:val="21"/>
              </w:rPr>
            </w:pPr>
            <w:r>
              <w:rPr>
                <w:rFonts w:hint="eastAsia" w:hAnsi="宋体"/>
                <w:color w:val="000000"/>
              </w:rPr>
              <w:t>质疑期内每个工作日</w:t>
            </w:r>
            <w:r>
              <w:rPr>
                <w:rFonts w:hint="eastAsia" w:hAnsi="宋体"/>
                <w:color w:val="000000"/>
                <w:u w:val="single"/>
                <w:lang w:val="en-US" w:eastAsia="zh-CN"/>
              </w:rPr>
              <w:t>8</w:t>
            </w:r>
            <w:r>
              <w:rPr>
                <w:rFonts w:hint="eastAsia" w:hAnsi="宋体"/>
                <w:color w:val="000000"/>
              </w:rPr>
              <w:t>时</w:t>
            </w:r>
            <w:r>
              <w:rPr>
                <w:rFonts w:hint="eastAsia" w:hAnsi="宋体"/>
                <w:color w:val="000000"/>
                <w:u w:val="single"/>
              </w:rPr>
              <w:t xml:space="preserve"> </w:t>
            </w:r>
            <w:r>
              <w:rPr>
                <w:rFonts w:hint="eastAsia" w:hAnsi="宋体"/>
                <w:color w:val="000000"/>
                <w:u w:val="single"/>
                <w:lang w:val="en-US" w:eastAsia="zh-CN"/>
              </w:rPr>
              <w:t>30</w:t>
            </w:r>
            <w:r>
              <w:rPr>
                <w:rFonts w:hint="eastAsia" w:hAnsi="宋体"/>
                <w:color w:val="000000"/>
                <w:u w:val="single"/>
              </w:rPr>
              <w:t xml:space="preserve"> </w:t>
            </w:r>
            <w:r>
              <w:rPr>
                <w:rFonts w:hint="eastAsia" w:hAnsi="宋体"/>
                <w:color w:val="000000"/>
              </w:rPr>
              <w:t>分到</w:t>
            </w:r>
            <w:r>
              <w:rPr>
                <w:rFonts w:hint="eastAsia" w:hAnsi="宋体"/>
                <w:color w:val="000000"/>
                <w:u w:val="single"/>
                <w:lang w:val="en-US" w:eastAsia="zh-CN"/>
              </w:rPr>
              <w:t>12</w:t>
            </w:r>
            <w:r>
              <w:rPr>
                <w:rFonts w:hint="eastAsia" w:hAnsi="宋体"/>
                <w:color w:val="000000"/>
              </w:rPr>
              <w:t>时</w:t>
            </w:r>
            <w:r>
              <w:rPr>
                <w:rFonts w:hint="eastAsia" w:ascii="Times New Roman" w:hAnsi="宋体" w:eastAsia="宋体" w:cs="Times New Roman"/>
                <w:color w:val="000000"/>
                <w:u w:val="single"/>
                <w:lang w:val="en-US" w:eastAsia="zh-CN"/>
              </w:rPr>
              <w:t>00</w:t>
            </w:r>
            <w:r>
              <w:rPr>
                <w:rFonts w:hint="eastAsia" w:hAnsi="宋体"/>
                <w:color w:val="000000"/>
              </w:rPr>
              <w:t>分，</w:t>
            </w:r>
            <w:r>
              <w:rPr>
                <w:rFonts w:hint="eastAsia" w:hAnsi="宋体"/>
                <w:color w:val="000000"/>
                <w:u w:val="single"/>
                <w:lang w:val="en-US" w:eastAsia="zh-CN"/>
              </w:rPr>
              <w:t>14</w:t>
            </w:r>
            <w:r>
              <w:rPr>
                <w:rFonts w:hint="eastAsia" w:hAnsi="宋体"/>
                <w:color w:val="000000"/>
              </w:rPr>
              <w:t>时</w:t>
            </w:r>
            <w:r>
              <w:rPr>
                <w:rFonts w:hint="eastAsia" w:hAnsi="宋体"/>
                <w:color w:val="000000"/>
                <w:u w:val="single"/>
                <w:lang w:val="en-US" w:eastAsia="zh-CN"/>
              </w:rPr>
              <w:t>30</w:t>
            </w:r>
            <w:r>
              <w:rPr>
                <w:rFonts w:hint="eastAsia" w:hAnsi="宋体"/>
                <w:color w:val="000000"/>
              </w:rPr>
              <w:t>分到</w:t>
            </w:r>
            <w:r>
              <w:rPr>
                <w:rFonts w:hint="eastAsia" w:hAnsi="宋体"/>
                <w:color w:val="000000"/>
                <w:u w:val="single"/>
                <w:lang w:val="en-US" w:eastAsia="zh-CN"/>
              </w:rPr>
              <w:t>18</w:t>
            </w:r>
            <w:r>
              <w:rPr>
                <w:rFonts w:hint="eastAsia" w:hAnsi="宋体"/>
                <w:color w:val="000000"/>
              </w:rPr>
              <w:t>时</w:t>
            </w:r>
            <w:r>
              <w:rPr>
                <w:rFonts w:hint="eastAsia" w:hAnsi="宋体"/>
                <w:color w:val="000000"/>
                <w:u w:val="single"/>
                <w:lang w:val="en-US" w:eastAsia="zh-CN"/>
              </w:rPr>
              <w:t>00</w:t>
            </w:r>
            <w:r>
              <w:rPr>
                <w:rFonts w:hint="eastAsia" w:hAnsi="宋体"/>
                <w:color w:val="00000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pPr>
              <w:spacing w:line="360" w:lineRule="auto"/>
              <w:jc w:val="center"/>
              <w:rPr>
                <w:rFonts w:ascii="宋体" w:hAnsi="宋体" w:cs="宋体"/>
                <w:szCs w:val="21"/>
              </w:rPr>
            </w:pPr>
            <w:r>
              <w:rPr>
                <w:rFonts w:hint="eastAsia" w:ascii="宋体" w:hAnsi="宋体" w:cs="宋体"/>
                <w:szCs w:val="21"/>
              </w:rPr>
              <w:t>31.6</w:t>
            </w:r>
          </w:p>
        </w:tc>
        <w:tc>
          <w:tcPr>
            <w:tcW w:w="2786" w:type="dxa"/>
            <w:vAlign w:val="center"/>
          </w:tcPr>
          <w:p>
            <w:pPr>
              <w:spacing w:line="360" w:lineRule="auto"/>
              <w:jc w:val="center"/>
              <w:rPr>
                <w:rFonts w:hint="eastAsia" w:ascii="宋体" w:hAnsi="宋体" w:cs="宋体"/>
                <w:szCs w:val="21"/>
              </w:rPr>
            </w:pPr>
            <w:r>
              <w:rPr>
                <w:rFonts w:hint="eastAsia" w:ascii="宋体" w:hAnsi="宋体" w:cs="宋体"/>
                <w:szCs w:val="21"/>
              </w:rPr>
              <w:t>受理投诉方式</w:t>
            </w:r>
          </w:p>
        </w:tc>
        <w:tc>
          <w:tcPr>
            <w:tcW w:w="6853" w:type="dxa"/>
            <w:vAlign w:val="center"/>
          </w:tcPr>
          <w:p>
            <w:pPr>
              <w:snapToGrid w:val="0"/>
              <w:spacing w:line="360" w:lineRule="auto"/>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val="en-US" w:eastAsia="zh-CN"/>
              </w:rPr>
              <w:t>.</w:t>
            </w:r>
            <w:r>
              <w:rPr>
                <w:rFonts w:hint="eastAsia" w:ascii="宋体" w:hAnsi="宋体"/>
                <w:color w:val="000000"/>
                <w:szCs w:val="21"/>
              </w:rPr>
              <w:t>受理方式：纸质方式受理，投诉书正、副本（经过质疑的事项才可投诉）。</w:t>
            </w:r>
          </w:p>
          <w:p>
            <w:pPr>
              <w:snapToGrid w:val="0"/>
              <w:spacing w:line="360" w:lineRule="auto"/>
              <w:rPr>
                <w:rFonts w:hint="eastAsia" w:ascii="宋体" w:hAnsi="宋体"/>
                <w:color w:val="000000"/>
                <w:szCs w:val="21"/>
              </w:rPr>
            </w:pPr>
            <w:r>
              <w:rPr>
                <w:rFonts w:hint="eastAsia" w:ascii="宋体" w:hAnsi="宋体"/>
                <w:color w:val="000000"/>
                <w:szCs w:val="21"/>
              </w:rPr>
              <w:t>2</w:t>
            </w:r>
            <w:r>
              <w:rPr>
                <w:rFonts w:hint="eastAsia" w:ascii="宋体" w:hAnsi="宋体"/>
                <w:color w:val="000000"/>
                <w:szCs w:val="21"/>
                <w:lang w:val="en-US" w:eastAsia="zh-CN"/>
              </w:rPr>
              <w:t>.</w:t>
            </w:r>
            <w:r>
              <w:rPr>
                <w:rFonts w:hint="eastAsia" w:ascii="宋体" w:hAnsi="宋体"/>
                <w:color w:val="000000"/>
                <w:szCs w:val="21"/>
              </w:rPr>
              <w:t>邮寄地址：</w:t>
            </w:r>
          </w:p>
          <w:p>
            <w:pPr>
              <w:snapToGrid w:val="0"/>
              <w:spacing w:line="360" w:lineRule="auto"/>
              <w:rPr>
                <w:rFonts w:hint="eastAsia" w:ascii="宋体" w:hAnsi="宋体"/>
                <w:color w:val="000000"/>
                <w:szCs w:val="21"/>
              </w:rPr>
            </w:pPr>
            <w:r>
              <w:rPr>
                <w:rFonts w:hint="eastAsia" w:ascii="宋体" w:hAnsi="宋体"/>
                <w:color w:val="000000"/>
                <w:szCs w:val="21"/>
              </w:rPr>
              <w:t>名称：</w:t>
            </w:r>
            <w:bookmarkStart w:id="52" w:name="PO_3000001871_PM036"/>
            <w:r>
              <w:rPr>
                <w:rFonts w:hint="eastAsia" w:ascii="宋体" w:hAnsi="宋体"/>
                <w:color w:val="000000"/>
                <w:szCs w:val="21"/>
                <w:lang w:eastAsia="zh-CN"/>
              </w:rPr>
              <w:t>南宁高新区财政局</w:t>
            </w:r>
            <w:bookmarkEnd w:id="52"/>
            <w:r>
              <w:rPr>
                <w:rFonts w:hint="eastAsia" w:ascii="宋体" w:hAnsi="宋体"/>
                <w:color w:val="000000"/>
                <w:szCs w:val="21"/>
              </w:rPr>
              <w:t xml:space="preserve"> </w:t>
            </w:r>
          </w:p>
          <w:p>
            <w:pPr>
              <w:snapToGrid w:val="0"/>
              <w:spacing w:line="360" w:lineRule="auto"/>
              <w:rPr>
                <w:rFonts w:hint="eastAsia" w:ascii="宋体" w:hAnsi="宋体"/>
                <w:color w:val="000000"/>
                <w:szCs w:val="21"/>
              </w:rPr>
            </w:pPr>
            <w:r>
              <w:rPr>
                <w:rFonts w:hint="eastAsia" w:ascii="宋体" w:hAnsi="宋体"/>
                <w:color w:val="000000"/>
                <w:szCs w:val="21"/>
              </w:rPr>
              <w:t>地址：</w:t>
            </w:r>
            <w:bookmarkStart w:id="53" w:name="PO_3000001871_PM039"/>
            <w:r>
              <w:rPr>
                <w:rFonts w:hint="eastAsia" w:ascii="宋体" w:hAnsi="宋体"/>
                <w:color w:val="000000"/>
                <w:szCs w:val="21"/>
                <w:lang w:val="en-US" w:eastAsia="zh-CN"/>
              </w:rPr>
              <w:t>广西南宁市滨河路1号火炬大厦21楼</w:t>
            </w:r>
            <w:r>
              <w:rPr>
                <w:rFonts w:hint="eastAsia" w:ascii="宋体" w:hAnsi="宋体"/>
                <w:color w:val="000000"/>
                <w:szCs w:val="21"/>
                <w:lang w:eastAsia="zh-CN"/>
              </w:rPr>
              <w:t xml:space="preserve"> </w:t>
            </w:r>
            <w:bookmarkEnd w:id="53"/>
            <w:r>
              <w:rPr>
                <w:rFonts w:hint="eastAsia" w:ascii="宋体" w:hAnsi="宋体"/>
                <w:color w:val="000000"/>
                <w:szCs w:val="21"/>
              </w:rPr>
              <w:t xml:space="preserve"> </w:t>
            </w:r>
          </w:p>
          <w:p>
            <w:pPr>
              <w:pStyle w:val="14"/>
              <w:snapToGrid w:val="0"/>
              <w:spacing w:line="360" w:lineRule="auto"/>
              <w:rPr>
                <w:rFonts w:hint="eastAsia" w:hAnsi="宋体" w:cs="宋体"/>
                <w:sz w:val="21"/>
                <w:lang w:val="en-US" w:eastAsia="zh-CN"/>
              </w:rPr>
            </w:pPr>
            <w:r>
              <w:rPr>
                <w:rFonts w:hint="eastAsia" w:hAnsi="宋体"/>
                <w:color w:val="000000"/>
                <w:sz w:val="21"/>
                <w:lang w:val="en-US" w:eastAsia="zh-CN"/>
              </w:rPr>
              <w:t>联系电话：</w:t>
            </w:r>
            <w:bookmarkStart w:id="54" w:name="PO_3000001871_PM038"/>
            <w:r>
              <w:rPr>
                <w:rFonts w:hint="eastAsia" w:hAnsi="宋体"/>
                <w:color w:val="000000"/>
                <w:sz w:val="21"/>
                <w:lang w:val="en-US" w:eastAsia="zh-CN"/>
              </w:rPr>
              <w:t>0771-5816595</w:t>
            </w:r>
            <w:bookmarkEnd w:id="5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pPr>
              <w:spacing w:line="360" w:lineRule="auto"/>
              <w:jc w:val="center"/>
              <w:rPr>
                <w:rFonts w:hint="eastAsia" w:ascii="宋体" w:hAnsi="宋体" w:cs="宋体"/>
                <w:szCs w:val="21"/>
              </w:rPr>
            </w:pPr>
            <w:r>
              <w:rPr>
                <w:rFonts w:ascii="宋体" w:hAnsi="宋体" w:cs="宋体"/>
                <w:szCs w:val="21"/>
              </w:rPr>
              <w:t>3</w:t>
            </w:r>
            <w:r>
              <w:rPr>
                <w:rFonts w:hint="eastAsia" w:ascii="宋体" w:hAnsi="宋体" w:cs="宋体"/>
                <w:szCs w:val="21"/>
              </w:rPr>
              <w:t>3</w:t>
            </w:r>
          </w:p>
        </w:tc>
        <w:tc>
          <w:tcPr>
            <w:tcW w:w="2786" w:type="dxa"/>
            <w:vAlign w:val="center"/>
          </w:tcPr>
          <w:p>
            <w:pPr>
              <w:spacing w:line="360" w:lineRule="auto"/>
              <w:jc w:val="center"/>
              <w:rPr>
                <w:rFonts w:hint="eastAsia" w:ascii="宋体" w:hAnsi="宋体" w:cs="宋体"/>
                <w:szCs w:val="21"/>
              </w:rPr>
            </w:pPr>
            <w:r>
              <w:rPr>
                <w:rFonts w:hint="eastAsia" w:ascii="宋体" w:hAnsi="宋体" w:cs="宋体"/>
                <w:szCs w:val="21"/>
              </w:rPr>
              <w:t>采购代理费</w:t>
            </w:r>
          </w:p>
        </w:tc>
        <w:tc>
          <w:tcPr>
            <w:tcW w:w="6853" w:type="dxa"/>
            <w:vAlign w:val="center"/>
          </w:tcPr>
          <w:p>
            <w:pPr>
              <w:pStyle w:val="14"/>
              <w:snapToGrid w:val="0"/>
              <w:spacing w:line="360" w:lineRule="auto"/>
              <w:rPr>
                <w:rFonts w:hint="eastAsia" w:hAnsi="宋体" w:cs="宋体"/>
                <w:sz w:val="21"/>
                <w:lang w:val="en-US" w:eastAsia="zh-CN"/>
              </w:rPr>
            </w:pPr>
            <w:r>
              <w:rPr>
                <w:rFonts w:hint="eastAsia" w:hAnsi="宋体" w:cs="宋体"/>
                <w:sz w:val="21"/>
                <w:lang w:val="en-US" w:eastAsia="zh-CN"/>
              </w:rPr>
              <w:t>1.是否收取采购代理费：</w:t>
            </w:r>
          </w:p>
          <w:p>
            <w:pPr>
              <w:pStyle w:val="14"/>
              <w:snapToGrid w:val="0"/>
              <w:spacing w:line="360" w:lineRule="auto"/>
              <w:rPr>
                <w:rFonts w:hint="eastAsia" w:hAnsi="宋体" w:cs="宋体"/>
                <w:sz w:val="21"/>
                <w:lang w:val="en-US" w:eastAsia="zh-CN"/>
              </w:rPr>
            </w:pPr>
            <w:r>
              <w:rPr>
                <w:rFonts w:hint="eastAsia" w:hAnsi="宋体" w:cs="宋体"/>
                <w:sz w:val="21"/>
                <w:lang w:val="en-US" w:eastAsia="zh-CN"/>
              </w:rPr>
              <w:t>□是    ☑ 否</w:t>
            </w:r>
          </w:p>
          <w:p>
            <w:pPr>
              <w:pStyle w:val="14"/>
              <w:snapToGrid w:val="0"/>
              <w:spacing w:line="360" w:lineRule="auto"/>
              <w:rPr>
                <w:rFonts w:hint="eastAsia" w:hAnsi="宋体" w:cs="宋体"/>
                <w:sz w:val="21"/>
                <w:lang w:val="en-US" w:eastAsia="zh-CN"/>
              </w:rPr>
            </w:pPr>
            <w:r>
              <w:rPr>
                <w:rFonts w:hint="eastAsia" w:hAnsi="宋体" w:cs="宋体"/>
                <w:sz w:val="21"/>
                <w:lang w:val="en-US" w:eastAsia="zh-CN"/>
              </w:rPr>
              <w:t>2.采购代理费支付方式：</w:t>
            </w:r>
          </w:p>
          <w:p>
            <w:pPr>
              <w:pStyle w:val="14"/>
              <w:snapToGrid w:val="0"/>
              <w:spacing w:line="360" w:lineRule="auto"/>
              <w:rPr>
                <w:rFonts w:hint="eastAsia" w:hAnsi="宋体" w:cs="宋体"/>
                <w:sz w:val="21"/>
                <w:lang w:val="en-US" w:eastAsia="zh-CN"/>
              </w:rPr>
            </w:pPr>
            <w:r>
              <w:rPr>
                <w:rFonts w:hint="eastAsia" w:hAnsi="宋体" w:cs="宋体"/>
                <w:sz w:val="21"/>
                <w:lang w:val="en-US" w:eastAsia="zh-CN"/>
              </w:rPr>
              <w:t>□本项目代理货物费由</w:t>
            </w:r>
            <w:r>
              <w:rPr>
                <w:rFonts w:hint="eastAsia" w:hAnsi="宋体" w:cs="宋体"/>
                <w:sz w:val="21"/>
                <w:u w:val="single"/>
                <w:lang w:val="en-US" w:eastAsia="zh-CN"/>
              </w:rPr>
              <w:t>成交供应商</w:t>
            </w:r>
            <w:r>
              <w:rPr>
                <w:rFonts w:hint="eastAsia" w:hAnsi="宋体" w:cs="宋体"/>
                <w:sz w:val="21"/>
                <w:lang w:val="en-US" w:eastAsia="zh-CN"/>
              </w:rPr>
              <w:t>领取成交通知书前，一次性向采购代理机构支付。</w:t>
            </w:r>
          </w:p>
          <w:p>
            <w:pPr>
              <w:pStyle w:val="14"/>
              <w:snapToGrid w:val="0"/>
              <w:spacing w:line="360" w:lineRule="auto"/>
              <w:rPr>
                <w:rFonts w:hint="eastAsia" w:hAnsi="宋体" w:cs="宋体"/>
                <w:sz w:val="21"/>
                <w:lang w:val="en-US" w:eastAsia="zh-CN"/>
              </w:rPr>
            </w:pPr>
            <w:r>
              <w:rPr>
                <w:rFonts w:hint="eastAsia" w:hAnsi="宋体" w:cs="宋体"/>
                <w:sz w:val="21"/>
                <w:lang w:val="en-US" w:eastAsia="zh-CN"/>
              </w:rPr>
              <w:t>□采购人支付。</w:t>
            </w:r>
          </w:p>
          <w:p>
            <w:pPr>
              <w:pStyle w:val="14"/>
              <w:snapToGrid w:val="0"/>
              <w:spacing w:line="360" w:lineRule="auto"/>
              <w:rPr>
                <w:rFonts w:hint="eastAsia" w:hAnsi="宋体" w:cs="宋体"/>
                <w:sz w:val="21"/>
                <w:lang w:val="en-US" w:eastAsia="zh-CN"/>
              </w:rPr>
            </w:pPr>
            <w:r>
              <w:rPr>
                <w:rFonts w:hint="eastAsia" w:hAnsi="宋体" w:cs="宋体"/>
                <w:sz w:val="21"/>
                <w:lang w:val="en-US" w:eastAsia="zh-CN"/>
              </w:rPr>
              <w:t>3.采购代理费收取标准： 无</w:t>
            </w:r>
          </w:p>
          <w:p>
            <w:pPr>
              <w:pStyle w:val="14"/>
              <w:snapToGrid w:val="0"/>
              <w:spacing w:line="360" w:lineRule="auto"/>
              <w:rPr>
                <w:rFonts w:hint="eastAsia" w:hAnsi="宋体" w:cs="宋体"/>
                <w:sz w:val="21"/>
                <w:lang w:val="en-US" w:eastAsia="zh-CN"/>
              </w:rPr>
            </w:pPr>
            <w:r>
              <w:rPr>
                <w:rFonts w:hint="eastAsia" w:hAnsi="宋体" w:cs="宋体"/>
                <w:sz w:val="21"/>
                <w:lang w:val="en-US" w:eastAsia="zh-CN"/>
              </w:rPr>
              <w:t>4. 采购代理费收取银行账户</w:t>
            </w:r>
          </w:p>
          <w:p>
            <w:pPr>
              <w:pStyle w:val="14"/>
              <w:snapToGrid w:val="0"/>
              <w:spacing w:line="360" w:lineRule="auto"/>
              <w:rPr>
                <w:rFonts w:hint="eastAsia" w:hAnsi="宋体" w:cs="宋体"/>
                <w:sz w:val="21"/>
                <w:lang w:val="en-US" w:eastAsia="zh-CN"/>
              </w:rPr>
            </w:pPr>
            <w:r>
              <w:rPr>
                <w:rFonts w:hint="eastAsia" w:hAnsi="宋体" w:cs="宋体"/>
                <w:sz w:val="21"/>
                <w:lang w:val="en-US" w:eastAsia="zh-CN"/>
              </w:rPr>
              <w:t>开户名称： 无</w:t>
            </w:r>
          </w:p>
          <w:p>
            <w:pPr>
              <w:pStyle w:val="14"/>
              <w:snapToGrid w:val="0"/>
              <w:spacing w:line="360" w:lineRule="auto"/>
              <w:rPr>
                <w:rFonts w:hint="eastAsia" w:hAnsi="宋体" w:cs="宋体"/>
                <w:sz w:val="21"/>
                <w:lang w:val="en-US" w:eastAsia="zh-CN"/>
              </w:rPr>
            </w:pPr>
            <w:r>
              <w:rPr>
                <w:rFonts w:hint="eastAsia" w:hAnsi="宋体" w:cs="宋体"/>
                <w:sz w:val="21"/>
                <w:lang w:val="en-US" w:eastAsia="zh-CN"/>
              </w:rPr>
              <w:t>开户银行： 无</w:t>
            </w:r>
          </w:p>
          <w:p>
            <w:pPr>
              <w:pStyle w:val="14"/>
              <w:snapToGrid w:val="0"/>
              <w:spacing w:line="360" w:lineRule="auto"/>
              <w:rPr>
                <w:rFonts w:hint="default" w:hAnsi="宋体" w:cs="宋体"/>
                <w:sz w:val="21"/>
                <w:lang w:val="en-US" w:eastAsia="zh-CN"/>
              </w:rPr>
            </w:pPr>
            <w:r>
              <w:rPr>
                <w:rFonts w:hint="eastAsia" w:hAnsi="宋体" w:cs="宋体"/>
                <w:sz w:val="21"/>
                <w:lang w:val="en-US" w:eastAsia="zh-CN"/>
              </w:rPr>
              <w:t>银行账号：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pPr>
              <w:spacing w:line="360" w:lineRule="auto"/>
              <w:jc w:val="center"/>
              <w:rPr>
                <w:rFonts w:hint="eastAsia" w:ascii="宋体" w:hAnsi="宋体" w:cs="宋体"/>
                <w:szCs w:val="21"/>
              </w:rPr>
            </w:pPr>
            <w:r>
              <w:rPr>
                <w:rFonts w:hint="eastAsia" w:ascii="宋体" w:hAnsi="宋体" w:cs="宋体"/>
                <w:szCs w:val="21"/>
              </w:rPr>
              <w:t>34</w:t>
            </w:r>
            <w:r>
              <w:rPr>
                <w:rFonts w:ascii="宋体" w:hAnsi="宋体" w:cs="宋体"/>
                <w:szCs w:val="21"/>
              </w:rPr>
              <w:t>.1</w:t>
            </w:r>
          </w:p>
        </w:tc>
        <w:tc>
          <w:tcPr>
            <w:tcW w:w="2786" w:type="dxa"/>
            <w:vAlign w:val="center"/>
          </w:tcPr>
          <w:p>
            <w:pPr>
              <w:spacing w:line="360" w:lineRule="auto"/>
              <w:jc w:val="center"/>
              <w:rPr>
                <w:rFonts w:hint="eastAsia" w:ascii="宋体" w:hAnsi="宋体" w:cs="宋体"/>
                <w:szCs w:val="21"/>
              </w:rPr>
            </w:pPr>
            <w:r>
              <w:rPr>
                <w:rFonts w:hint="eastAsia" w:hAnsi="宋体"/>
              </w:rPr>
              <w:t>解释</w:t>
            </w:r>
          </w:p>
        </w:tc>
        <w:tc>
          <w:tcPr>
            <w:tcW w:w="6853" w:type="dxa"/>
            <w:vAlign w:val="center"/>
          </w:tcPr>
          <w:p>
            <w:pPr>
              <w:pStyle w:val="14"/>
              <w:snapToGrid w:val="0"/>
              <w:spacing w:line="360" w:lineRule="auto"/>
              <w:rPr>
                <w:rFonts w:hint="eastAsia" w:hAnsi="宋体"/>
                <w:b/>
                <w:sz w:val="21"/>
                <w:lang w:val="en-US" w:eastAsia="zh-CN"/>
              </w:rPr>
            </w:pPr>
            <w:r>
              <w:rPr>
                <w:rFonts w:hint="eastAsia" w:hAnsi="宋体"/>
                <w:sz w:val="21"/>
                <w:lang w:val="en-US" w:eastAsia="zh-CN"/>
              </w:rPr>
              <w:t>解释权：</w:t>
            </w:r>
            <w:r>
              <w:rPr>
                <w:rFonts w:hAnsi="宋体"/>
                <w:sz w:val="21"/>
                <w:lang w:val="en-US" w:eastAsia="zh-CN"/>
              </w:rPr>
              <w:t>构成本</w:t>
            </w:r>
            <w:r>
              <w:rPr>
                <w:rFonts w:hint="eastAsia" w:hAnsi="宋体"/>
                <w:sz w:val="21"/>
                <w:lang w:val="en-US" w:eastAsia="zh-CN"/>
              </w:rPr>
              <w:t>谈判文件</w:t>
            </w:r>
            <w:r>
              <w:rPr>
                <w:rFonts w:hAnsi="宋体"/>
                <w:sz w:val="21"/>
                <w:lang w:val="en-US" w:eastAsia="zh-CN"/>
              </w:rPr>
              <w:t>的各个组成文件应互为解释，互为说明；除</w:t>
            </w:r>
            <w:r>
              <w:rPr>
                <w:rFonts w:hint="eastAsia" w:hAnsi="宋体"/>
                <w:sz w:val="21"/>
                <w:lang w:val="en-US" w:eastAsia="zh-CN"/>
              </w:rPr>
              <w:t>谈判文件</w:t>
            </w:r>
            <w:r>
              <w:rPr>
                <w:rFonts w:hAnsi="宋体"/>
                <w:sz w:val="21"/>
                <w:lang w:val="en-US" w:eastAsia="zh-CN"/>
              </w:rPr>
              <w:t>中有特别规定外，仅适用于</w:t>
            </w:r>
            <w:r>
              <w:rPr>
                <w:rFonts w:hint="eastAsia" w:hAnsi="宋体"/>
                <w:sz w:val="21"/>
                <w:lang w:val="en-US" w:eastAsia="zh-CN"/>
              </w:rPr>
              <w:t>竞标</w:t>
            </w:r>
            <w:r>
              <w:rPr>
                <w:rFonts w:hAnsi="宋体"/>
                <w:sz w:val="21"/>
                <w:lang w:val="en-US" w:eastAsia="zh-CN"/>
              </w:rPr>
              <w:t>阶段的规定，按</w:t>
            </w:r>
            <w:r>
              <w:rPr>
                <w:rFonts w:hint="eastAsia" w:hAnsi="宋体"/>
                <w:sz w:val="21"/>
                <w:lang w:val="en-US" w:eastAsia="zh-CN"/>
              </w:rPr>
              <w:t>更正公告（澄清公告）</w:t>
            </w:r>
            <w:r>
              <w:rPr>
                <w:rFonts w:hAnsi="宋体"/>
                <w:sz w:val="21"/>
                <w:lang w:val="en-US" w:eastAsia="zh-CN"/>
              </w:rPr>
              <w:t>、</w:t>
            </w:r>
            <w:r>
              <w:rPr>
                <w:rFonts w:hint="eastAsia" w:hAnsi="宋体"/>
                <w:sz w:val="21"/>
                <w:lang w:val="en-US" w:eastAsia="zh-CN"/>
              </w:rPr>
              <w:t>竞争性谈判</w:t>
            </w:r>
            <w:r>
              <w:rPr>
                <w:rFonts w:hAnsi="宋体"/>
                <w:sz w:val="21"/>
                <w:lang w:val="en-US" w:eastAsia="zh-CN"/>
              </w:rPr>
              <w:t>公告、</w:t>
            </w:r>
            <w:r>
              <w:rPr>
                <w:rFonts w:hint="eastAsia" w:hAnsi="宋体"/>
                <w:sz w:val="21"/>
                <w:lang w:val="en-US" w:eastAsia="zh-CN"/>
              </w:rPr>
              <w:t>供应商</w:t>
            </w:r>
            <w:r>
              <w:rPr>
                <w:rFonts w:hAnsi="宋体"/>
                <w:sz w:val="21"/>
                <w:lang w:val="en-US" w:eastAsia="zh-CN"/>
              </w:rPr>
              <w:t>须知</w:t>
            </w:r>
            <w:r>
              <w:rPr>
                <w:rFonts w:hint="eastAsia" w:hAnsi="宋体"/>
                <w:sz w:val="21"/>
                <w:lang w:val="en-US" w:eastAsia="zh-CN"/>
              </w:rPr>
              <w:t>、采购需求</w:t>
            </w:r>
            <w:r>
              <w:rPr>
                <w:rFonts w:hAnsi="宋体"/>
                <w:sz w:val="21"/>
                <w:lang w:val="en-US" w:eastAsia="zh-CN"/>
              </w:rPr>
              <w:t>、</w:t>
            </w:r>
            <w:r>
              <w:rPr>
                <w:rFonts w:hint="eastAsia"/>
                <w:sz w:val="21"/>
                <w:lang w:val="en-US" w:eastAsia="zh-CN"/>
              </w:rPr>
              <w:t>评审程序、评审方法和评审标准</w:t>
            </w:r>
            <w:r>
              <w:rPr>
                <w:rFonts w:hAnsi="宋体"/>
                <w:sz w:val="21"/>
                <w:lang w:val="en-US" w:eastAsia="zh-CN"/>
              </w:rPr>
              <w:t>、</w:t>
            </w:r>
            <w:r>
              <w:rPr>
                <w:rFonts w:hint="eastAsia" w:hAnsi="宋体"/>
                <w:sz w:val="21"/>
                <w:lang w:val="en-US" w:eastAsia="zh-CN"/>
              </w:rPr>
              <w:t>响应</w:t>
            </w:r>
            <w:r>
              <w:rPr>
                <w:rFonts w:hAnsi="宋体"/>
                <w:sz w:val="21"/>
                <w:lang w:val="en-US" w:eastAsia="zh-CN"/>
              </w:rPr>
              <w:t>文件格式</w:t>
            </w:r>
            <w:r>
              <w:rPr>
                <w:rFonts w:hint="eastAsia" w:hAnsi="宋体"/>
                <w:sz w:val="21"/>
                <w:lang w:val="en-US" w:eastAsia="zh-CN"/>
              </w:rPr>
              <w:t>、合同文本</w:t>
            </w:r>
            <w:r>
              <w:rPr>
                <w:rFonts w:hAnsi="宋体"/>
                <w:sz w:val="21"/>
                <w:lang w:val="en-US" w:eastAsia="zh-CN"/>
              </w:rPr>
              <w:t>的先后顺序解释；同一组成文件中就同一事项的规定或者约定不一致的，以编排顺序在后者为准；同一组成文件不同版本之间有不一致的，以形成时间在后者为准；</w:t>
            </w:r>
            <w:r>
              <w:rPr>
                <w:rFonts w:hint="eastAsia" w:hAnsi="宋体"/>
                <w:sz w:val="21"/>
                <w:lang w:val="en-US" w:eastAsia="zh-CN"/>
              </w:rPr>
              <w:t>更正公告（澄清公告）</w:t>
            </w:r>
            <w:r>
              <w:rPr>
                <w:rFonts w:hAnsi="宋体"/>
                <w:sz w:val="21"/>
                <w:lang w:val="en-US" w:eastAsia="zh-CN"/>
              </w:rPr>
              <w:t>与同步更新的</w:t>
            </w:r>
            <w:r>
              <w:rPr>
                <w:rFonts w:hint="eastAsia" w:hAnsi="宋体"/>
                <w:sz w:val="21"/>
                <w:lang w:val="en-US" w:eastAsia="zh-CN"/>
              </w:rPr>
              <w:t>谈判文件</w:t>
            </w:r>
            <w:r>
              <w:rPr>
                <w:rFonts w:hAnsi="宋体"/>
                <w:sz w:val="21"/>
                <w:lang w:val="en-US" w:eastAsia="zh-CN"/>
              </w:rPr>
              <w:t>不一致时以</w:t>
            </w:r>
            <w:r>
              <w:rPr>
                <w:rFonts w:hint="eastAsia" w:hAnsi="宋体"/>
                <w:sz w:val="21"/>
                <w:lang w:val="en-US" w:eastAsia="zh-CN"/>
              </w:rPr>
              <w:t>更正公告（澄清公告）</w:t>
            </w:r>
            <w:r>
              <w:rPr>
                <w:rFonts w:hAnsi="宋体"/>
                <w:sz w:val="21"/>
                <w:lang w:val="en-US" w:eastAsia="zh-CN"/>
              </w:rPr>
              <w:t>为准。按本款前述规定仍不能形成结论的，</w:t>
            </w:r>
            <w:r>
              <w:rPr>
                <w:rFonts w:hAnsi="宋体"/>
                <w:b/>
                <w:sz w:val="21"/>
                <w:lang w:val="en-US" w:eastAsia="zh-CN"/>
              </w:rPr>
              <w:t>由</w:t>
            </w:r>
            <w:r>
              <w:rPr>
                <w:rFonts w:hint="eastAsia" w:hAnsi="宋体"/>
                <w:b/>
                <w:sz w:val="21"/>
                <w:lang w:val="en-US" w:eastAsia="zh-CN"/>
              </w:rPr>
              <w:t>采购</w:t>
            </w:r>
            <w:r>
              <w:rPr>
                <w:rFonts w:hAnsi="宋体"/>
                <w:b/>
                <w:sz w:val="21"/>
                <w:lang w:val="en-US" w:eastAsia="zh-CN"/>
              </w:rPr>
              <w:t>人</w:t>
            </w:r>
            <w:r>
              <w:rPr>
                <w:rFonts w:hint="eastAsia" w:hAnsi="宋体"/>
                <w:b/>
                <w:sz w:val="21"/>
                <w:lang w:val="en-US" w:eastAsia="zh-CN"/>
              </w:rPr>
              <w:t>或者采购代理机构</w:t>
            </w:r>
            <w:r>
              <w:rPr>
                <w:rFonts w:hAnsi="宋体"/>
                <w:b/>
                <w:sz w:val="21"/>
                <w:lang w:val="en-US" w:eastAsia="zh-CN"/>
              </w:rPr>
              <w:t>负责解释。</w:t>
            </w:r>
          </w:p>
          <w:p>
            <w:pPr>
              <w:tabs>
                <w:tab w:val="left" w:pos="1080"/>
              </w:tabs>
              <w:spacing w:line="360" w:lineRule="auto"/>
              <w:rPr>
                <w:rFonts w:hint="eastAsia" w:ascii="宋体" w:hAnsi="宋体" w:cs="宋体"/>
                <w:color w:val="000000"/>
              </w:rPr>
            </w:pPr>
            <w:r>
              <w:rPr>
                <w:rFonts w:hint="eastAsia" w:ascii="宋体" w:hAnsi="宋体"/>
                <w:kern w:val="0"/>
                <w:szCs w:val="21"/>
              </w:rPr>
              <w:t>法律责任：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pPr>
              <w:spacing w:line="360" w:lineRule="auto"/>
              <w:jc w:val="center"/>
              <w:rPr>
                <w:rFonts w:hint="eastAsia" w:ascii="宋体" w:hAnsi="宋体" w:cs="宋体"/>
                <w:szCs w:val="21"/>
              </w:rPr>
            </w:pPr>
            <w:r>
              <w:rPr>
                <w:rFonts w:hint="eastAsia" w:ascii="宋体" w:hAnsi="宋体" w:cs="宋体"/>
                <w:szCs w:val="21"/>
              </w:rPr>
              <w:t>34</w:t>
            </w:r>
            <w:r>
              <w:rPr>
                <w:rFonts w:ascii="宋体" w:hAnsi="宋体" w:cs="宋体"/>
                <w:szCs w:val="21"/>
              </w:rPr>
              <w:t>.2</w:t>
            </w:r>
          </w:p>
        </w:tc>
        <w:tc>
          <w:tcPr>
            <w:tcW w:w="2786" w:type="dxa"/>
            <w:vAlign w:val="center"/>
          </w:tcPr>
          <w:p>
            <w:pPr>
              <w:spacing w:line="360" w:lineRule="auto"/>
              <w:jc w:val="center"/>
              <w:rPr>
                <w:rFonts w:hint="eastAsia" w:ascii="宋体" w:hAnsi="宋体" w:cs="宋体"/>
                <w:szCs w:val="21"/>
              </w:rPr>
            </w:pPr>
            <w:r>
              <w:rPr>
                <w:rFonts w:hint="eastAsia" w:ascii="宋体" w:hAnsi="宋体" w:cs="宋体"/>
                <w:szCs w:val="21"/>
              </w:rPr>
              <w:t>其他</w:t>
            </w:r>
          </w:p>
        </w:tc>
        <w:tc>
          <w:tcPr>
            <w:tcW w:w="6853" w:type="dxa"/>
            <w:vAlign w:val="center"/>
          </w:tcPr>
          <w:p>
            <w:pPr>
              <w:pStyle w:val="14"/>
              <w:snapToGrid w:val="0"/>
              <w:spacing w:line="360" w:lineRule="auto"/>
              <w:rPr>
                <w:rFonts w:hint="eastAsia" w:hAnsi="宋体" w:cs="宋体"/>
                <w:color w:val="0000FF"/>
                <w:sz w:val="21"/>
                <w:lang w:val="en-US" w:eastAsia="zh-CN"/>
              </w:rPr>
            </w:pPr>
            <w:r>
              <w:rPr>
                <w:rFonts w:hint="eastAsia" w:hAnsi="宋体" w:cs="宋体"/>
                <w:sz w:val="21"/>
                <w:lang w:val="en-US" w:eastAsia="zh-CN"/>
              </w:rPr>
              <w:t>1.本谈判文件中描述供应商的“公章”是指</w:t>
            </w:r>
            <w:r>
              <w:rPr>
                <w:rFonts w:hint="eastAsia" w:hAnsi="宋体" w:cs="宋体"/>
                <w:color w:val="0000FF"/>
                <w:sz w:val="21"/>
                <w:lang w:val="en-US" w:eastAsia="zh-CN"/>
              </w:rPr>
              <w:t>供应商通过指定电子化政府采购平台办理数字证书（CA认证）获得的以法定主体行为名称制作的电子印章。</w:t>
            </w:r>
          </w:p>
          <w:p>
            <w:pPr>
              <w:pStyle w:val="14"/>
              <w:snapToGrid w:val="0"/>
              <w:spacing w:line="360" w:lineRule="auto"/>
              <w:rPr>
                <w:rFonts w:hAnsi="宋体" w:cs="宋体"/>
                <w:sz w:val="21"/>
                <w:lang w:val="en-US" w:eastAsia="zh-CN"/>
              </w:rPr>
            </w:pPr>
            <w:r>
              <w:rPr>
                <w:rFonts w:hint="eastAsia" w:hAnsi="宋体" w:cs="宋体"/>
                <w:sz w:val="21"/>
                <w:lang w:val="en-US" w:eastAsia="zh-CN"/>
              </w:rPr>
              <w:t>2.本谈判文件中描述供应商的“签字”是指</w:t>
            </w:r>
            <w:r>
              <w:rPr>
                <w:rFonts w:hint="eastAsia" w:hAnsi="宋体" w:cs="宋体"/>
                <w:color w:val="0000FF"/>
                <w:sz w:val="21"/>
                <w:lang w:val="en-US" w:eastAsia="zh-CN"/>
              </w:rPr>
              <w:t>供应商通过指定电子化政府采购平台办理数字证书（CA认证）获得的以供应商法定代表人或者委托代理人姓名制作的电子印章或手写签字</w:t>
            </w:r>
            <w:r>
              <w:rPr>
                <w:rFonts w:hint="eastAsia" w:hAnsi="宋体" w:cs="宋体"/>
                <w:sz w:val="21"/>
                <w:lang w:val="en-US" w:eastAsia="zh-CN"/>
              </w:rPr>
              <w:t>。</w:t>
            </w:r>
          </w:p>
          <w:p>
            <w:pPr>
              <w:pStyle w:val="14"/>
              <w:snapToGrid w:val="0"/>
              <w:spacing w:line="360" w:lineRule="auto"/>
              <w:rPr>
                <w:rFonts w:hint="eastAsia" w:hAnsi="宋体" w:cs="宋体"/>
                <w:sz w:val="21"/>
                <w:lang w:val="en-US" w:eastAsia="zh-CN"/>
              </w:rPr>
            </w:pPr>
            <w:r>
              <w:rPr>
                <w:rFonts w:hAnsi="宋体" w:cs="宋体"/>
                <w:sz w:val="21"/>
                <w:lang w:val="en-US" w:eastAsia="zh-CN"/>
              </w:rPr>
              <w:t>3.</w:t>
            </w:r>
            <w:r>
              <w:rPr>
                <w:rFonts w:hint="eastAsia" w:hAnsi="宋体" w:cs="宋体"/>
                <w:sz w:val="21"/>
                <w:lang w:val="en-US" w:eastAsia="zh-CN"/>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pPr>
              <w:pStyle w:val="14"/>
              <w:snapToGrid w:val="0"/>
              <w:spacing w:line="360" w:lineRule="auto"/>
              <w:rPr>
                <w:rFonts w:hAnsi="宋体" w:cs="宋体"/>
                <w:sz w:val="21"/>
                <w:lang w:val="en-US" w:eastAsia="zh-CN"/>
              </w:rPr>
            </w:pPr>
            <w:r>
              <w:rPr>
                <w:rFonts w:hAnsi="宋体" w:cs="宋体"/>
                <w:sz w:val="21"/>
                <w:lang w:val="en-US" w:eastAsia="zh-CN"/>
              </w:rPr>
              <w:t>4.</w:t>
            </w:r>
            <w:r>
              <w:rPr>
                <w:rFonts w:hint="eastAsia" w:hAnsi="宋体" w:cs="宋体"/>
                <w:sz w:val="21"/>
                <w:lang w:val="en-US" w:eastAsia="zh-CN"/>
              </w:rPr>
              <w:t>自然人竞标的，谈判文件规定盖公章处由自然人摁手指指印。</w:t>
            </w:r>
          </w:p>
          <w:p>
            <w:pPr>
              <w:pStyle w:val="14"/>
              <w:snapToGrid w:val="0"/>
              <w:spacing w:line="360" w:lineRule="auto"/>
              <w:rPr>
                <w:rFonts w:hint="eastAsia" w:hAnsi="宋体" w:cs="宋体"/>
                <w:sz w:val="21"/>
                <w:lang w:val="en-US" w:eastAsia="zh-CN"/>
              </w:rPr>
            </w:pPr>
            <w:r>
              <w:rPr>
                <w:rFonts w:hint="eastAsia" w:hAnsi="宋体" w:cs="宋体"/>
                <w:sz w:val="21"/>
                <w:lang w:val="en-US" w:eastAsia="zh-CN"/>
              </w:rPr>
              <w:t>5</w:t>
            </w:r>
            <w:r>
              <w:rPr>
                <w:rFonts w:hAnsi="宋体" w:cs="宋体"/>
                <w:sz w:val="21"/>
                <w:lang w:val="en-US" w:eastAsia="zh-CN"/>
              </w:rPr>
              <w:t>.</w:t>
            </w:r>
            <w:r>
              <w:rPr>
                <w:rFonts w:hint="eastAsia" w:hAnsi="宋体" w:cs="宋体"/>
                <w:sz w:val="21"/>
                <w:lang w:val="en-US" w:eastAsia="zh-CN"/>
              </w:rPr>
              <w:t>本谈判文件所称的“以上”“以下”“以内”“届满”，包括本数；所称的“不满”“超过”“以外”，不包括本数。</w:t>
            </w:r>
          </w:p>
        </w:tc>
      </w:tr>
    </w:tbl>
    <w:p>
      <w:pPr>
        <w:pStyle w:val="4"/>
        <w:spacing w:line="420" w:lineRule="exact"/>
        <w:jc w:val="center"/>
        <w:rPr>
          <w:rFonts w:hint="eastAsia" w:ascii="宋体" w:hAnsi="宋体"/>
          <w:b w:val="0"/>
        </w:rPr>
      </w:pPr>
      <w:r>
        <w:rPr>
          <w:rFonts w:ascii="宋体" w:hAnsi="宋体"/>
          <w:b w:val="0"/>
        </w:rPr>
        <w:br w:type="page"/>
      </w:r>
      <w:bookmarkStart w:id="55" w:name="_Toc80205924"/>
      <w:r>
        <w:rPr>
          <w:rFonts w:hint="eastAsia" w:ascii="宋体" w:hAnsi="宋体"/>
          <w:b w:val="0"/>
        </w:rPr>
        <w:t>第二节 供应商须知正文</w:t>
      </w:r>
      <w:bookmarkEnd w:id="55"/>
    </w:p>
    <w:p>
      <w:pPr>
        <w:pStyle w:val="5"/>
        <w:spacing w:before="0" w:after="0" w:line="360" w:lineRule="auto"/>
        <w:ind w:firstLine="640" w:firstLineChars="200"/>
        <w:rPr>
          <w:rFonts w:hint="eastAsia" w:ascii="宋体" w:hAnsi="宋体"/>
          <w:b w:val="0"/>
        </w:rPr>
      </w:pPr>
      <w:bookmarkStart w:id="56" w:name="_Toc80205925"/>
      <w:r>
        <w:rPr>
          <w:rFonts w:hint="eastAsia" w:ascii="宋体" w:hAnsi="宋体"/>
          <w:b w:val="0"/>
        </w:rPr>
        <w:t>一、总则</w:t>
      </w:r>
      <w:bookmarkEnd w:id="56"/>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1.适用范围</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1.2</w:t>
      </w:r>
      <w:r>
        <w:rPr>
          <w:rFonts w:hint="eastAsia" w:ascii="宋体" w:hAnsi="宋体" w:cs="宋体"/>
          <w:color w:val="000000"/>
          <w:spacing w:val="-6"/>
          <w:szCs w:val="21"/>
        </w:rPr>
        <w:t>本竞争性谈判文件（以下简称谈判文件）适用于本项目的所有采购程序和环节（法律、法规另有规定的，从其规定）。</w:t>
      </w:r>
    </w:p>
    <w:p>
      <w:pPr>
        <w:spacing w:line="360" w:lineRule="auto"/>
        <w:ind w:firstLine="482" w:firstLineChars="200"/>
        <w:rPr>
          <w:rFonts w:hint="eastAsia" w:ascii="宋体" w:hAnsi="宋体" w:cs="宋体"/>
          <w:szCs w:val="21"/>
        </w:rPr>
      </w:pPr>
      <w:r>
        <w:rPr>
          <w:rFonts w:hint="eastAsia" w:ascii="黑体" w:hAnsi="黑体" w:eastAsia="黑体" w:cs="宋体"/>
          <w:b/>
          <w:bCs/>
          <w:sz w:val="24"/>
        </w:rPr>
        <w:t>2.定义</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2.1“采购人”是指依法进行采购的国家机关、事业单位、团体组织。</w:t>
      </w:r>
    </w:p>
    <w:p>
      <w:pPr>
        <w:spacing w:line="360" w:lineRule="auto"/>
        <w:ind w:firstLine="420" w:firstLineChars="200"/>
        <w:rPr>
          <w:rFonts w:hint="eastAsia" w:ascii="宋体" w:hAnsi="宋体"/>
          <w:b/>
          <w:color w:val="FF0000"/>
          <w:szCs w:val="21"/>
        </w:rPr>
      </w:pPr>
      <w:r>
        <w:rPr>
          <w:rFonts w:hint="eastAsia" w:ascii="宋体" w:hAnsi="宋体" w:cs="宋体"/>
          <w:color w:val="000000"/>
          <w:szCs w:val="21"/>
        </w:rPr>
        <w:t>2.2“采购代理机构”是指政府采购集中采购机构和集中采购机构以外的采购代理机构。</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2.3“供应商”是指向采购人提供货物、工程或者服务的法人、其他组织或者自然人。</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2.4“货物”是指各种形态和种类的物品，包括原材料、燃料、设备、产品等。</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2.5“竞标”是指按照本项目竞争性谈判公告或者邀请函规定的方式供应商获取谈判文件、提交响应文件并希望获得标的的行为。</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2.6“售后服务” 是指包含但不限于供应商须承担的备品备件、包装、运输、装卸、保险、货到就位以及安装、调试、培训、保修和其他类似的义务。</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2.7“书面形式”是指合同书、信件和数据电文（包括电报、电传、传真、电子数据交换和电子邮件）等可以有形地表现所载内容的形式。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2.8“响应文件”</w:t>
      </w:r>
      <w:r>
        <w:rPr>
          <w:rFonts w:hint="eastAsia" w:ascii="宋体" w:hAnsi="宋体" w:cs="宋体"/>
          <w:color w:val="000000"/>
          <w:spacing w:val="-6"/>
          <w:szCs w:val="21"/>
        </w:rPr>
        <w:t>是指：供应商根据本文件要求，编制包含报价、技术和货物等所有内容的文件。</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2.9 “实质性要求”是指采购需求中带“▲”的条款或者不能负偏离的条款或者已经指明不满足按响应文件作无效处理的条款。</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2.10“正偏离”，是指响应文件对谈判文件“采购需求”中有关条款作出优于条款要求并有利于采购人的响应情形；</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2.11“负偏离”，是指响应文件对谈判文件“采购需求”中有关条款作出的响应不满足条款要求，导致采购人要求不能得到满足的情形。</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2.12“允许负偏离的条款”是指采购需求中的不属于“实质性要求”的条款。</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2.13“首次报价”是指供应商提交的首次响应文件中的竞标报价。</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3.供应商的资格条件</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供应商的资格条件详见“供应商须知前附表”。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4.谈判费用</w:t>
      </w:r>
    </w:p>
    <w:p>
      <w:pPr>
        <w:spacing w:line="360" w:lineRule="auto"/>
        <w:ind w:firstLine="420" w:firstLineChars="200"/>
        <w:rPr>
          <w:rFonts w:hint="eastAsia" w:ascii="宋体" w:hAnsi="宋体" w:cs="宋体"/>
          <w:szCs w:val="21"/>
        </w:rPr>
      </w:pPr>
      <w:r>
        <w:rPr>
          <w:rFonts w:hint="eastAsia" w:ascii="宋体" w:hAnsi="宋体" w:cs="宋体"/>
          <w:szCs w:val="21"/>
        </w:rPr>
        <w:t>供应商应承担参与本次采购活动有关的所有费用，包括但不限于、勘查现场、编制和提交响应文件、参加谈判与应答、签订合同等，不论竞标结果如何，均应自行承担。</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5.联合体竞标</w:t>
      </w:r>
    </w:p>
    <w:p>
      <w:pPr>
        <w:spacing w:line="360" w:lineRule="auto"/>
        <w:ind w:firstLine="420" w:firstLineChars="200"/>
        <w:rPr>
          <w:rFonts w:hint="eastAsia" w:ascii="宋体" w:hAnsi="宋体" w:cs="宋体"/>
          <w:szCs w:val="21"/>
        </w:rPr>
      </w:pPr>
      <w:r>
        <w:rPr>
          <w:rFonts w:hint="eastAsia" w:ascii="宋体" w:hAnsi="宋体" w:cs="宋体"/>
          <w:szCs w:val="21"/>
        </w:rPr>
        <w:t>5.1本项目是否接受联合体竞标，详见“供应商须知前附表”。</w:t>
      </w:r>
    </w:p>
    <w:p>
      <w:pPr>
        <w:spacing w:line="360" w:lineRule="auto"/>
        <w:ind w:firstLine="420" w:firstLineChars="200"/>
        <w:rPr>
          <w:rFonts w:hint="eastAsia"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pPr>
        <w:spacing w:line="360" w:lineRule="auto"/>
        <w:ind w:firstLine="420" w:firstLineChars="200"/>
        <w:rPr>
          <w:rFonts w:hint="eastAsia" w:ascii="宋体" w:hAnsi="宋体"/>
          <w:bCs/>
          <w:szCs w:val="21"/>
        </w:rPr>
      </w:pPr>
      <w:r>
        <w:rPr>
          <w:rFonts w:hint="eastAsia" w:ascii="宋体" w:hAnsi="宋体" w:cs="宋体"/>
          <w:szCs w:val="21"/>
        </w:rPr>
        <w:t>5.3</w:t>
      </w:r>
      <w:r>
        <w:rPr>
          <w:rFonts w:hint="eastAsia" w:ascii="宋体" w:hAnsi="宋体"/>
          <w:bCs/>
          <w:szCs w:val="21"/>
        </w:rPr>
        <w:t>根据《政府采购促进中小企业发展</w:t>
      </w:r>
      <w:r>
        <w:rPr>
          <w:rFonts w:hint="eastAsia"/>
        </w:rPr>
        <w:t>管理</w:t>
      </w:r>
      <w:r>
        <w:rPr>
          <w:rFonts w:hint="eastAsia" w:ascii="宋体" w:hAnsi="宋体"/>
          <w:bCs/>
          <w:szCs w:val="21"/>
        </w:rPr>
        <w:t>办法》（财库[2020]46号）</w:t>
      </w:r>
      <w:r>
        <w:rPr>
          <w:rFonts w:ascii="宋体" w:hAnsi="宋体"/>
          <w:bCs/>
          <w:szCs w:val="21"/>
        </w:rPr>
        <w:t>第九条</w:t>
      </w:r>
      <w:r>
        <w:rPr>
          <w:rFonts w:hint="eastAsia" w:ascii="宋体" w:hAnsi="宋体"/>
          <w:bCs/>
          <w:szCs w:val="21"/>
        </w:rPr>
        <w:t>规定，</w:t>
      </w:r>
      <w:r>
        <w:rPr>
          <w:rFonts w:ascii="宋体" w:hAnsi="宋体"/>
          <w:bCs/>
          <w:szCs w:val="21"/>
        </w:rPr>
        <w:t>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 xml:space="preserve">6.转包与分包             </w:t>
      </w:r>
    </w:p>
    <w:p>
      <w:pPr>
        <w:spacing w:line="360" w:lineRule="auto"/>
        <w:ind w:firstLine="420" w:firstLineChars="200"/>
        <w:rPr>
          <w:rFonts w:hint="eastAsia" w:ascii="宋体" w:hAnsi="宋体" w:cs="宋体"/>
          <w:szCs w:val="21"/>
        </w:rPr>
      </w:pPr>
      <w:r>
        <w:rPr>
          <w:rFonts w:hint="eastAsia" w:ascii="宋体" w:hAnsi="宋体" w:cs="宋体"/>
          <w:szCs w:val="21"/>
        </w:rPr>
        <w:t>6.1本项目是否允许分包详见“供应商须知前附表”，本项目不允许违法分包。</w:t>
      </w:r>
    </w:p>
    <w:p>
      <w:pPr>
        <w:spacing w:line="360" w:lineRule="auto"/>
        <w:ind w:firstLine="420" w:firstLineChars="200"/>
        <w:rPr>
          <w:rFonts w:hint="eastAsia" w:ascii="宋体" w:hAnsi="宋体" w:cs="宋体"/>
          <w:szCs w:val="21"/>
        </w:rPr>
      </w:pPr>
      <w:r>
        <w:rPr>
          <w:rFonts w:hint="eastAsia" w:ascii="宋体" w:hAnsi="宋体" w:cs="宋体"/>
          <w:szCs w:val="21"/>
        </w:rPr>
        <w:t>6.2</w:t>
      </w:r>
      <w:r>
        <w:rPr>
          <w:rFonts w:hint="eastAsia" w:ascii="宋体" w:hAnsi="宋体"/>
          <w:bCs/>
          <w:szCs w:val="21"/>
        </w:rPr>
        <w:t>根据《政府采购促进中小企业发展</w:t>
      </w:r>
      <w:r>
        <w:rPr>
          <w:rFonts w:hint="eastAsia"/>
        </w:rPr>
        <w:t>管理</w:t>
      </w:r>
      <w:r>
        <w:rPr>
          <w:rFonts w:hint="eastAsia" w:ascii="宋体" w:hAnsi="宋体"/>
          <w:bCs/>
          <w:szCs w:val="21"/>
        </w:rPr>
        <w:t>办法》（财库[2020]46号）</w:t>
      </w:r>
      <w:r>
        <w:rPr>
          <w:rFonts w:ascii="宋体" w:hAnsi="宋体"/>
          <w:bCs/>
          <w:szCs w:val="21"/>
        </w:rPr>
        <w:t>第九条</w:t>
      </w:r>
      <w:r>
        <w:rPr>
          <w:rFonts w:hint="eastAsia" w:ascii="宋体" w:hAnsi="宋体"/>
          <w:bCs/>
          <w:szCs w:val="21"/>
        </w:rPr>
        <w:t>规定，</w:t>
      </w:r>
      <w:r>
        <w:rPr>
          <w:rFonts w:ascii="宋体" w:hAnsi="宋体"/>
          <w:bCs/>
          <w:szCs w:val="21"/>
        </w:rPr>
        <w:t>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pPr>
        <w:spacing w:line="360" w:lineRule="auto"/>
        <w:ind w:firstLine="482" w:firstLineChars="200"/>
        <w:rPr>
          <w:rFonts w:hint="eastAsia" w:ascii="黑体" w:hAnsi="黑体" w:eastAsia="黑体" w:cs="宋体"/>
          <w:b/>
          <w:bCs/>
          <w:sz w:val="24"/>
        </w:rPr>
      </w:pPr>
      <w:bookmarkStart w:id="57" w:name="_Toc254970532"/>
      <w:bookmarkStart w:id="58" w:name="_Toc254970673"/>
      <w:r>
        <w:rPr>
          <w:rFonts w:hint="eastAsia" w:ascii="黑体" w:hAnsi="黑体" w:eastAsia="黑体" w:cs="宋体"/>
          <w:b/>
          <w:bCs/>
          <w:sz w:val="24"/>
        </w:rPr>
        <w:t>7.特别说明</w:t>
      </w:r>
      <w:bookmarkEnd w:id="57"/>
      <w:bookmarkEnd w:id="58"/>
    </w:p>
    <w:p>
      <w:pPr>
        <w:spacing w:line="360" w:lineRule="auto"/>
        <w:ind w:firstLine="420" w:firstLineChars="200"/>
        <w:rPr>
          <w:rFonts w:hint="eastAsia" w:ascii="宋体" w:hAnsi="宋体" w:cs="宋体"/>
          <w:color w:val="000000"/>
          <w:szCs w:val="21"/>
        </w:rPr>
      </w:pPr>
      <w:bookmarkStart w:id="59" w:name="_8.1提供相同品牌产品且通过资格审查、符合性审查的不同投标人参加同一合"/>
      <w:bookmarkEnd w:id="59"/>
      <w:r>
        <w:rPr>
          <w:rFonts w:hint="eastAsia" w:ascii="宋体" w:hAnsi="宋体" w:cs="宋体"/>
          <w:color w:val="000000"/>
          <w:szCs w:val="21"/>
        </w:rPr>
        <w:t>7.1如果本谈判文件要求提供供应商或制造商的资格、信誉、荣誉、业绩与企业认证等材料的，资格、信誉、荣誉、业绩与企业认证等必须为供应商或者制造商所拥有或自身获得 。</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7.2供应商应仔细阅读谈判文件的所有内容，按照谈判文件的要求提交响应文件，并对所提供的全部资料的真实性承担法律责任。</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7.4在政府采购活动中，采购人员及相关人员与供应商有下列利害关系之一的，应当回避：</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（1）参加采购活动前3年内与供应商存在劳动关系；</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（2）参加采购活动前3年内担任供应商的董事、监事；</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（3）参加采购活动前3年内是供应商的控股股东或者实际控制人；</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（4）与供应商的法定代表人或者负责人有夫妻、直系血亲、三代以内旁系血亲或者近姻亲关系；</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（5）与供应商有其他可能影响政府采购活动公平、公正进行的关系。</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7.5有下列情形之一的视为供应商相互串通竞标，响应文件将被视为无效：</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（1）不同供应商的响应文件由同一单位或者个人编制；</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（2）不同供应商委托同一单位或者个人办理竞标事宜；</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（3）不同的供应商的响应文件载明的项目管理员为同一个人；</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（4）不同供应商的响应文件异常一致或者报价呈规律性差异；</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（5）不同供应商的响应文件相互混装；</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（6）不同供应商的竞标保证金从同一单位或者个人账户转出。</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7.6供应商有下列情形之一的，属于恶意串通行为</w:t>
      </w:r>
      <w:bookmarkStart w:id="60" w:name="_Hlk54682620"/>
      <w:r>
        <w:rPr>
          <w:rFonts w:hint="eastAsia" w:ascii="宋体" w:hAnsi="宋体" w:cs="宋体"/>
          <w:color w:val="000000"/>
          <w:szCs w:val="21"/>
        </w:rPr>
        <w:t>，将报同级监督管理部门</w:t>
      </w:r>
      <w:bookmarkEnd w:id="60"/>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（1）供应商直接或者间接从采购人或者采购代理机构处获得其他供应商的相关信息并修改其响应文件；</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（2）供应商按照采购人或者采购代理机构的授意撤换、修改响应文件；</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（3）供应商之间协商报价、技术方案等响应文件或者响应文件的实质性内容；</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（4）属于同一集团、协会、商会等组织成员的供应商按照该组织要求协同参加政府采购活动；</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（6）供应商之间商定部分供应商放弃参加政府采购活动或者放弃成交；</w:t>
      </w:r>
    </w:p>
    <w:p>
      <w:pPr>
        <w:spacing w:line="360" w:lineRule="auto"/>
        <w:ind w:firstLine="420" w:firstLineChars="200"/>
        <w:rPr>
          <w:rFonts w:hint="eastAsia"/>
        </w:rPr>
      </w:pPr>
      <w:r>
        <w:rPr>
          <w:rFonts w:hint="eastAsia"/>
        </w:rPr>
        <w:t>（7）供应商与采购人或者采购代理机构之间、供应商相互之间，为谋求特定供应商成交或者排斥其他供应商的其他串通行为。</w:t>
      </w:r>
      <w:bookmarkStart w:id="61" w:name="_Toc254970675"/>
      <w:bookmarkStart w:id="62" w:name="_Toc254970534"/>
    </w:p>
    <w:p>
      <w:pPr>
        <w:pStyle w:val="5"/>
        <w:spacing w:before="0" w:after="0" w:line="360" w:lineRule="auto"/>
        <w:ind w:firstLine="640" w:firstLineChars="200"/>
        <w:rPr>
          <w:rFonts w:hint="eastAsia" w:ascii="宋体" w:hAnsi="宋体"/>
          <w:b w:val="0"/>
          <w:bCs w:val="0"/>
        </w:rPr>
      </w:pPr>
      <w:bookmarkStart w:id="63" w:name="_Toc80205926"/>
      <w:r>
        <w:rPr>
          <w:rFonts w:hint="eastAsia" w:ascii="宋体" w:hAnsi="宋体"/>
          <w:b w:val="0"/>
          <w:bCs w:val="0"/>
        </w:rPr>
        <w:t>二、谈判文件</w:t>
      </w:r>
      <w:bookmarkEnd w:id="61"/>
      <w:bookmarkEnd w:id="62"/>
      <w:bookmarkEnd w:id="63"/>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8.谈判文件的构成</w:t>
      </w:r>
    </w:p>
    <w:p>
      <w:pPr>
        <w:spacing w:line="360" w:lineRule="auto"/>
        <w:ind w:firstLine="420" w:firstLineChars="200"/>
        <w:jc w:val="left"/>
        <w:rPr>
          <w:rFonts w:hint="eastAsia" w:ascii="宋体" w:hAnsi="宋体"/>
          <w:szCs w:val="21"/>
        </w:rPr>
      </w:pPr>
      <w:r>
        <w:rPr>
          <w:rFonts w:hint="eastAsia" w:ascii="宋体" w:hAnsi="宋体"/>
          <w:szCs w:val="21"/>
        </w:rPr>
        <w:t>第一章 竞争性谈判公告；</w:t>
      </w:r>
    </w:p>
    <w:p>
      <w:pPr>
        <w:spacing w:line="360" w:lineRule="auto"/>
        <w:ind w:firstLine="420" w:firstLineChars="200"/>
        <w:jc w:val="left"/>
        <w:rPr>
          <w:rFonts w:hint="eastAsia" w:ascii="宋体" w:hAnsi="宋体"/>
          <w:szCs w:val="21"/>
        </w:rPr>
      </w:pPr>
      <w:r>
        <w:rPr>
          <w:rFonts w:hint="eastAsia" w:ascii="宋体" w:hAnsi="宋体"/>
          <w:szCs w:val="21"/>
        </w:rPr>
        <w:t>第二章 采购需求；</w:t>
      </w:r>
    </w:p>
    <w:p>
      <w:pPr>
        <w:spacing w:line="360" w:lineRule="auto"/>
        <w:ind w:firstLine="420" w:firstLineChars="200"/>
        <w:jc w:val="left"/>
        <w:rPr>
          <w:rFonts w:hint="eastAsia" w:ascii="宋体" w:hAnsi="宋体"/>
          <w:szCs w:val="21"/>
        </w:rPr>
      </w:pPr>
      <w:r>
        <w:rPr>
          <w:rFonts w:hint="eastAsia" w:ascii="宋体" w:hAnsi="宋体"/>
          <w:szCs w:val="21"/>
        </w:rPr>
        <w:t xml:space="preserve">第三章 供应商须知； </w:t>
      </w:r>
    </w:p>
    <w:p>
      <w:pPr>
        <w:spacing w:line="360" w:lineRule="auto"/>
        <w:ind w:firstLine="420" w:firstLineChars="200"/>
        <w:jc w:val="left"/>
        <w:rPr>
          <w:rFonts w:hint="eastAsia" w:ascii="宋体" w:hAnsi="宋体"/>
          <w:szCs w:val="21"/>
        </w:rPr>
      </w:pPr>
      <w:r>
        <w:rPr>
          <w:rFonts w:hint="eastAsia" w:ascii="宋体" w:hAnsi="宋体"/>
          <w:szCs w:val="21"/>
        </w:rPr>
        <w:t>第四章 评审程序、评审方法和成交标准；</w:t>
      </w:r>
    </w:p>
    <w:p>
      <w:pPr>
        <w:spacing w:line="360" w:lineRule="auto"/>
        <w:ind w:firstLine="420" w:firstLineChars="200"/>
        <w:jc w:val="left"/>
        <w:rPr>
          <w:rFonts w:hint="eastAsia" w:ascii="宋体" w:hAnsi="宋体"/>
          <w:szCs w:val="21"/>
        </w:rPr>
      </w:pPr>
      <w:r>
        <w:rPr>
          <w:rFonts w:hint="eastAsia" w:ascii="宋体" w:hAnsi="宋体"/>
          <w:szCs w:val="21"/>
        </w:rPr>
        <w:t>第五章 响应文件格式；</w:t>
      </w:r>
    </w:p>
    <w:p>
      <w:pPr>
        <w:spacing w:line="360" w:lineRule="auto"/>
        <w:ind w:firstLine="420" w:firstLineChars="200"/>
        <w:jc w:val="left"/>
        <w:rPr>
          <w:rFonts w:hint="eastAsia" w:ascii="宋体" w:hAnsi="宋体"/>
          <w:szCs w:val="21"/>
        </w:rPr>
      </w:pPr>
      <w:r>
        <w:rPr>
          <w:rFonts w:hint="eastAsia" w:ascii="宋体" w:hAnsi="宋体"/>
          <w:szCs w:val="21"/>
        </w:rPr>
        <w:t>第六章 合同文本；</w:t>
      </w:r>
    </w:p>
    <w:p>
      <w:pPr>
        <w:spacing w:line="360" w:lineRule="auto"/>
        <w:ind w:firstLine="420" w:firstLineChars="200"/>
        <w:jc w:val="left"/>
        <w:rPr>
          <w:rFonts w:hint="eastAsia" w:ascii="宋体" w:hAnsi="宋体"/>
          <w:szCs w:val="21"/>
        </w:rPr>
      </w:pPr>
      <w:r>
        <w:rPr>
          <w:rFonts w:hint="eastAsia" w:ascii="宋体" w:hAnsi="宋体"/>
          <w:szCs w:val="21"/>
        </w:rPr>
        <w:t>第七章 质疑、投诉材料格式。</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9.供应商的询问</w:t>
      </w:r>
    </w:p>
    <w:p>
      <w:pPr>
        <w:spacing w:line="360" w:lineRule="auto"/>
        <w:ind w:firstLine="420" w:firstLineChars="200"/>
        <w:rPr>
          <w:rFonts w:hint="eastAsia" w:ascii="宋体" w:hAnsi="宋体"/>
          <w:szCs w:val="21"/>
        </w:rPr>
      </w:pPr>
      <w:r>
        <w:rPr>
          <w:rFonts w:hint="eastAsia" w:ascii="宋体" w:hAnsi="宋体"/>
          <w:szCs w:val="21"/>
        </w:rPr>
        <w:t>供应商应认真阅读谈判文件的采购需求，如供应商对谈判文件有疑问的，如要求采购人作出澄清或者修改的，供应商尽应在</w:t>
      </w:r>
      <w:r>
        <w:rPr>
          <w:rFonts w:ascii="宋体" w:hAnsi="宋体"/>
          <w:szCs w:val="21"/>
        </w:rPr>
        <w:t>提交首次响应文件截止之日前</w:t>
      </w:r>
      <w:r>
        <w:rPr>
          <w:rFonts w:hint="eastAsia" w:ascii="宋体" w:hAnsi="宋体"/>
          <w:szCs w:val="21"/>
        </w:rPr>
        <w:t>，以书面形式向</w:t>
      </w:r>
      <w:r>
        <w:rPr>
          <w:rFonts w:ascii="宋体" w:hAnsi="宋体"/>
          <w:szCs w:val="21"/>
        </w:rPr>
        <w:t>采购人、采购代理机构</w:t>
      </w:r>
      <w:r>
        <w:rPr>
          <w:rFonts w:hint="eastAsia" w:ascii="宋体" w:hAnsi="宋体"/>
          <w:szCs w:val="21"/>
        </w:rPr>
        <w:t>提出。</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10.谈判文件的澄清和修改</w:t>
      </w:r>
    </w:p>
    <w:p>
      <w:pPr>
        <w:spacing w:line="360" w:lineRule="auto"/>
        <w:ind w:firstLine="420" w:firstLineChars="200"/>
        <w:rPr>
          <w:rFonts w:hint="eastAsia" w:ascii="宋体" w:hAnsi="宋体"/>
          <w:szCs w:val="21"/>
        </w:rPr>
      </w:pPr>
      <w:r>
        <w:rPr>
          <w:rFonts w:hint="eastAsia" w:ascii="宋体" w:hAnsi="宋体"/>
          <w:szCs w:val="21"/>
        </w:rPr>
        <w:t>10.1已获取谈判文件的潜在供应商，若有问题需要澄清，应于应标截止时间前，以书面形式向采购代理机构提出，采购代理机构与采购人研究后，对认为有必要回答的问题，按照本章10.3的内容处理。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hint="eastAsia" w:ascii="宋体" w:hAnsi="宋体"/>
          <w:b/>
          <w:szCs w:val="21"/>
        </w:rPr>
      </w:pPr>
      <w:r>
        <w:rPr>
          <w:rFonts w:hint="eastAsia" w:ascii="宋体" w:hAnsi="宋体"/>
          <w:b/>
          <w:szCs w:val="21"/>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3</w:t>
      </w:r>
      <w:r>
        <w:rPr>
          <w:rFonts w:ascii="宋体" w:hAnsi="宋体"/>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w:t>
      </w:r>
      <w:r>
        <w:rPr>
          <w:rFonts w:ascii="宋体" w:hAnsi="宋体"/>
          <w:szCs w:val="21"/>
          <w:highlight w:val="none"/>
        </w:rPr>
        <w:t>日</w:t>
      </w:r>
      <w:r>
        <w:rPr>
          <w:rFonts w:hint="eastAsia" w:ascii="宋体" w:hAnsi="宋体"/>
          <w:szCs w:val="21"/>
          <w:highlight w:val="none"/>
        </w:rPr>
        <w:t>3</w:t>
      </w:r>
      <w:r>
        <w:rPr>
          <w:rFonts w:ascii="宋体" w:hAnsi="宋体"/>
          <w:szCs w:val="21"/>
          <w:highlight w:val="none"/>
        </w:rPr>
        <w:t>个工作日</w:t>
      </w:r>
      <w:r>
        <w:rPr>
          <w:rFonts w:ascii="宋体" w:hAnsi="宋体"/>
          <w:szCs w:val="21"/>
        </w:rPr>
        <w:t>前，以</w:t>
      </w:r>
      <w:r>
        <w:rPr>
          <w:rFonts w:hint="eastAsia" w:ascii="宋体" w:hAnsi="宋体"/>
          <w:szCs w:val="21"/>
        </w:rPr>
        <w:t>书面形式（目前为网上公告和系统短信等形式）</w:t>
      </w:r>
      <w:r>
        <w:rPr>
          <w:rFonts w:ascii="宋体" w:hAnsi="宋体"/>
          <w:szCs w:val="21"/>
        </w:rPr>
        <w:t>通知所有</w:t>
      </w:r>
      <w:r>
        <w:rPr>
          <w:rFonts w:hint="eastAsia" w:ascii="宋体" w:hAnsi="宋体"/>
          <w:szCs w:val="21"/>
        </w:rPr>
        <w:t>获取</w:t>
      </w:r>
      <w:r>
        <w:rPr>
          <w:rFonts w:ascii="宋体" w:hAnsi="宋体"/>
          <w:szCs w:val="21"/>
        </w:rPr>
        <w:t>谈判文件的供应商，不</w:t>
      </w:r>
      <w:r>
        <w:rPr>
          <w:rFonts w:ascii="宋体" w:hAnsi="宋体"/>
          <w:szCs w:val="21"/>
          <w:highlight w:val="none"/>
        </w:rPr>
        <w:t>足</w:t>
      </w:r>
      <w:r>
        <w:rPr>
          <w:rFonts w:hint="eastAsia" w:ascii="宋体" w:hAnsi="宋体"/>
          <w:szCs w:val="21"/>
          <w:highlight w:val="none"/>
        </w:rPr>
        <w:t>3</w:t>
      </w:r>
      <w:r>
        <w:rPr>
          <w:rFonts w:ascii="宋体" w:hAnsi="宋体"/>
          <w:szCs w:val="21"/>
          <w:highlight w:val="none"/>
        </w:rPr>
        <w:t>个工作日的</w:t>
      </w:r>
      <w:r>
        <w:rPr>
          <w:rFonts w:ascii="宋体" w:hAnsi="宋体"/>
          <w:szCs w:val="21"/>
        </w:rPr>
        <w:t>，应当顺延提交首次响应文件截止之日。</w:t>
      </w:r>
    </w:p>
    <w:p>
      <w:pPr>
        <w:spacing w:line="360" w:lineRule="auto"/>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4</w:t>
      </w:r>
      <w:r>
        <w:rPr>
          <w:rFonts w:ascii="Arial" w:hAnsi="Arial" w:cs="Arial"/>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hint="eastAsia"/>
        </w:rPr>
      </w:pPr>
      <w:r>
        <w:rPr>
          <w:rFonts w:hint="eastAsia" w:hAnsi="宋体"/>
        </w:rPr>
        <w:t xml:space="preserve">10.5  </w:t>
      </w:r>
      <w:r>
        <w:rPr>
          <w:rFonts w:hint="eastAsia"/>
        </w:rPr>
        <w:t>采购人和采购代理机构可以视采购具体情况，变更</w:t>
      </w:r>
      <w:r>
        <w:rPr>
          <w:rFonts w:hAnsi="宋体"/>
        </w:rPr>
        <w:t>提交首次响应文件</w:t>
      </w:r>
      <w:r>
        <w:rPr>
          <w:rFonts w:hint="eastAsia"/>
        </w:rPr>
        <w:t>截止时间和竞谈时间，将变更时间将在</w:t>
      </w:r>
      <w:r>
        <w:rPr>
          <w:rFonts w:hint="eastAsia" w:hAnsi="宋体"/>
        </w:rPr>
        <w:t>“采购文件公告</w:t>
      </w:r>
      <w:r>
        <w:rPr>
          <w:rFonts w:hAnsi="宋体"/>
        </w:rPr>
        <w:t>”</w:t>
      </w:r>
      <w:r>
        <w:rPr>
          <w:rFonts w:hint="eastAsia" w:hAnsi="宋体"/>
        </w:rPr>
        <w:t>中“七、其他补充事宜3.网上查询地址”</w:t>
      </w:r>
      <w:r>
        <w:rPr>
          <w:rFonts w:hint="eastAsia" w:cs="宋体"/>
        </w:rPr>
        <w:t>规定的政府采购信息发布媒体上</w:t>
      </w:r>
      <w:r>
        <w:rPr>
          <w:rFonts w:hint="eastAsia"/>
        </w:rPr>
        <w:t>发布更正公告。</w:t>
      </w:r>
    </w:p>
    <w:p>
      <w:pPr>
        <w:spacing w:line="360" w:lineRule="auto"/>
        <w:ind w:firstLine="400" w:firstLineChars="200"/>
        <w:rPr>
          <w:rFonts w:hint="eastAsia" w:ascii="宋体" w:hAnsi="Courier New"/>
          <w:kern w:val="0"/>
          <w:sz w:val="20"/>
          <w:szCs w:val="21"/>
        </w:rPr>
      </w:pPr>
      <w:r>
        <w:rPr>
          <w:rFonts w:hint="eastAsia" w:ascii="宋体" w:hAnsi="Courier New"/>
          <w:kern w:val="0"/>
          <w:sz w:val="20"/>
          <w:szCs w:val="21"/>
        </w:rPr>
        <w:t>▲</w:t>
      </w:r>
      <w:r>
        <w:rPr>
          <w:rFonts w:hint="eastAsia" w:ascii="宋体" w:hAnsi="Courier New"/>
          <w:b/>
          <w:kern w:val="0"/>
          <w:sz w:val="20"/>
          <w:szCs w:val="21"/>
        </w:rPr>
        <w:t>响应文件未按谈判文件的澄清、修改的内容编制，又不符合实质性要求的，其响应文件作无效处理。</w:t>
      </w:r>
    </w:p>
    <w:p>
      <w:pPr>
        <w:pStyle w:val="5"/>
        <w:spacing w:before="0" w:after="0" w:line="360" w:lineRule="auto"/>
        <w:ind w:firstLine="640" w:firstLineChars="200"/>
        <w:rPr>
          <w:rFonts w:hint="eastAsia" w:ascii="宋体" w:hAnsi="宋体"/>
          <w:b w:val="0"/>
          <w:bCs w:val="0"/>
        </w:rPr>
      </w:pPr>
      <w:r>
        <w:rPr>
          <w:rFonts w:hint="eastAsia" w:ascii="宋体" w:hAnsi="宋体"/>
          <w:b w:val="0"/>
          <w:bCs w:val="0"/>
        </w:rPr>
        <w:t xml:space="preserve">  </w:t>
      </w:r>
      <w:bookmarkStart w:id="64" w:name="_Toc80205927"/>
      <w:r>
        <w:rPr>
          <w:rFonts w:hint="eastAsia" w:ascii="宋体" w:hAnsi="宋体"/>
          <w:b w:val="0"/>
          <w:bCs w:val="0"/>
        </w:rPr>
        <w:t>三、响应文件的编制</w:t>
      </w:r>
      <w:bookmarkEnd w:id="64"/>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11.响应文件的编制原则</w:t>
      </w:r>
    </w:p>
    <w:p>
      <w:pPr>
        <w:spacing w:line="360" w:lineRule="auto"/>
        <w:ind w:firstLine="420" w:firstLineChars="200"/>
        <w:rPr>
          <w:rFonts w:hint="eastAsia" w:ascii="宋体" w:hAnsi="宋体" w:cs="宋体"/>
          <w:szCs w:val="21"/>
        </w:rPr>
      </w:pPr>
      <w:r>
        <w:rPr>
          <w:rFonts w:hint="eastAsia" w:ascii="宋体" w:hAnsi="宋体" w:cs="宋体"/>
          <w:szCs w:val="21"/>
        </w:rPr>
        <w:t>供应商必须按照谈判文件的要求编制响应文件，并对其提交的响应文件的真实性、合法性承担法律责任。响应文件必须对谈判文件作出实质性响应。</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12.响应文件的组成</w:t>
      </w:r>
    </w:p>
    <w:p>
      <w:pPr>
        <w:spacing w:line="360" w:lineRule="auto"/>
        <w:ind w:firstLine="420" w:firstLineChars="200"/>
        <w:rPr>
          <w:rFonts w:hint="eastAsia" w:ascii="宋体" w:hAnsi="宋体" w:cs="宋体"/>
          <w:szCs w:val="21"/>
        </w:rPr>
      </w:pPr>
      <w:r>
        <w:rPr>
          <w:rFonts w:hint="eastAsia" w:ascii="宋体" w:hAnsi="宋体" w:cs="宋体"/>
          <w:szCs w:val="21"/>
        </w:rPr>
        <w:t>12.1响应文件由资格证明文件、报价文件、商务和技术文件三部分组成。</w:t>
      </w:r>
    </w:p>
    <w:p>
      <w:pPr>
        <w:spacing w:line="360" w:lineRule="auto"/>
        <w:ind w:left="420" w:leftChars="200"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2.1.1</w:t>
      </w:r>
      <w:r>
        <w:rPr>
          <w:rFonts w:hint="eastAsia" w:ascii="宋体" w:hAnsi="宋体" w:cs="宋体"/>
          <w:szCs w:val="21"/>
        </w:rPr>
        <w:t>资格证明文件：详见须知前附表</w:t>
      </w:r>
    </w:p>
    <w:p>
      <w:pPr>
        <w:spacing w:line="360" w:lineRule="auto"/>
        <w:ind w:left="420" w:leftChars="200" w:firstLine="420" w:firstLineChars="200"/>
        <w:rPr>
          <w:rFonts w:hint="eastAsia" w:ascii="宋体" w:hAnsi="宋体" w:cs="宋体"/>
          <w:szCs w:val="21"/>
        </w:rPr>
      </w:pPr>
      <w:r>
        <w:rPr>
          <w:rFonts w:hint="eastAsia" w:ascii="宋体" w:hAnsi="宋体" w:cs="宋体"/>
          <w:szCs w:val="21"/>
        </w:rPr>
        <w:t>12.1.2商务技术文件：详见须知前附表</w:t>
      </w:r>
    </w:p>
    <w:p>
      <w:pPr>
        <w:spacing w:line="360" w:lineRule="auto"/>
        <w:ind w:left="420" w:leftChars="200"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2.1.</w:t>
      </w:r>
      <w:r>
        <w:rPr>
          <w:rFonts w:hint="eastAsia" w:ascii="宋体" w:hAnsi="宋体" w:cs="宋体"/>
          <w:szCs w:val="21"/>
        </w:rPr>
        <w:t>3报价文件：详见须知前附表</w:t>
      </w:r>
    </w:p>
    <w:p>
      <w:pPr>
        <w:spacing w:line="360" w:lineRule="auto"/>
        <w:ind w:left="420" w:leftChars="200" w:firstLine="420" w:firstLineChars="200"/>
        <w:rPr>
          <w:rFonts w:hint="eastAsia" w:ascii="宋体" w:hAnsi="宋体" w:cs="宋体"/>
          <w:szCs w:val="21"/>
        </w:rPr>
      </w:pPr>
      <w:r>
        <w:rPr>
          <w:rFonts w:hint="eastAsia" w:ascii="宋体" w:hAnsi="宋体" w:cs="宋体"/>
          <w:szCs w:val="21"/>
        </w:rPr>
        <w:t>12.</w:t>
      </w:r>
      <w:r>
        <w:rPr>
          <w:rFonts w:ascii="宋体" w:hAnsi="宋体" w:cs="宋体"/>
          <w:szCs w:val="21"/>
        </w:rPr>
        <w:t>2</w:t>
      </w:r>
      <w:r>
        <w:rPr>
          <w:rFonts w:hint="eastAsia" w:ascii="宋体" w:hAnsi="宋体" w:cs="宋体"/>
          <w:szCs w:val="21"/>
        </w:rPr>
        <w:t>响应文件电子版：详见须知前附表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13.计量单位</w:t>
      </w:r>
    </w:p>
    <w:p>
      <w:pPr>
        <w:spacing w:line="360" w:lineRule="auto"/>
        <w:ind w:firstLine="420" w:firstLineChars="200"/>
        <w:rPr>
          <w:rFonts w:hint="eastAsia" w:ascii="宋体" w:hAnsi="宋体" w:cs="宋体"/>
          <w:szCs w:val="21"/>
        </w:rPr>
      </w:pPr>
      <w:r>
        <w:rPr>
          <w:rFonts w:hint="eastAsia" w:ascii="宋体" w:hAnsi="宋体" w:cs="宋体"/>
          <w:szCs w:val="21"/>
        </w:rPr>
        <w:t>谈判文件已有明确规定的，使用谈判文件规定的计量单位；谈判文件没有规定的，应采用中华人民共和国法定计量单位，货币种类为人民币，否则视同未响应。</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14.竞标的风险</w:t>
      </w:r>
    </w:p>
    <w:p>
      <w:pPr>
        <w:spacing w:line="360" w:lineRule="auto"/>
        <w:ind w:firstLine="420" w:firstLineChars="200"/>
        <w:rPr>
          <w:rFonts w:hint="eastAsia" w:ascii="宋体" w:hAnsi="宋体" w:cs="宋体"/>
          <w:szCs w:val="21"/>
        </w:rPr>
      </w:pPr>
      <w:r>
        <w:rPr>
          <w:rFonts w:hint="eastAsia" w:ascii="宋体" w:hAnsi="宋体" w:cs="宋体"/>
          <w:szCs w:val="21"/>
        </w:rPr>
        <w:t>供应商没有按照谈判文件要求提供全部资料，或者供应商没有对谈判文件在各方面作出实质性响应可能导致其响应无效，是供应商应当考虑的风险。</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15.响应报价要求和构成</w:t>
      </w:r>
    </w:p>
    <w:p>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15.1响应报价应按“第五章 响应文件格式”中“响应报价表”格式填写。</w:t>
      </w:r>
    </w:p>
    <w:p>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15.2响应报价的价格构成见“供应商须知前附表”。</w:t>
      </w:r>
    </w:p>
    <w:p>
      <w:pPr>
        <w:spacing w:line="360" w:lineRule="auto"/>
        <w:ind w:firstLine="420" w:firstLineChars="200"/>
        <w:rPr>
          <w:rFonts w:hint="eastAsia" w:ascii="宋体" w:hAnsi="宋体" w:cs="宋体"/>
          <w:szCs w:val="21"/>
        </w:rPr>
      </w:pPr>
      <w:r>
        <w:rPr>
          <w:rFonts w:hint="eastAsia" w:ascii="宋体" w:hAnsi="宋体" w:cs="宋体"/>
          <w:szCs w:val="21"/>
        </w:rPr>
        <w:t>15.3响应报价要求</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5.3.1</w:t>
      </w:r>
      <w:r>
        <w:rPr>
          <w:rFonts w:hint="eastAsia" w:ascii="宋体" w:hAnsi="宋体" w:cs="宋体"/>
          <w:szCs w:val="21"/>
        </w:rPr>
        <w:t>供应商的响应报价应符合以下要求，否则响应文件按无效响应处理：</w:t>
      </w:r>
    </w:p>
    <w:p>
      <w:pPr>
        <w:spacing w:line="360" w:lineRule="auto"/>
        <w:ind w:left="420" w:leftChars="200"/>
        <w:rPr>
          <w:rFonts w:ascii="宋体" w:hAnsi="宋体" w:cs="宋体"/>
          <w:szCs w:val="21"/>
        </w:rPr>
      </w:pPr>
      <w:r>
        <w:rPr>
          <w:rFonts w:hint="eastAsia" w:ascii="宋体" w:hAnsi="宋体" w:cs="宋体"/>
          <w:szCs w:val="21"/>
        </w:rPr>
        <w:t>（1）供应商必须就“采购需求”中所竞标的每个分标的全部内容分别作完整唯一总价报价，不得存在漏项报价；</w:t>
      </w:r>
    </w:p>
    <w:p>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）供应商必须就所竞标的分标的单项内容作唯一报价。</w:t>
      </w:r>
    </w:p>
    <w:p>
      <w:pPr>
        <w:spacing w:line="360" w:lineRule="auto"/>
        <w:ind w:firstLine="420" w:firstLineChars="200"/>
        <w:rPr>
          <w:rFonts w:hint="eastAsia" w:ascii="宋体" w:hAnsi="宋体" w:cs="宋体"/>
          <w:szCs w:val="21"/>
        </w:rPr>
      </w:pPr>
      <w:r>
        <w:rPr>
          <w:rFonts w:hint="eastAsia" w:ascii="宋体" w:hAnsi="宋体" w:cs="宋体"/>
          <w:szCs w:val="21"/>
        </w:rPr>
        <w:t>15.3.</w:t>
      </w:r>
      <w:r>
        <w:rPr>
          <w:rFonts w:ascii="宋体" w:hAnsi="宋体" w:cs="宋体"/>
          <w:szCs w:val="21"/>
        </w:rPr>
        <w:t>2</w:t>
      </w:r>
      <w:r>
        <w:rPr>
          <w:rFonts w:hint="eastAsia" w:ascii="宋体" w:hAnsi="宋体" w:cs="宋体"/>
          <w:szCs w:val="21"/>
        </w:rPr>
        <w:t>响应报价（包含首次报价、最后报价）超过所竞标分标规定的采购预算金额或者最高限价的，其响应文件将作无效处理。</w:t>
      </w:r>
    </w:p>
    <w:p>
      <w:pPr>
        <w:spacing w:line="360" w:lineRule="auto"/>
        <w:ind w:firstLine="420" w:firstLineChars="200"/>
        <w:rPr>
          <w:rFonts w:hint="eastAsia" w:ascii="宋体" w:hAnsi="宋体" w:cs="宋体"/>
          <w:szCs w:val="21"/>
        </w:rPr>
      </w:pPr>
      <w:r>
        <w:rPr>
          <w:rFonts w:hint="eastAsia" w:ascii="宋体" w:hAnsi="宋体" w:cs="宋体"/>
          <w:szCs w:val="21"/>
        </w:rPr>
        <w:t>15.3.</w:t>
      </w:r>
      <w:r>
        <w:rPr>
          <w:rFonts w:ascii="宋体" w:hAnsi="宋体" w:cs="宋体"/>
          <w:szCs w:val="21"/>
        </w:rPr>
        <w:t>3</w:t>
      </w:r>
      <w:bookmarkStart w:id="65" w:name="_Hlk42592874"/>
      <w:r>
        <w:rPr>
          <w:rFonts w:hint="eastAsia" w:ascii="宋体" w:hAnsi="宋体" w:cs="宋体"/>
          <w:szCs w:val="21"/>
        </w:rPr>
        <w:t>响应报价（包含首次报价、最后报价）超过分项采购预算金额或者最高限价的，其响应文件将作无效处理。</w:t>
      </w:r>
    </w:p>
    <w:bookmarkEnd w:id="65"/>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16.竞标有效期</w:t>
      </w:r>
    </w:p>
    <w:p>
      <w:pPr>
        <w:spacing w:line="360" w:lineRule="auto"/>
        <w:ind w:firstLine="420" w:firstLineChars="200"/>
        <w:rPr>
          <w:rFonts w:hint="eastAsia"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cs="宋体"/>
          <w:szCs w:val="21"/>
        </w:rPr>
      </w:pPr>
      <w:r>
        <w:rPr>
          <w:rFonts w:hint="eastAsia" w:ascii="宋体" w:hAnsi="宋体" w:cs="宋体"/>
          <w:szCs w:val="21"/>
        </w:rPr>
        <w:t>16.2 竞标有效期应由供应商按“供应商须知前附表”规定的期限作出响应。</w:t>
      </w:r>
    </w:p>
    <w:p>
      <w:pPr>
        <w:spacing w:line="360" w:lineRule="auto"/>
        <w:ind w:firstLine="420" w:firstLineChars="200"/>
        <w:rPr>
          <w:rFonts w:hint="eastAsia" w:ascii="宋体" w:hAnsi="宋体" w:cs="宋体"/>
          <w:szCs w:val="21"/>
        </w:rPr>
      </w:pPr>
      <w:r>
        <w:rPr>
          <w:rFonts w:hint="eastAsia" w:ascii="宋体" w:hAnsi="宋体" w:cs="宋体"/>
          <w:szCs w:val="21"/>
        </w:rPr>
        <w:t>16.3供应商的响应文件在竞标有效期内均保持有效。</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17.谈判保证金</w:t>
      </w:r>
    </w:p>
    <w:p>
      <w:pPr>
        <w:spacing w:line="360" w:lineRule="auto"/>
        <w:ind w:firstLine="420" w:firstLineChars="200"/>
        <w:rPr>
          <w:rFonts w:ascii="宋体" w:hAnsi="宋体" w:cs="宋体"/>
          <w:szCs w:val="21"/>
        </w:rPr>
      </w:pPr>
      <w:r>
        <w:rPr>
          <w:rFonts w:hint="eastAsia" w:ascii="宋体" w:hAnsi="宋体" w:cs="宋体"/>
          <w:szCs w:val="21"/>
        </w:rPr>
        <w:t>详见“供应商须知前附表”。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18.响应文件编制的要求</w:t>
      </w:r>
    </w:p>
    <w:p>
      <w:pPr>
        <w:spacing w:line="360" w:lineRule="auto"/>
        <w:ind w:firstLine="420" w:firstLineChars="200"/>
        <w:rPr>
          <w:rFonts w:hint="eastAsia" w:ascii="宋体" w:hAnsi="宋体" w:cs="宋体"/>
          <w:szCs w:val="21"/>
        </w:rPr>
      </w:pPr>
      <w:r>
        <w:rPr>
          <w:rFonts w:hint="eastAsia" w:ascii="宋体" w:hAnsi="宋体" w:cs="宋体"/>
          <w:szCs w:val="21"/>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pPr>
        <w:spacing w:line="360" w:lineRule="auto"/>
        <w:ind w:firstLine="420" w:firstLineChars="200"/>
        <w:rPr>
          <w:rFonts w:hint="eastAsia" w:ascii="宋体" w:hAnsi="宋体" w:cs="宋体"/>
          <w:szCs w:val="21"/>
        </w:rPr>
      </w:pPr>
      <w:r>
        <w:rPr>
          <w:rFonts w:hint="eastAsia" w:ascii="宋体" w:hAnsi="宋体" w:cs="宋体"/>
          <w:szCs w:val="21"/>
        </w:rPr>
        <w:t>18.2响应文件应按资格证明、报价分别编制，商务技术文件合并编制，本谈判只接收电子版响应文件，要求见本章“12.2响应文件电子版要求”。</w:t>
      </w:r>
    </w:p>
    <w:p>
      <w:pPr>
        <w:spacing w:line="360" w:lineRule="auto"/>
        <w:ind w:firstLine="420" w:firstLineChars="200"/>
        <w:rPr>
          <w:rFonts w:hint="eastAsia" w:ascii="宋体" w:hAnsi="宋体" w:cs="宋体"/>
          <w:szCs w:val="21"/>
        </w:rPr>
      </w:pPr>
      <w:r>
        <w:rPr>
          <w:rFonts w:hint="eastAsia" w:ascii="宋体" w:hAnsi="宋体" w:cs="宋体"/>
          <w:szCs w:val="21"/>
        </w:rPr>
        <w:t>18.</w:t>
      </w:r>
      <w:bookmarkStart w:id="66" w:name="_Hlk65832699"/>
      <w:r>
        <w:rPr>
          <w:rFonts w:hint="eastAsia" w:ascii="宋体" w:hAnsi="宋体" w:cs="宋体"/>
          <w:szCs w:val="21"/>
        </w:rPr>
        <w:t>3</w:t>
      </w:r>
      <w:r>
        <w:rPr>
          <w:rFonts w:hint="eastAsia" w:ascii="宋体" w:hAnsi="宋体"/>
          <w:szCs w:val="21"/>
        </w:rPr>
        <w:t>响应文件须由供应商在</w:t>
      </w:r>
      <w:r>
        <w:rPr>
          <w:rFonts w:hint="eastAsia" w:ascii="宋体" w:hAnsi="宋体" w:cs="仿宋_GB2312"/>
          <w:kern w:val="0"/>
          <w:szCs w:val="21"/>
          <w:lang w:val="zh-CN"/>
        </w:rPr>
        <w:t>“</w:t>
      </w:r>
      <w:r>
        <w:rPr>
          <w:rFonts w:hint="eastAsia" w:ascii="宋体" w:hAnsi="宋体"/>
          <w:szCs w:val="21"/>
        </w:rPr>
        <w:t>第五章 响应文件格式</w:t>
      </w:r>
      <w:r>
        <w:rPr>
          <w:rFonts w:hint="eastAsia" w:ascii="宋体" w:hAnsi="宋体" w:cs="仿宋_GB2312"/>
          <w:kern w:val="0"/>
          <w:szCs w:val="21"/>
          <w:lang w:val="zh-CN"/>
        </w:rPr>
        <w:t>”</w:t>
      </w:r>
      <w:r>
        <w:rPr>
          <w:rFonts w:hint="eastAsia" w:ascii="宋体" w:hAnsi="宋体"/>
          <w:szCs w:val="21"/>
        </w:rPr>
        <w:t>规定位置</w:t>
      </w:r>
      <w:r>
        <w:rPr>
          <w:rFonts w:hint="eastAsia" w:ascii="宋体" w:hAnsi="宋体" w:cs="仿宋_GB2312"/>
          <w:szCs w:val="21"/>
        </w:rPr>
        <w:t>进行签署、盖章</w:t>
      </w:r>
      <w:bookmarkEnd w:id="66"/>
      <w:r>
        <w:rPr>
          <w:rFonts w:hint="eastAsia" w:ascii="宋体" w:hAnsi="宋体" w:cs="宋体"/>
          <w:szCs w:val="21"/>
        </w:rPr>
        <w:t>，否则其响应文件按无效响应处理。骑缝盖公章不视为在规定位置盖章。</w:t>
      </w:r>
    </w:p>
    <w:p>
      <w:pPr>
        <w:spacing w:line="360" w:lineRule="auto"/>
        <w:ind w:firstLine="420" w:firstLineChars="200"/>
        <w:rPr>
          <w:rFonts w:hint="eastAsia" w:ascii="宋体" w:hAnsi="宋体" w:cs="宋体"/>
          <w:szCs w:val="21"/>
        </w:rPr>
      </w:pPr>
      <w:r>
        <w:rPr>
          <w:rFonts w:hint="eastAsia" w:ascii="宋体" w:hAnsi="宋体" w:cs="宋体"/>
          <w:szCs w:val="21"/>
        </w:rPr>
        <w:t>18.4响应文件中标注的供应商名称应与营业执照（事业单位法人证书、执业许可证、自然人身份证）及电子公章一致，否则其响应文件按无效响应处理。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18.5响应文件应避免涂改、行间插字或者删除，否则其响应文件按无效响应处理。</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19.响应文件的密封和标记</w:t>
      </w:r>
    </w:p>
    <w:p>
      <w:pPr>
        <w:spacing w:line="360" w:lineRule="auto"/>
        <w:ind w:firstLine="420" w:firstLineChars="200"/>
        <w:rPr>
          <w:rFonts w:ascii="宋体" w:hAnsi="宋体" w:cs="仿宋_GB2312"/>
          <w:kern w:val="0"/>
          <w:szCs w:val="21"/>
          <w:lang w:val="zh-CN"/>
        </w:rPr>
      </w:pPr>
      <w:r>
        <w:rPr>
          <w:rFonts w:hint="eastAsia" w:ascii="宋体" w:hAnsi="宋体" w:cs="仿宋_GB2312"/>
          <w:kern w:val="0"/>
          <w:szCs w:val="21"/>
          <w:lang w:val="zh-CN"/>
        </w:rPr>
        <w:t>19.1供应商进行电子交易应安装客户端软件—“政采云电子交易客户端”，并按照谈判文件和电子交易平台的要求编制并加密响应文件。供应商未按规定加密的响应文件，电子交易平台将拒收并提示。</w:t>
      </w:r>
    </w:p>
    <w:p>
      <w:pPr>
        <w:spacing w:line="360" w:lineRule="auto"/>
        <w:ind w:firstLine="420" w:firstLineChars="200"/>
        <w:rPr>
          <w:rFonts w:ascii="宋体" w:hAnsi="宋体" w:cs="仿宋_GB2312"/>
          <w:kern w:val="0"/>
          <w:szCs w:val="21"/>
          <w:lang w:val="zh-CN"/>
        </w:rPr>
      </w:pPr>
      <w:r>
        <w:rPr>
          <w:rFonts w:hint="eastAsia" w:ascii="宋体" w:hAnsi="宋体" w:cs="仿宋_GB2312"/>
          <w:kern w:val="0"/>
          <w:szCs w:val="21"/>
          <w:lang w:val="zh-CN"/>
        </w:rPr>
        <w:t>19.2使用“政采云电子交易客户端”需要提前申领CA数字证书，申领流程见该项目采购公告附件。</w:t>
      </w:r>
    </w:p>
    <w:p>
      <w:pPr>
        <w:pStyle w:val="14"/>
        <w:spacing w:line="360" w:lineRule="auto"/>
        <w:ind w:firstLine="420" w:firstLineChars="200"/>
        <w:rPr>
          <w:rFonts w:hAnsi="宋体" w:cs="仿宋_GB2312"/>
          <w:sz w:val="21"/>
        </w:rPr>
      </w:pPr>
      <w:r>
        <w:rPr>
          <w:rFonts w:hint="eastAsia" w:hAnsi="宋体" w:cs="仿宋_GB2312"/>
          <w:sz w:val="21"/>
        </w:rPr>
        <w:t>19.3为确保网上操作合法、有效和安全，供应商应当在响应文件提交截止时间前完成在“政府采购云平台”的身份认证，确保在电子交易过程中能够对相关数据电文进行加密和使用电子签名。</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20.响应文件的提交</w:t>
      </w:r>
    </w:p>
    <w:p>
      <w:pPr>
        <w:spacing w:line="360" w:lineRule="auto"/>
        <w:ind w:firstLine="420" w:firstLineChars="200"/>
        <w:rPr>
          <w:rFonts w:hint="eastAsia" w:ascii="宋体" w:hAnsi="宋体" w:cs="宋体"/>
          <w:szCs w:val="21"/>
        </w:rPr>
      </w:pPr>
      <w:r>
        <w:rPr>
          <w:rFonts w:hint="eastAsia" w:ascii="宋体" w:hAnsi="宋体" w:cs="宋体"/>
          <w:szCs w:val="21"/>
        </w:rPr>
        <w:t>20.1供应商必须在“供应商须知前附表”规定的时间和地点提交响应文件。</w:t>
      </w:r>
    </w:p>
    <w:p>
      <w:pPr>
        <w:spacing w:line="360" w:lineRule="auto"/>
        <w:ind w:firstLine="420" w:firstLineChars="200"/>
        <w:rPr>
          <w:rFonts w:ascii="宋体" w:hAnsi="宋体"/>
          <w:szCs w:val="21"/>
        </w:rPr>
      </w:pPr>
      <w:r>
        <w:rPr>
          <w:rFonts w:hint="eastAsia" w:ascii="宋体" w:hAnsi="宋体" w:cs="宋体"/>
          <w:szCs w:val="21"/>
        </w:rPr>
        <w:t>20</w:t>
      </w:r>
      <w:r>
        <w:rPr>
          <w:rFonts w:hint="eastAsia" w:ascii="宋体" w:hAnsi="宋体"/>
          <w:szCs w:val="21"/>
        </w:rPr>
        <w:t>.2 在响应文件提交截止时间以后，不能补充、修改响应文件。</w:t>
      </w:r>
    </w:p>
    <w:p>
      <w:pPr>
        <w:spacing w:line="360" w:lineRule="auto"/>
        <w:ind w:firstLine="420" w:firstLineChars="200"/>
        <w:rPr>
          <w:rFonts w:ascii="宋体" w:hAnsi="宋体"/>
          <w:szCs w:val="21"/>
        </w:rPr>
      </w:pPr>
      <w:r>
        <w:rPr>
          <w:rFonts w:hint="eastAsia" w:ascii="宋体" w:hAnsi="宋体"/>
          <w:szCs w:val="21"/>
        </w:rPr>
        <w:t>20.3 在提交“最后报价”后，供应商不能退出谈判。</w:t>
      </w:r>
    </w:p>
    <w:p>
      <w:pPr>
        <w:spacing w:line="360" w:lineRule="auto"/>
        <w:ind w:firstLine="420" w:firstLineChars="200"/>
        <w:rPr>
          <w:rFonts w:ascii="宋体" w:hAnsi="宋体"/>
          <w:szCs w:val="21"/>
        </w:rPr>
      </w:pPr>
      <w:r>
        <w:rPr>
          <w:rFonts w:hint="eastAsia" w:ascii="宋体" w:hAnsi="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hint="eastAsia" w:ascii="宋体" w:hAnsi="宋体"/>
          <w:szCs w:val="21"/>
        </w:rPr>
      </w:pPr>
      <w:r>
        <w:rPr>
          <w:rFonts w:hint="eastAsia" w:ascii="宋体" w:hAnsi="宋体"/>
          <w:szCs w:val="21"/>
        </w:rPr>
        <w:t>20.5 采购机构不可视情况延长提交响应文件的截止时间。</w:t>
      </w:r>
    </w:p>
    <w:p>
      <w:pPr>
        <w:spacing w:line="360" w:lineRule="auto"/>
        <w:ind w:firstLine="420" w:firstLineChars="200"/>
        <w:rPr>
          <w:rFonts w:hint="eastAsia" w:ascii="黑体" w:hAnsi="黑体" w:eastAsia="黑体"/>
          <w:color w:val="000000"/>
          <w:sz w:val="24"/>
        </w:rPr>
      </w:pPr>
      <w:r>
        <w:rPr>
          <w:rFonts w:hint="eastAsia" w:ascii="宋体" w:hAnsi="宋体"/>
          <w:szCs w:val="21"/>
        </w:rPr>
        <w:t>20.6备份响应文件。</w:t>
      </w:r>
      <w:r>
        <w:rPr>
          <w:rFonts w:hint="eastAsia" w:hAnsi="宋体"/>
          <w:bCs/>
          <w:color w:val="000000"/>
          <w:szCs w:val="21"/>
        </w:rPr>
        <w:t>详见在“供应商须知前附表”。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21.首次响应文件的补充、修改与撤回</w:t>
      </w:r>
    </w:p>
    <w:p>
      <w:pPr>
        <w:pStyle w:val="29"/>
        <w:spacing w:before="0"/>
        <w:ind w:firstLine="420"/>
        <w:rPr>
          <w:rFonts w:ascii="宋体" w:hAnsi="宋体" w:cs="仿宋_GB2312"/>
          <w:sz w:val="21"/>
          <w:szCs w:val="21"/>
        </w:rPr>
      </w:pPr>
      <w:r>
        <w:rPr>
          <w:rFonts w:hint="eastAsia" w:ascii="宋体" w:hAnsi="宋体" w:cs="仿宋_GB2312"/>
          <w:sz w:val="21"/>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pPr>
        <w:spacing w:line="360" w:lineRule="auto"/>
        <w:ind w:firstLine="482" w:firstLineChars="200"/>
        <w:rPr>
          <w:rFonts w:ascii="黑体" w:hAnsi="黑体" w:eastAsia="黑体" w:cs="宋体"/>
          <w:b/>
          <w:bCs/>
          <w:sz w:val="24"/>
        </w:rPr>
      </w:pPr>
      <w:bookmarkStart w:id="67" w:name="_Hlk45702405"/>
      <w:r>
        <w:rPr>
          <w:rFonts w:hint="eastAsia" w:ascii="黑体" w:hAnsi="黑体" w:eastAsia="黑体" w:cs="宋体"/>
          <w:b/>
          <w:bCs/>
          <w:sz w:val="24"/>
        </w:rPr>
        <w:t>22. 首次响应文件的退回</w:t>
      </w:r>
    </w:p>
    <w:p>
      <w:pPr>
        <w:spacing w:line="360" w:lineRule="auto"/>
        <w:ind w:firstLine="420" w:firstLineChars="200"/>
        <w:rPr>
          <w:rFonts w:ascii="宋体" w:hAnsi="宋体" w:cs="宋体"/>
          <w:szCs w:val="21"/>
        </w:rPr>
      </w:pPr>
      <w:r>
        <w:rPr>
          <w:rFonts w:hint="eastAsia" w:ascii="宋体" w:hAnsi="宋体" w:cs="宋体"/>
          <w:szCs w:val="21"/>
        </w:rPr>
        <w:t>详见“供应商须知前附表”。</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23. 截止时间后的撤回</w:t>
      </w:r>
    </w:p>
    <w:p>
      <w:pPr>
        <w:spacing w:line="360" w:lineRule="auto"/>
        <w:ind w:firstLine="420" w:firstLineChars="200"/>
        <w:rPr>
          <w:rFonts w:hint="eastAsia" w:ascii="宋体" w:hAnsi="宋体"/>
          <w:szCs w:val="21"/>
        </w:rPr>
      </w:pPr>
      <w:r>
        <w:rPr>
          <w:rFonts w:hint="eastAsia" w:ascii="宋体" w:hAnsi="宋体" w:cs="宋体"/>
          <w:szCs w:val="21"/>
        </w:rPr>
        <w:t>本项目不收取谈判保证金，供应商在首次响应文件提交截止时间后可向采购人、采购代理机构书面申请撤回响应文件。</w:t>
      </w:r>
      <w:bookmarkEnd w:id="67"/>
    </w:p>
    <w:p>
      <w:pPr>
        <w:pStyle w:val="5"/>
        <w:spacing w:before="0" w:after="0" w:line="360" w:lineRule="auto"/>
        <w:ind w:firstLine="640" w:firstLineChars="200"/>
        <w:rPr>
          <w:rFonts w:hint="eastAsia" w:ascii="宋体" w:hAnsi="宋体"/>
          <w:b w:val="0"/>
          <w:bCs w:val="0"/>
        </w:rPr>
      </w:pPr>
      <w:r>
        <w:rPr>
          <w:rFonts w:hint="eastAsia" w:ascii="宋体" w:hAnsi="宋体"/>
          <w:b w:val="0"/>
          <w:bCs w:val="0"/>
        </w:rPr>
        <w:t xml:space="preserve">  </w:t>
      </w:r>
      <w:bookmarkStart w:id="68" w:name="_Toc80205928"/>
      <w:r>
        <w:rPr>
          <w:rFonts w:hint="eastAsia" w:ascii="宋体" w:hAnsi="宋体"/>
          <w:b w:val="0"/>
          <w:bCs w:val="0"/>
        </w:rPr>
        <w:t>四、评审及谈判</w:t>
      </w:r>
      <w:bookmarkEnd w:id="68"/>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24.谈判小组成立</w:t>
      </w:r>
    </w:p>
    <w:p>
      <w:pPr>
        <w:spacing w:line="360" w:lineRule="auto"/>
        <w:ind w:firstLine="420" w:firstLineChars="200"/>
        <w:rPr>
          <w:rFonts w:hint="eastAsia" w:ascii="宋体" w:hAnsi="宋体" w:cs="宋体"/>
          <w:szCs w:val="21"/>
        </w:rPr>
      </w:pPr>
      <w:r>
        <w:rPr>
          <w:rFonts w:hint="eastAsia" w:ascii="宋体" w:hAnsi="宋体" w:cs="宋体"/>
          <w:szCs w:val="21"/>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pPr>
        <w:spacing w:line="360" w:lineRule="auto"/>
        <w:ind w:firstLine="420" w:firstLineChars="200"/>
        <w:rPr>
          <w:rFonts w:hint="eastAsia" w:ascii="宋体" w:hAnsi="宋体" w:cs="宋体"/>
          <w:szCs w:val="21"/>
        </w:rPr>
      </w:pPr>
      <w:r>
        <w:rPr>
          <w:rFonts w:hint="eastAsia" w:ascii="宋体" w:hAnsi="宋体" w:cs="宋体"/>
          <w:szCs w:val="21"/>
        </w:rPr>
        <w:t>24.2评审专家应当从政府采购评审专家库内相关专业的专家名单中随机抽取。技术复杂、专业性强的竞争性谈判采购项目，评审专家中应当包含1名法律专家。</w:t>
      </w:r>
    </w:p>
    <w:p>
      <w:pPr>
        <w:spacing w:line="360" w:lineRule="auto"/>
        <w:ind w:firstLine="482" w:firstLineChars="200"/>
        <w:rPr>
          <w:rFonts w:ascii="黑体" w:hAnsi="黑体" w:eastAsia="黑体" w:cs="宋体"/>
          <w:b/>
          <w:bCs/>
          <w:sz w:val="24"/>
        </w:rPr>
      </w:pPr>
      <w:r>
        <w:rPr>
          <w:rFonts w:ascii="黑体" w:hAnsi="黑体" w:eastAsia="黑体" w:cs="宋体"/>
          <w:b/>
          <w:bCs/>
          <w:sz w:val="24"/>
        </w:rPr>
        <w:t>25.</w:t>
      </w:r>
      <w:r>
        <w:rPr>
          <w:rFonts w:hint="eastAsia" w:ascii="黑体" w:hAnsi="黑体" w:eastAsia="黑体" w:cs="宋体"/>
          <w:b/>
          <w:bCs/>
          <w:sz w:val="24"/>
        </w:rPr>
        <w:t>首次响应文件的开启</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5.1</w:t>
      </w:r>
      <w:r>
        <w:rPr>
          <w:rFonts w:hint="eastAsia" w:ascii="宋体" w:hAnsi="宋体" w:cs="宋体"/>
          <w:szCs w:val="21"/>
        </w:rPr>
        <w:t>首次响应文件由谈判小组或者采购代理机构在“供应商须知前附表”规定的时间开启。</w:t>
      </w:r>
    </w:p>
    <w:p>
      <w:pPr>
        <w:pStyle w:val="14"/>
        <w:spacing w:line="360" w:lineRule="auto"/>
        <w:ind w:firstLine="400" w:firstLineChars="200"/>
        <w:rPr>
          <w:rFonts w:hint="eastAsia" w:hAnsi="宋体"/>
          <w:bCs/>
        </w:rPr>
      </w:pPr>
      <w:r>
        <w:rPr>
          <w:rFonts w:hAnsi="宋体" w:cs="宋体"/>
        </w:rPr>
        <w:t xml:space="preserve">25.2 </w:t>
      </w:r>
      <w:r>
        <w:rPr>
          <w:rFonts w:hint="eastAsia" w:hAnsi="宋体"/>
          <w:bCs/>
        </w:rPr>
        <w:t>响应文件解密</w:t>
      </w:r>
    </w:p>
    <w:p>
      <w:pPr>
        <w:pStyle w:val="14"/>
        <w:snapToGrid w:val="0"/>
        <w:spacing w:line="360" w:lineRule="auto"/>
        <w:ind w:firstLine="420" w:firstLineChars="200"/>
        <w:rPr>
          <w:rFonts w:hint="eastAsia" w:hAnsi="宋体"/>
          <w:sz w:val="21"/>
        </w:rPr>
      </w:pPr>
      <w:r>
        <w:rPr>
          <w:rFonts w:hint="eastAsia" w:hAnsi="宋体"/>
          <w:bCs/>
          <w:sz w:val="21"/>
        </w:rPr>
        <w:t>采购代理机构将在“供应商须知前附表”规定的时</w:t>
      </w:r>
      <w:r>
        <w:rPr>
          <w:rFonts w:hint="eastAsia" w:hAnsi="宋体"/>
          <w:sz w:val="21"/>
        </w:rPr>
        <w:t>间通过电子交易平台组织响应文件开启，采购机构依托电子交易平台发起开始解密指令，供应商的法定代表人或其委托代理人</w:t>
      </w:r>
      <w:r>
        <w:rPr>
          <w:rFonts w:hint="eastAsia" w:hAnsi="宋体"/>
          <w:b/>
          <w:sz w:val="21"/>
        </w:rPr>
        <w:t>须携带加密时所用的CA锁按平台提示和采购文件的规定登录到“政采云”平台电子开标大厅签到并在发起解密指令之时起30分钟内完成对电子响应文件在线解密</w:t>
      </w:r>
      <w:r>
        <w:rPr>
          <w:rFonts w:hint="eastAsia" w:hAnsi="宋体"/>
          <w:sz w:val="21"/>
        </w:rPr>
        <w:t>。发起解密指令之时起5分钟内供应商还未进行解密的，代理机构要通知供应商，供应商没预留联系方式或预留联系方式无效，导致代理机构无法联系到供应商进行解密的，</w:t>
      </w:r>
      <w:r>
        <w:rPr>
          <w:rFonts w:hint="eastAsia" w:hAnsi="宋体"/>
          <w:b/>
          <w:sz w:val="21"/>
        </w:rPr>
        <w:t>视为响应文件无效。</w:t>
      </w:r>
      <w:r>
        <w:rPr>
          <w:rFonts w:hint="eastAsia" w:hAnsi="宋体"/>
          <w:sz w:val="21"/>
        </w:rPr>
        <w:t>（解密</w:t>
      </w:r>
      <w:r>
        <w:rPr>
          <w:rFonts w:hint="eastAsia" w:hAnsi="宋体"/>
          <w:bCs/>
          <w:color w:val="000000"/>
          <w:sz w:val="21"/>
        </w:rPr>
        <w:t>异常情况处理：详见本章</w:t>
      </w:r>
      <w:r>
        <w:rPr>
          <w:rFonts w:hint="eastAsia" w:hAnsi="宋体"/>
          <w:color w:val="000000"/>
          <w:sz w:val="21"/>
        </w:rPr>
        <w:t>26.3 电子交易活动的中止。</w:t>
      </w:r>
      <w:r>
        <w:rPr>
          <w:rFonts w:hint="eastAsia" w:hAnsi="宋体"/>
          <w:sz w:val="21"/>
        </w:rPr>
        <w:t>）</w:t>
      </w:r>
    </w:p>
    <w:p>
      <w:pPr>
        <w:pStyle w:val="14"/>
        <w:spacing w:line="360" w:lineRule="auto"/>
        <w:ind w:firstLine="420" w:firstLineChars="200"/>
        <w:rPr>
          <w:rFonts w:hint="eastAsia" w:hAnsi="宋体"/>
          <w:sz w:val="21"/>
        </w:rPr>
      </w:pPr>
      <w:r>
        <w:rPr>
          <w:rFonts w:hint="eastAsia" w:hAnsi="宋体"/>
          <w:sz w:val="21"/>
        </w:rPr>
        <w:t>如</w:t>
      </w:r>
      <w:r>
        <w:rPr>
          <w:rFonts w:hint="eastAsia" w:hAnsi="宋体"/>
          <w:bCs/>
          <w:sz w:val="21"/>
        </w:rPr>
        <w:t>供应商成功解密响应文件，但未在“政采云”电子开标大厅参加谈判的，视同认可谈判过程和结果，</w:t>
      </w:r>
      <w:r>
        <w:rPr>
          <w:rFonts w:hint="eastAsia" w:hAnsi="宋体"/>
          <w:sz w:val="21"/>
        </w:rPr>
        <w:t>由此产生的后果由供应商自行负责。 参与谈判的供应商不足3家的，不得谈判。</w:t>
      </w:r>
    </w:p>
    <w:p>
      <w:pPr>
        <w:spacing w:line="360" w:lineRule="auto"/>
        <w:ind w:firstLine="422" w:firstLineChars="200"/>
        <w:rPr>
          <w:rFonts w:hint="eastAsia" w:ascii="宋体" w:hAnsi="宋体" w:cs="宋体"/>
          <w:b/>
          <w:bCs/>
          <w:szCs w:val="21"/>
        </w:rPr>
      </w:pPr>
      <w:r>
        <w:rPr>
          <w:rFonts w:ascii="宋体" w:hAnsi="宋体" w:cs="宋体"/>
          <w:b/>
          <w:bCs/>
          <w:szCs w:val="21"/>
        </w:rPr>
        <w:t>26</w:t>
      </w:r>
      <w:r>
        <w:rPr>
          <w:rFonts w:hint="eastAsia" w:ascii="宋体" w:hAnsi="宋体" w:cs="宋体"/>
          <w:b/>
          <w:bCs/>
          <w:szCs w:val="21"/>
        </w:rPr>
        <w:t>.评审程序、评审方法和成交标准</w:t>
      </w:r>
    </w:p>
    <w:p>
      <w:pPr>
        <w:spacing w:line="360" w:lineRule="auto"/>
        <w:ind w:firstLine="420" w:firstLineChars="200"/>
        <w:rPr>
          <w:rFonts w:hint="eastAsia" w:ascii="宋体" w:hAnsi="宋体" w:cs="宋体"/>
          <w:szCs w:val="21"/>
        </w:rPr>
      </w:pPr>
      <w:r>
        <w:rPr>
          <w:rFonts w:ascii="宋体" w:hAnsi="宋体" w:cs="宋体"/>
          <w:szCs w:val="21"/>
        </w:rPr>
        <w:t>26.1</w:t>
      </w:r>
      <w:r>
        <w:rPr>
          <w:rFonts w:hint="eastAsia" w:ascii="宋体" w:hAnsi="宋体" w:cs="宋体"/>
          <w:szCs w:val="21"/>
        </w:rPr>
        <w:t>谈判小组</w:t>
      </w:r>
      <w:r>
        <w:rPr>
          <w:rFonts w:ascii="宋体" w:hAnsi="宋体" w:cs="宋体"/>
          <w:szCs w:val="21"/>
        </w:rPr>
        <w:t>按照</w:t>
      </w:r>
      <w:r>
        <w:rPr>
          <w:rFonts w:hint="eastAsia" w:ascii="宋体" w:hAnsi="宋体" w:cs="宋体"/>
          <w:szCs w:val="21"/>
        </w:rPr>
        <w:t>“第四章 评审程序、评审方法和成交标准”</w:t>
      </w:r>
      <w:r>
        <w:rPr>
          <w:rFonts w:ascii="宋体" w:hAnsi="宋体" w:cs="宋体"/>
          <w:szCs w:val="21"/>
        </w:rPr>
        <w:t>规定的方法、评审因素、标准和程序对</w:t>
      </w:r>
      <w:r>
        <w:rPr>
          <w:rFonts w:hint="eastAsia" w:ascii="宋体" w:hAnsi="宋体" w:cs="宋体"/>
          <w:szCs w:val="21"/>
        </w:rPr>
        <w:t>响应</w:t>
      </w:r>
      <w:r>
        <w:rPr>
          <w:rFonts w:ascii="宋体" w:hAnsi="宋体" w:cs="宋体"/>
          <w:szCs w:val="21"/>
        </w:rPr>
        <w:t>文件进行评审。</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 xml:space="preserve">6.2 </w:t>
      </w:r>
      <w:r>
        <w:rPr>
          <w:rFonts w:hint="eastAsia" w:ascii="宋体" w:hAnsi="宋体"/>
          <w:szCs w:val="21"/>
        </w:rPr>
        <w:t>采购需求负偏离要求及谈判顺序详见 “供应商须知前附表”。</w:t>
      </w:r>
    </w:p>
    <w:p>
      <w:pPr>
        <w:spacing w:line="360" w:lineRule="auto"/>
        <w:ind w:firstLine="420" w:firstLineChars="200"/>
        <w:rPr>
          <w:rFonts w:hint="eastAsia" w:hAnsi="宋体"/>
          <w:color w:val="000000"/>
        </w:rPr>
      </w:pPr>
      <w:r>
        <w:rPr>
          <w:rFonts w:hint="eastAsia" w:hAnsi="宋体"/>
        </w:rPr>
        <w:t>2</w:t>
      </w:r>
      <w:r>
        <w:rPr>
          <w:rFonts w:hAnsi="宋体"/>
        </w:rPr>
        <w:t>6.3</w:t>
      </w:r>
      <w:r>
        <w:rPr>
          <w:rFonts w:hint="eastAsia" w:hAnsi="宋体"/>
          <w:color w:val="000000"/>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hAnsi="宋体"/>
          <w:color w:val="000000"/>
        </w:rPr>
      </w:pPr>
      <w:r>
        <w:rPr>
          <w:rFonts w:hint="eastAsia" w:hAnsi="宋体"/>
          <w:color w:val="000000"/>
        </w:rPr>
        <w:t xml:space="preserve">（1）电子交易平台发生故障而无法登录访问的； </w:t>
      </w:r>
    </w:p>
    <w:p>
      <w:pPr>
        <w:spacing w:line="360" w:lineRule="auto"/>
        <w:ind w:firstLine="420" w:firstLineChars="200"/>
        <w:rPr>
          <w:rFonts w:hint="eastAsia" w:hAnsi="宋体"/>
          <w:color w:val="000000"/>
        </w:rPr>
      </w:pPr>
      <w:r>
        <w:rPr>
          <w:rFonts w:hint="eastAsia" w:hAnsi="宋体"/>
          <w:color w:val="000000"/>
        </w:rPr>
        <w:t>（2）电子交易平台应用或数据库出现错误，不能进行正常操作的；</w:t>
      </w:r>
    </w:p>
    <w:p>
      <w:pPr>
        <w:spacing w:line="360" w:lineRule="auto"/>
        <w:ind w:firstLine="420" w:firstLineChars="200"/>
        <w:rPr>
          <w:rFonts w:hint="eastAsia" w:hAnsi="宋体"/>
          <w:color w:val="000000"/>
        </w:rPr>
      </w:pPr>
      <w:r>
        <w:rPr>
          <w:rFonts w:hint="eastAsia" w:hAnsi="宋体"/>
          <w:color w:val="000000"/>
        </w:rPr>
        <w:t>（3）电子交易平台发现严重安全漏洞，有潜在泄密危险的；</w:t>
      </w:r>
    </w:p>
    <w:p>
      <w:pPr>
        <w:spacing w:line="360" w:lineRule="auto"/>
        <w:ind w:firstLine="420" w:firstLineChars="200"/>
        <w:rPr>
          <w:rFonts w:hint="eastAsia" w:hAnsi="宋体"/>
          <w:color w:val="000000"/>
        </w:rPr>
      </w:pPr>
      <w:r>
        <w:rPr>
          <w:rFonts w:hint="eastAsia" w:hAnsi="宋体"/>
          <w:color w:val="000000"/>
        </w:rPr>
        <w:t xml:space="preserve">（4）病毒发作导致不能进行正常操作的； </w:t>
      </w:r>
    </w:p>
    <w:p>
      <w:pPr>
        <w:spacing w:line="360" w:lineRule="auto"/>
        <w:ind w:firstLine="420" w:firstLineChars="200"/>
        <w:rPr>
          <w:rFonts w:hint="eastAsia" w:hAnsi="宋体"/>
          <w:color w:val="000000"/>
        </w:rPr>
      </w:pPr>
      <w:r>
        <w:rPr>
          <w:rFonts w:hint="eastAsia" w:hAnsi="宋体"/>
          <w:color w:val="000000"/>
        </w:rPr>
        <w:t>（4）其他无法保证电子交易的公平、公正和安全的情况。</w:t>
      </w:r>
    </w:p>
    <w:p>
      <w:pPr>
        <w:spacing w:line="360" w:lineRule="auto"/>
        <w:ind w:firstLine="420" w:firstLineChars="200"/>
        <w:rPr>
          <w:rFonts w:hint="eastAsia" w:hAnsi="宋体"/>
          <w:color w:val="000000"/>
        </w:rPr>
      </w:pPr>
      <w:r>
        <w:rPr>
          <w:rFonts w:hint="eastAsia" w:hAnsi="宋体"/>
        </w:rPr>
        <w:t>26.4</w:t>
      </w:r>
      <w:r>
        <w:rPr>
          <w:rFonts w:hint="eastAsia" w:hAnsi="宋体"/>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5"/>
        <w:spacing w:before="0" w:after="0" w:line="360" w:lineRule="auto"/>
        <w:ind w:firstLine="640" w:firstLineChars="200"/>
        <w:rPr>
          <w:rFonts w:hint="eastAsia" w:ascii="宋体" w:hAnsi="宋体"/>
          <w:b w:val="0"/>
          <w:bCs w:val="0"/>
        </w:rPr>
      </w:pPr>
      <w:r>
        <w:rPr>
          <w:rFonts w:hint="eastAsia" w:ascii="宋体" w:hAnsi="宋体"/>
          <w:b w:val="0"/>
          <w:bCs w:val="0"/>
        </w:rPr>
        <w:t xml:space="preserve">  </w:t>
      </w:r>
      <w:bookmarkStart w:id="69" w:name="_Toc80205929"/>
      <w:r>
        <w:rPr>
          <w:rFonts w:hint="eastAsia" w:ascii="宋体" w:hAnsi="宋体"/>
          <w:b w:val="0"/>
          <w:bCs w:val="0"/>
        </w:rPr>
        <w:t>五、成交及合同</w:t>
      </w:r>
      <w:bookmarkEnd w:id="69"/>
    </w:p>
    <w:p>
      <w:pPr>
        <w:spacing w:line="360" w:lineRule="auto"/>
        <w:ind w:firstLine="482" w:firstLineChars="200"/>
        <w:rPr>
          <w:rFonts w:hint="eastAsia" w:ascii="黑体" w:hAnsi="黑体" w:eastAsia="黑体" w:cs="宋体"/>
          <w:b/>
          <w:bCs/>
          <w:sz w:val="24"/>
        </w:rPr>
      </w:pPr>
      <w:r>
        <w:rPr>
          <w:rFonts w:ascii="黑体" w:hAnsi="黑体" w:eastAsia="黑体" w:cs="宋体"/>
          <w:b/>
          <w:bCs/>
          <w:sz w:val="24"/>
        </w:rPr>
        <w:t>27</w:t>
      </w:r>
      <w:r>
        <w:rPr>
          <w:rFonts w:hint="eastAsia" w:ascii="黑体" w:hAnsi="黑体" w:eastAsia="黑体" w:cs="宋体"/>
          <w:b/>
          <w:bCs/>
          <w:sz w:val="24"/>
        </w:rPr>
        <w:t>.确定成交供应商及结果公告</w:t>
      </w:r>
    </w:p>
    <w:p>
      <w:pPr>
        <w:spacing w:line="360" w:lineRule="auto"/>
        <w:ind w:firstLine="420" w:firstLineChars="200"/>
        <w:rPr>
          <w:rFonts w:hint="eastAsia" w:ascii="宋体" w:hAnsi="宋体" w:cs="宋体"/>
          <w:szCs w:val="21"/>
        </w:rPr>
      </w:pPr>
      <w:r>
        <w:rPr>
          <w:rFonts w:ascii="宋体" w:hAnsi="宋体" w:cs="宋体"/>
          <w:szCs w:val="21"/>
        </w:rPr>
        <w:t>27</w:t>
      </w:r>
      <w:r>
        <w:rPr>
          <w:rFonts w:hint="eastAsia" w:ascii="宋体" w:hAnsi="宋体" w:cs="宋体"/>
          <w:szCs w:val="21"/>
        </w:rPr>
        <w:t>.1确定成交供应商。</w:t>
      </w:r>
      <w:r>
        <w:rPr>
          <w:rFonts w:hint="eastAsia" w:ascii="宋体" w:hAnsi="宋体" w:cs="宋体"/>
          <w:kern w:val="0"/>
          <w:szCs w:val="21"/>
          <w:u w:val="single"/>
        </w:rPr>
        <w:t xml:space="preserve"> 由采购人直接委托评审专家确定</w:t>
      </w:r>
      <w:r>
        <w:rPr>
          <w:rFonts w:hint="eastAsia" w:ascii="宋体" w:hAnsi="宋体" w:cs="宋体"/>
          <w:szCs w:val="21"/>
          <w:u w:val="single"/>
        </w:rPr>
        <w:t>，评审报告提出的排序第一的供应商为成交供应商。</w:t>
      </w:r>
    </w:p>
    <w:p>
      <w:pPr>
        <w:spacing w:line="360" w:lineRule="auto"/>
        <w:ind w:firstLine="420" w:firstLineChars="200"/>
        <w:rPr>
          <w:rFonts w:hint="eastAsia" w:ascii="宋体" w:hAnsi="宋体" w:cs="宋体"/>
          <w:szCs w:val="21"/>
        </w:rPr>
      </w:pPr>
      <w:r>
        <w:rPr>
          <w:rFonts w:ascii="宋体" w:hAnsi="宋体" w:cs="宋体"/>
          <w:szCs w:val="21"/>
        </w:rPr>
        <w:t>27</w:t>
      </w:r>
      <w:r>
        <w:rPr>
          <w:rFonts w:hint="eastAsia" w:ascii="宋体" w:hAnsi="宋体" w:cs="宋体"/>
          <w:szCs w:val="21"/>
        </w:rPr>
        <w:t>.2成交通知及成交结果公告。</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供应商确定后2个工作日内，在省级以上财政部门指定的媒体上公告成交结果（成交通知及成交</w:t>
      </w:r>
      <w:r>
        <w:rPr>
          <w:rFonts w:ascii="宋体" w:hAnsi="宋体" w:cs="宋体"/>
          <w:szCs w:val="21"/>
        </w:rPr>
        <w:t>结果公告</w:t>
      </w:r>
      <w:r>
        <w:rPr>
          <w:rFonts w:hint="eastAsia" w:ascii="宋体" w:hAnsi="宋体" w:cs="宋体"/>
          <w:szCs w:val="21"/>
        </w:rPr>
        <w:t>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pPr>
        <w:spacing w:line="360" w:lineRule="auto"/>
        <w:ind w:firstLine="420" w:firstLineChars="200"/>
        <w:rPr>
          <w:rFonts w:hint="eastAsia" w:ascii="宋体" w:hAnsi="宋体" w:cs="Courier New"/>
          <w:szCs w:val="21"/>
        </w:rPr>
      </w:pPr>
      <w:r>
        <w:rPr>
          <w:rFonts w:hint="eastAsia" w:ascii="宋体" w:hAnsi="宋体" w:cs="宋体"/>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bookmarkStart w:id="70" w:name="_Hlk66782294"/>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bookmarkEnd w:id="70"/>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7.</w:t>
      </w:r>
      <w:r>
        <w:rPr>
          <w:rFonts w:hint="eastAsia" w:ascii="宋体" w:hAnsi="宋体" w:cs="宋体"/>
          <w:szCs w:val="21"/>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szCs w:val="21"/>
        </w:rPr>
      </w:pPr>
      <w:r>
        <w:rPr>
          <w:rFonts w:ascii="宋体" w:hAnsi="宋体"/>
          <w:bCs/>
          <w:szCs w:val="21"/>
        </w:rPr>
        <w:t>27.</w:t>
      </w:r>
      <w:r>
        <w:rPr>
          <w:rFonts w:hint="eastAsia" w:ascii="宋体" w:hAnsi="宋体"/>
          <w:bCs/>
          <w:szCs w:val="21"/>
        </w:rPr>
        <w:t>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pPr>
        <w:spacing w:line="360" w:lineRule="auto"/>
        <w:ind w:firstLine="482" w:firstLineChars="200"/>
        <w:rPr>
          <w:rFonts w:hint="eastAsia" w:ascii="黑体" w:hAnsi="黑体" w:eastAsia="黑体" w:cs="宋体"/>
          <w:b/>
          <w:bCs/>
          <w:sz w:val="24"/>
        </w:rPr>
      </w:pPr>
      <w:r>
        <w:rPr>
          <w:rFonts w:ascii="黑体" w:hAnsi="黑体" w:eastAsia="黑体" w:cs="宋体"/>
          <w:b/>
          <w:bCs/>
          <w:sz w:val="24"/>
        </w:rPr>
        <w:t>28</w:t>
      </w:r>
      <w:r>
        <w:rPr>
          <w:rFonts w:hint="eastAsia" w:ascii="黑体" w:hAnsi="黑体" w:eastAsia="黑体" w:cs="宋体"/>
          <w:b/>
          <w:bCs/>
          <w:sz w:val="24"/>
        </w:rPr>
        <w:t>.履约保证金</w:t>
      </w:r>
    </w:p>
    <w:p>
      <w:pPr>
        <w:spacing w:line="360" w:lineRule="auto"/>
        <w:ind w:firstLine="420" w:firstLineChars="200"/>
        <w:rPr>
          <w:rFonts w:ascii="黑体" w:hAnsi="黑体" w:eastAsia="黑体" w:cs="宋体"/>
          <w:b/>
          <w:bCs/>
          <w:sz w:val="24"/>
        </w:rPr>
      </w:pPr>
      <w:r>
        <w:rPr>
          <w:rFonts w:hint="eastAsia" w:ascii="宋体" w:hAnsi="宋体" w:cs="宋体"/>
          <w:szCs w:val="21"/>
        </w:rPr>
        <w:t>详见 “供应商须知前附表”</w:t>
      </w:r>
    </w:p>
    <w:p>
      <w:pPr>
        <w:spacing w:line="360" w:lineRule="auto"/>
        <w:ind w:firstLine="482" w:firstLineChars="200"/>
        <w:rPr>
          <w:rFonts w:hint="eastAsia" w:ascii="黑体" w:hAnsi="黑体" w:eastAsia="黑体" w:cs="宋体"/>
          <w:b/>
          <w:bCs/>
          <w:sz w:val="24"/>
        </w:rPr>
      </w:pPr>
      <w:r>
        <w:rPr>
          <w:rFonts w:ascii="黑体" w:hAnsi="黑体" w:eastAsia="黑体" w:cs="宋体"/>
          <w:b/>
          <w:bCs/>
          <w:sz w:val="24"/>
        </w:rPr>
        <w:t>29</w:t>
      </w:r>
      <w:r>
        <w:rPr>
          <w:rFonts w:hint="eastAsia" w:ascii="黑体" w:hAnsi="黑体" w:eastAsia="黑体" w:cs="宋体"/>
          <w:b/>
          <w:bCs/>
          <w:sz w:val="24"/>
        </w:rPr>
        <w:t>.签订合同</w:t>
      </w:r>
    </w:p>
    <w:p>
      <w:pPr>
        <w:pStyle w:val="29"/>
        <w:snapToGrid w:val="0"/>
        <w:spacing w:before="0"/>
        <w:ind w:firstLine="420"/>
        <w:rPr>
          <w:rFonts w:hint="eastAsia" w:ascii="宋体" w:hAnsi="宋体"/>
          <w:sz w:val="21"/>
          <w:szCs w:val="21"/>
          <w:lang w:val="zh-CN"/>
        </w:rPr>
      </w:pPr>
      <w:r>
        <w:rPr>
          <w:rFonts w:ascii="宋体" w:hAnsi="宋体" w:cs="宋体"/>
          <w:sz w:val="21"/>
          <w:szCs w:val="21"/>
        </w:rPr>
        <w:t>29.1</w:t>
      </w:r>
      <w:r>
        <w:rPr>
          <w:rFonts w:hint="eastAsia" w:ascii="宋体" w:hAnsi="宋体"/>
          <w:sz w:val="21"/>
          <w:szCs w:val="21"/>
        </w:rPr>
        <w:t>采购人与成交供应商应当在</w:t>
      </w:r>
      <w:r>
        <w:rPr>
          <w:rFonts w:hint="eastAsia" w:ascii="宋体" w:hAnsi="宋体" w:cs="宋体"/>
          <w:sz w:val="21"/>
          <w:szCs w:val="21"/>
        </w:rPr>
        <w:t>成交通知书规定的时间内</w:t>
      </w:r>
      <w:r>
        <w:rPr>
          <w:rFonts w:hint="eastAsia" w:ascii="宋体" w:hAnsi="宋体"/>
          <w:sz w:val="21"/>
          <w:szCs w:val="21"/>
        </w:rPr>
        <w:t>，按照谈判文件确定的合同文本以及采购标的、货物技术、采购金额、采购数量、技术和货物要求等事项签订政府采购合同。</w:t>
      </w:r>
      <w:r>
        <w:rPr>
          <w:rFonts w:hint="eastAsia" w:ascii="宋体" w:hAnsi="宋体"/>
          <w:sz w:val="21"/>
          <w:szCs w:val="21"/>
          <w:lang w:val="zh-CN"/>
        </w:rPr>
        <w:t>如成交供应商为联合体的，由联合体成员各方法定代表人或其授权代表与采购人代表签订合同。</w:t>
      </w:r>
    </w:p>
    <w:p>
      <w:pPr>
        <w:spacing w:line="360" w:lineRule="auto"/>
        <w:ind w:firstLine="420" w:firstLineChars="200"/>
        <w:rPr>
          <w:rFonts w:ascii="宋体" w:hAnsi="宋体"/>
          <w:szCs w:val="21"/>
        </w:rPr>
      </w:pPr>
      <w:r>
        <w:rPr>
          <w:rFonts w:hint="eastAsia" w:ascii="宋体" w:hAnsi="宋体"/>
          <w:szCs w:val="21"/>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pPr>
        <w:spacing w:line="360" w:lineRule="auto"/>
        <w:ind w:firstLine="420" w:firstLineChars="200"/>
        <w:rPr>
          <w:rFonts w:ascii="宋体" w:hAnsi="宋体"/>
          <w:szCs w:val="21"/>
        </w:rPr>
      </w:pPr>
      <w:r>
        <w:rPr>
          <w:rFonts w:hint="eastAsia" w:ascii="宋体" w:hAnsi="宋体"/>
          <w:szCs w:val="21"/>
        </w:rPr>
        <w:t>29.3成交供应商拒绝签订政府采购合同的，</w:t>
      </w:r>
      <w:r>
        <w:rPr>
          <w:rFonts w:hint="eastAsia" w:ascii="宋体" w:hAnsi="宋体" w:cs="宋体"/>
          <w:szCs w:val="21"/>
        </w:rPr>
        <w:t>采购人可以按照评审报告推荐的成交候选人名单排序，确定下一候选人为成交供应商</w:t>
      </w:r>
      <w:r>
        <w:rPr>
          <w:rFonts w:hint="eastAsia" w:ascii="宋体" w:hAnsi="宋体"/>
          <w:szCs w:val="21"/>
        </w:rPr>
        <w:t>，也可以重新开展采购活动。拒绝签订政府采购合同的成交供应商不得参加对该项目重新开展的采购活动。</w:t>
      </w:r>
    </w:p>
    <w:p>
      <w:pPr>
        <w:spacing w:line="360" w:lineRule="auto"/>
        <w:ind w:firstLine="420" w:firstLineChars="200"/>
        <w:rPr>
          <w:rFonts w:ascii="宋体" w:hAnsi="宋体"/>
          <w:szCs w:val="21"/>
        </w:rPr>
      </w:pPr>
      <w:r>
        <w:rPr>
          <w:rFonts w:hint="eastAsia" w:ascii="宋体" w:hAnsi="宋体"/>
          <w:szCs w:val="21"/>
        </w:rPr>
        <w:t>29.4如签订合同并生效后，供应商无故拒绝或延期，除按照合同条款处理外，列入不良行为记录，并给予通报。</w:t>
      </w:r>
    </w:p>
    <w:p>
      <w:pPr>
        <w:pStyle w:val="29"/>
        <w:spacing w:before="0"/>
        <w:ind w:firstLine="420"/>
        <w:rPr>
          <w:rFonts w:hint="eastAsia" w:ascii="宋体" w:hAnsi="宋体" w:cs="宋体"/>
          <w:szCs w:val="21"/>
        </w:rPr>
      </w:pPr>
      <w:r>
        <w:rPr>
          <w:rFonts w:hint="eastAsia" w:ascii="宋体" w:hAnsi="宋体" w:cs="仿宋_GB2312"/>
          <w:sz w:val="21"/>
          <w:szCs w:val="21"/>
        </w:rPr>
        <w:t>29</w:t>
      </w:r>
      <w:r>
        <w:rPr>
          <w:rFonts w:ascii="宋体" w:hAnsi="宋体" w:cs="仿宋_GB2312"/>
          <w:sz w:val="21"/>
          <w:szCs w:val="21"/>
        </w:rPr>
        <w:t>.5采购合同由采购人与</w:t>
      </w:r>
      <w:r>
        <w:rPr>
          <w:rFonts w:hint="eastAsia" w:ascii="宋体" w:hAnsi="宋体" w:cs="仿宋_GB2312"/>
          <w:sz w:val="21"/>
          <w:szCs w:val="21"/>
        </w:rPr>
        <w:t>成交</w:t>
      </w:r>
      <w:r>
        <w:rPr>
          <w:rFonts w:ascii="宋体" w:hAnsi="宋体" w:cs="仿宋_GB2312"/>
          <w:sz w:val="21"/>
          <w:szCs w:val="21"/>
        </w:rPr>
        <w:t>供应商根据</w:t>
      </w:r>
      <w:r>
        <w:rPr>
          <w:rFonts w:hint="eastAsia" w:ascii="宋体" w:hAnsi="宋体"/>
          <w:sz w:val="21"/>
          <w:szCs w:val="21"/>
        </w:rPr>
        <w:t>谈判</w:t>
      </w:r>
      <w:r>
        <w:rPr>
          <w:rFonts w:hint="eastAsia" w:ascii="宋体" w:hAnsi="宋体" w:cs="仿宋_GB2312"/>
          <w:sz w:val="21"/>
          <w:szCs w:val="21"/>
        </w:rPr>
        <w:t>文件、响应文件等内容通过政府采购电子交易平台在线签订，自动备案，在线签订须携带的材料见“</w:t>
      </w:r>
      <w:r>
        <w:rPr>
          <w:rFonts w:hint="eastAsia"/>
        </w:rPr>
        <w:t xml:space="preserve"> </w:t>
      </w:r>
      <w:r>
        <w:rPr>
          <w:rFonts w:hint="eastAsia" w:ascii="宋体" w:hAnsi="宋体" w:cs="仿宋_GB2312"/>
          <w:sz w:val="21"/>
          <w:szCs w:val="21"/>
        </w:rPr>
        <w:t>供应商须</w:t>
      </w:r>
      <w:r>
        <w:rPr>
          <w:rFonts w:hint="eastAsia" w:ascii="宋体" w:hAnsi="宋体"/>
          <w:sz w:val="21"/>
          <w:szCs w:val="21"/>
        </w:rPr>
        <w:t>知前附表</w:t>
      </w:r>
      <w:r>
        <w:rPr>
          <w:rFonts w:hint="eastAsia" w:ascii="宋体" w:hAnsi="宋体" w:cs="仿宋_GB2312"/>
          <w:sz w:val="21"/>
          <w:szCs w:val="21"/>
        </w:rPr>
        <w:t>”。</w:t>
      </w:r>
    </w:p>
    <w:p>
      <w:pPr>
        <w:spacing w:line="360" w:lineRule="auto"/>
        <w:ind w:firstLine="482" w:firstLineChars="200"/>
        <w:rPr>
          <w:rFonts w:hint="eastAsia" w:ascii="黑体" w:hAnsi="黑体" w:eastAsia="黑体" w:cs="宋体"/>
          <w:b/>
          <w:bCs/>
          <w:sz w:val="24"/>
        </w:rPr>
      </w:pPr>
      <w:r>
        <w:rPr>
          <w:rFonts w:ascii="黑体" w:hAnsi="黑体" w:eastAsia="黑体" w:cs="宋体"/>
          <w:b/>
          <w:bCs/>
          <w:sz w:val="24"/>
        </w:rPr>
        <w:t>30</w:t>
      </w:r>
      <w:r>
        <w:rPr>
          <w:rFonts w:hint="eastAsia" w:ascii="黑体" w:hAnsi="黑体" w:eastAsia="黑体" w:cs="宋体"/>
          <w:b/>
          <w:bCs/>
          <w:sz w:val="24"/>
        </w:rPr>
        <w:t>.政府采购合同公告</w:t>
      </w:r>
    </w:p>
    <w:p>
      <w:pPr>
        <w:spacing w:line="360" w:lineRule="auto"/>
        <w:ind w:firstLine="420" w:firstLineChars="200"/>
        <w:rPr>
          <w:rFonts w:hint="eastAsia"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hint="eastAsia" w:ascii="黑体" w:hAnsi="黑体" w:eastAsia="黑体" w:cs="宋体"/>
          <w:b/>
          <w:bCs/>
          <w:sz w:val="24"/>
        </w:rPr>
      </w:pPr>
      <w:r>
        <w:rPr>
          <w:rFonts w:ascii="黑体" w:hAnsi="黑体" w:eastAsia="黑体" w:cs="宋体"/>
          <w:b/>
          <w:bCs/>
          <w:sz w:val="24"/>
        </w:rPr>
        <w:t>31</w:t>
      </w:r>
      <w:r>
        <w:rPr>
          <w:rFonts w:hint="eastAsia" w:ascii="黑体" w:hAnsi="黑体" w:eastAsia="黑体" w:cs="宋体"/>
          <w:b/>
          <w:bCs/>
          <w:sz w:val="24"/>
        </w:rPr>
        <w:t>. 询问、质疑和投诉</w:t>
      </w:r>
    </w:p>
    <w:p>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hint="eastAsia" w:ascii="宋体" w:hAnsi="宋体"/>
          <w:b/>
          <w:color w:val="000000"/>
          <w:szCs w:val="21"/>
        </w:rPr>
      </w:pPr>
      <w:r>
        <w:rPr>
          <w:rFonts w:hint="eastAsia" w:ascii="宋体" w:hAnsi="宋体" w:cs="宋体"/>
        </w:rPr>
        <w:t>3</w:t>
      </w:r>
      <w:r>
        <w:rPr>
          <w:rFonts w:ascii="宋体" w:hAnsi="宋体" w:cs="宋体"/>
        </w:rPr>
        <w:t>1</w:t>
      </w:r>
      <w:r>
        <w:rPr>
          <w:rFonts w:hint="eastAsia" w:ascii="宋体" w:hAnsi="宋体" w:cs="宋体"/>
        </w:rPr>
        <w:t>.2供应商认为谈判文件、采购过程或者成交结果使自己的合法权益受到损害的，应当在知道或者应知其权益受到损害之日起7个工作日内，以书面形式向采购人、采购代理机构提出质疑，</w:t>
      </w:r>
      <w:r>
        <w:rPr>
          <w:rFonts w:ascii="宋体" w:hAnsi="宋体" w:cs="Arial"/>
          <w:shd w:val="clear" w:color="auto" w:fill="FFFFFF"/>
        </w:rPr>
        <w:t>接收质疑函的方式、联系部门、联系电话和通讯地址等信息</w:t>
      </w:r>
      <w:r>
        <w:rPr>
          <w:rFonts w:hint="eastAsia" w:ascii="宋体" w:hAnsi="宋体" w:cs="Arial"/>
          <w:shd w:val="clear" w:color="auto" w:fill="FFFFFF"/>
        </w:rPr>
        <w:t>详见</w:t>
      </w:r>
      <w:r>
        <w:rPr>
          <w:rFonts w:hint="eastAsia" w:ascii="宋体" w:hAnsi="宋体" w:cs="宋体"/>
          <w:szCs w:val="21"/>
        </w:rPr>
        <w:t>“供应商须知前附表”</w:t>
      </w:r>
      <w:r>
        <w:rPr>
          <w:rFonts w:hint="eastAsia" w:ascii="宋体" w:hAnsi="宋体" w:cs="宋体"/>
        </w:rPr>
        <w:t>。</w:t>
      </w:r>
      <w:r>
        <w:rPr>
          <w:rFonts w:hint="eastAsia" w:ascii="宋体" w:hAnsi="宋体"/>
          <w:b/>
          <w:color w:val="000000"/>
          <w:szCs w:val="21"/>
        </w:rPr>
        <w:t xml:space="preserve">具体质疑起算时间及处理方式如下： </w:t>
      </w:r>
    </w:p>
    <w:p>
      <w:pPr>
        <w:spacing w:line="360" w:lineRule="auto"/>
        <w:ind w:firstLine="420" w:firstLineChars="200"/>
        <w:rPr>
          <w:rFonts w:hint="eastAsia" w:hAnsi="宋体"/>
          <w:bCs/>
        </w:rPr>
      </w:pPr>
      <w:r>
        <w:rPr>
          <w:rFonts w:hint="eastAsia" w:hAnsi="宋体"/>
          <w:bCs/>
        </w:rPr>
        <w:t>（1）潜在供应商依法获取采购文件后，认为采购文件使自己的权益受到损害的，应当在竞争性谈判采购文件公告期限届满之日起7个工作日内提出质疑。</w:t>
      </w:r>
      <w:r>
        <w:rPr>
          <w:rFonts w:hint="eastAsia"/>
        </w:rPr>
        <w:t>委托代理协议无特殊约定的，</w:t>
      </w:r>
      <w:r>
        <w:rPr>
          <w:rFonts w:hint="eastAsia" w:hAnsi="宋体"/>
          <w:bCs/>
        </w:rPr>
        <w:t>对竞争性谈判文件中采购需求（含资格要求、采购预算和评分办法）的质疑由采购人受理并负责答复；对竞争性谈判文件中的采购执行程序的质疑由采购代理机构受理并负责答复。</w:t>
      </w:r>
    </w:p>
    <w:p>
      <w:pPr>
        <w:spacing w:line="360" w:lineRule="auto"/>
        <w:ind w:firstLine="420" w:firstLineChars="200"/>
        <w:rPr>
          <w:rFonts w:hint="eastAsia" w:hAnsi="宋体"/>
          <w:bCs/>
        </w:rPr>
      </w:pPr>
      <w:r>
        <w:rPr>
          <w:rFonts w:hint="eastAsia" w:hAnsi="宋体"/>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20" w:firstLineChars="200"/>
        <w:rPr>
          <w:rFonts w:hint="eastAsia" w:hAnsi="宋体"/>
          <w:bCs/>
        </w:rPr>
      </w:pPr>
      <w:r>
        <w:rPr>
          <w:rFonts w:hint="eastAsia" w:hAnsi="宋体"/>
          <w:bCs/>
        </w:rPr>
        <w:t>（3）供应商认为成交结果使自己的权益受到损害的，应当在成交结果公告期限届满之日起7个工作日内提出质疑，由采购人受理并负责答复。</w:t>
      </w:r>
    </w:p>
    <w:p>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pPr>
        <w:spacing w:line="360" w:lineRule="auto"/>
        <w:ind w:firstLine="420" w:firstLineChars="200"/>
        <w:rPr>
          <w:rFonts w:hint="eastAsia" w:ascii="宋体" w:hAnsi="宋体" w:cs="宋体"/>
        </w:rPr>
      </w:pPr>
      <w:r>
        <w:rPr>
          <w:rFonts w:hint="eastAsia" w:ascii="宋体" w:hAnsi="宋体" w:cs="宋体"/>
        </w:rPr>
        <w:t>（1）供应商的姓名或者名称、地址、邮编、联系人及联系电话；</w:t>
      </w:r>
    </w:p>
    <w:p>
      <w:pPr>
        <w:spacing w:line="360" w:lineRule="auto"/>
        <w:ind w:firstLine="420" w:firstLineChars="200"/>
        <w:rPr>
          <w:rFonts w:hint="eastAsia" w:ascii="宋体" w:hAnsi="宋体" w:cs="宋体"/>
        </w:rPr>
      </w:pPr>
      <w:r>
        <w:rPr>
          <w:rFonts w:hint="eastAsia" w:ascii="宋体" w:hAnsi="宋体" w:cs="宋体"/>
        </w:rPr>
        <w:t>（2）质疑项目的名称、编号；</w:t>
      </w:r>
    </w:p>
    <w:p>
      <w:pPr>
        <w:spacing w:line="360" w:lineRule="auto"/>
        <w:ind w:firstLine="420" w:firstLineChars="200"/>
        <w:rPr>
          <w:rFonts w:hint="eastAsia" w:ascii="宋体" w:hAnsi="宋体" w:cs="宋体"/>
        </w:rPr>
      </w:pPr>
      <w:r>
        <w:rPr>
          <w:rFonts w:hint="eastAsia" w:ascii="宋体" w:hAnsi="宋体" w:cs="宋体"/>
        </w:rPr>
        <w:t>（3）具体、明确的质疑事项和与质疑事项相关的请求；</w:t>
      </w:r>
    </w:p>
    <w:p>
      <w:pPr>
        <w:spacing w:line="360" w:lineRule="auto"/>
        <w:ind w:firstLine="420" w:firstLineChars="200"/>
        <w:rPr>
          <w:rFonts w:hint="eastAsia" w:ascii="宋体" w:hAnsi="宋体" w:cs="宋体"/>
        </w:rPr>
      </w:pPr>
      <w:r>
        <w:rPr>
          <w:rFonts w:hint="eastAsia" w:ascii="宋体" w:hAnsi="宋体" w:cs="宋体"/>
        </w:rPr>
        <w:t>（4）事实依据；</w:t>
      </w:r>
    </w:p>
    <w:p>
      <w:pPr>
        <w:spacing w:line="360" w:lineRule="auto"/>
        <w:ind w:firstLine="420" w:firstLineChars="200"/>
        <w:rPr>
          <w:rFonts w:hint="eastAsia" w:ascii="宋体" w:hAnsi="宋体" w:cs="宋体"/>
        </w:rPr>
      </w:pPr>
      <w:r>
        <w:rPr>
          <w:rFonts w:hint="eastAsia" w:ascii="宋体" w:hAnsi="宋体" w:cs="宋体"/>
        </w:rPr>
        <w:t>（5）必要的法律依据；</w:t>
      </w:r>
    </w:p>
    <w:p>
      <w:pPr>
        <w:spacing w:line="360" w:lineRule="auto"/>
        <w:ind w:firstLine="420" w:firstLineChars="200"/>
        <w:rPr>
          <w:rFonts w:hint="eastAsia" w:ascii="宋体" w:hAnsi="宋体" w:cs="宋体"/>
        </w:rPr>
      </w:pPr>
      <w:r>
        <w:rPr>
          <w:rFonts w:hint="eastAsia" w:ascii="宋体" w:hAnsi="宋体" w:cs="宋体"/>
        </w:rPr>
        <w:t>（6）提出质疑的日期。</w:t>
      </w:r>
    </w:p>
    <w:p>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1.5</w:t>
      </w:r>
      <w:r>
        <w:rPr>
          <w:rFonts w:hint="eastAsia" w:ascii="宋体" w:hAnsi="宋体" w:cs="宋体"/>
        </w:rPr>
        <w:t>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rPr>
      </w:pPr>
      <w:r>
        <w:rPr>
          <w:rFonts w:hint="eastAsia" w:ascii="宋体" w:hAnsi="宋体" w:cs="宋体"/>
        </w:rPr>
        <w:t>质疑答复导致成交结果改变的，采购人或者采购代理机构应当将有关情况书面报告本级财政部门。</w:t>
      </w:r>
    </w:p>
    <w:p>
      <w:pPr>
        <w:spacing w:line="360" w:lineRule="auto"/>
        <w:ind w:firstLine="420" w:firstLineChars="200"/>
        <w:rPr>
          <w:rFonts w:hint="eastAsia" w:ascii="宋体" w:hAnsi="宋体" w:cs="宋体"/>
        </w:rPr>
      </w:pPr>
      <w:r>
        <w:rPr>
          <w:rFonts w:ascii="宋体" w:hAnsi="宋体" w:cs="宋体"/>
        </w:rPr>
        <w:t>31</w:t>
      </w:r>
      <w:r>
        <w:rPr>
          <w:rFonts w:hint="eastAsia" w:ascii="宋体" w:hAnsi="宋体" w:cs="宋体"/>
        </w:rPr>
        <w:t>.</w:t>
      </w:r>
      <w:r>
        <w:rPr>
          <w:rFonts w:ascii="宋体" w:hAnsi="宋体" w:cs="宋体"/>
        </w:rPr>
        <w:t>6</w:t>
      </w:r>
      <w:r>
        <w:rPr>
          <w:rFonts w:hint="eastAsia" w:ascii="宋体" w:hAnsi="宋体" w:cs="宋体"/>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pPr>
        <w:pStyle w:val="5"/>
        <w:spacing w:before="0" w:after="0" w:line="360" w:lineRule="auto"/>
        <w:ind w:firstLine="643" w:firstLineChars="200"/>
        <w:rPr>
          <w:rFonts w:ascii="宋体" w:hAnsi="宋体"/>
          <w:b w:val="0"/>
        </w:rPr>
      </w:pPr>
      <w:bookmarkStart w:id="71" w:name="_Toc80205930"/>
      <w:r>
        <w:rPr>
          <w:rFonts w:hint="eastAsia" w:ascii="宋体" w:hAnsi="宋体"/>
        </w:rPr>
        <w:t>六</w:t>
      </w:r>
      <w:r>
        <w:rPr>
          <w:rFonts w:hint="eastAsia" w:ascii="宋体" w:hAnsi="宋体"/>
          <w:b w:val="0"/>
        </w:rPr>
        <w:t>、验收</w:t>
      </w:r>
      <w:bookmarkEnd w:id="71"/>
    </w:p>
    <w:p>
      <w:pPr>
        <w:tabs>
          <w:tab w:val="left" w:pos="0"/>
        </w:tabs>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32.验收</w:t>
      </w:r>
    </w:p>
    <w:p>
      <w:pPr>
        <w:tabs>
          <w:tab w:val="left" w:pos="0"/>
        </w:tabs>
        <w:spacing w:line="360" w:lineRule="auto"/>
        <w:ind w:firstLine="420" w:firstLineChars="200"/>
        <w:rPr>
          <w:rFonts w:ascii="宋体" w:hAnsi="宋体" w:cs="Helvetica"/>
          <w:kern w:val="0"/>
          <w:szCs w:val="21"/>
        </w:rPr>
      </w:pPr>
      <w:r>
        <w:rPr>
          <w:rFonts w:hint="eastAsia" w:ascii="宋体" w:hAnsi="宋体" w:cs="Helvetic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ascii="宋体" w:hAnsi="宋体" w:cs="Helvetica"/>
          <w:kern w:val="0"/>
          <w:szCs w:val="21"/>
        </w:rPr>
      </w:pPr>
      <w:r>
        <w:rPr>
          <w:rFonts w:hint="eastAsia" w:ascii="宋体" w:hAnsi="宋体" w:cs="Helvetica"/>
          <w:kern w:val="0"/>
          <w:szCs w:val="21"/>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ascii="宋体" w:hAnsi="宋体" w:cs="Helvetica"/>
          <w:kern w:val="0"/>
          <w:szCs w:val="21"/>
        </w:rPr>
      </w:pPr>
      <w:r>
        <w:rPr>
          <w:rFonts w:hint="eastAsia" w:ascii="宋体" w:hAnsi="宋体" w:cs="Helvetica"/>
          <w:kern w:val="0"/>
          <w:szCs w:val="21"/>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20" w:firstLineChars="200"/>
        <w:rPr>
          <w:rFonts w:hint="eastAsia" w:ascii="宋体" w:hAnsi="宋体" w:cs="宋体"/>
          <w:szCs w:val="21"/>
        </w:rPr>
      </w:pPr>
      <w:r>
        <w:rPr>
          <w:rFonts w:hint="eastAsia" w:ascii="宋体" w:hAnsi="宋体" w:cs="Helvetic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spacing w:before="0" w:after="0" w:line="360" w:lineRule="auto"/>
        <w:ind w:firstLine="640" w:firstLineChars="200"/>
        <w:rPr>
          <w:rFonts w:hint="eastAsia" w:ascii="宋体" w:hAnsi="宋体"/>
          <w:b w:val="0"/>
          <w:bCs w:val="0"/>
        </w:rPr>
      </w:pPr>
      <w:r>
        <w:rPr>
          <w:rFonts w:hint="eastAsia" w:ascii="宋体" w:hAnsi="宋体"/>
          <w:b w:val="0"/>
          <w:bCs w:val="0"/>
        </w:rPr>
        <w:t xml:space="preserve">  </w:t>
      </w:r>
      <w:bookmarkStart w:id="72" w:name="_Toc80205931"/>
      <w:r>
        <w:rPr>
          <w:rFonts w:hint="eastAsia" w:ascii="宋体" w:hAnsi="宋体"/>
          <w:b w:val="0"/>
          <w:bCs w:val="0"/>
        </w:rPr>
        <w:t>七、其他事项</w:t>
      </w:r>
      <w:bookmarkEnd w:id="72"/>
    </w:p>
    <w:p>
      <w:pPr>
        <w:spacing w:line="360" w:lineRule="auto"/>
        <w:ind w:firstLine="482" w:firstLineChars="200"/>
        <w:rPr>
          <w:rFonts w:hint="eastAsia" w:ascii="黑体" w:hAnsi="黑体" w:eastAsia="黑体" w:cs="宋体"/>
          <w:b/>
          <w:bCs/>
          <w:sz w:val="24"/>
        </w:rPr>
      </w:pPr>
      <w:r>
        <w:rPr>
          <w:rFonts w:ascii="黑体" w:hAnsi="黑体" w:eastAsia="黑体" w:cs="宋体"/>
          <w:b/>
          <w:bCs/>
          <w:sz w:val="24"/>
        </w:rPr>
        <w:t>3</w:t>
      </w:r>
      <w:r>
        <w:rPr>
          <w:rFonts w:hint="eastAsia" w:ascii="黑体" w:hAnsi="黑体" w:eastAsia="黑体" w:cs="宋体"/>
          <w:b/>
          <w:bCs/>
          <w:sz w:val="24"/>
        </w:rPr>
        <w:t>3.代理货物费</w:t>
      </w:r>
    </w:p>
    <w:p>
      <w:pPr>
        <w:tabs>
          <w:tab w:val="left" w:pos="2835"/>
        </w:tabs>
        <w:spacing w:line="360" w:lineRule="auto"/>
        <w:ind w:firstLine="420" w:firstLineChars="200"/>
        <w:rPr>
          <w:rFonts w:ascii="宋体" w:hAnsi="宋体" w:cs="宋体"/>
          <w:szCs w:val="21"/>
        </w:rPr>
      </w:pPr>
      <w:r>
        <w:rPr>
          <w:rFonts w:hint="eastAsia" w:ascii="宋体" w:hAnsi="宋体" w:cs="宋体"/>
          <w:szCs w:val="21"/>
        </w:rPr>
        <w:t>代理货物收费标准及缴费账户详见“供应商须知前附表”，供应商为联合体的，可以由联合体中的一方或者多方共同交纳代理货物费。</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34</w:t>
      </w:r>
      <w:r>
        <w:rPr>
          <w:rFonts w:ascii="黑体" w:hAnsi="黑体" w:eastAsia="黑体" w:cs="宋体"/>
          <w:b/>
          <w:bCs/>
          <w:sz w:val="24"/>
        </w:rPr>
        <w:t>.需要补充的其他内容</w:t>
      </w:r>
    </w:p>
    <w:p>
      <w:pPr>
        <w:pStyle w:val="14"/>
        <w:spacing w:line="360" w:lineRule="auto"/>
        <w:ind w:firstLine="420" w:firstLineChars="200"/>
        <w:contextualSpacing/>
        <w:rPr>
          <w:rFonts w:hAnsi="宋体"/>
          <w:color w:val="000000"/>
          <w:sz w:val="21"/>
        </w:rPr>
      </w:pPr>
      <w:r>
        <w:rPr>
          <w:rFonts w:hAnsi="宋体"/>
          <w:color w:val="000000"/>
          <w:sz w:val="21"/>
        </w:rPr>
        <w:t>3</w:t>
      </w:r>
      <w:r>
        <w:rPr>
          <w:rFonts w:hint="eastAsia" w:hAnsi="宋体"/>
          <w:color w:val="000000"/>
          <w:sz w:val="21"/>
        </w:rPr>
        <w:t>4</w:t>
      </w:r>
      <w:r>
        <w:rPr>
          <w:rFonts w:hAnsi="宋体"/>
          <w:color w:val="000000"/>
          <w:sz w:val="21"/>
        </w:rPr>
        <w:t>.1</w:t>
      </w:r>
      <w:r>
        <w:rPr>
          <w:rFonts w:hint="eastAsia" w:hAnsi="宋体" w:cs="宋体"/>
          <w:color w:val="000000"/>
          <w:sz w:val="21"/>
        </w:rPr>
        <w:t>本谈判文件解释规则详见</w:t>
      </w:r>
      <w:r>
        <w:rPr>
          <w:rFonts w:hint="eastAsia" w:hAnsi="宋体"/>
          <w:color w:val="000000"/>
          <w:sz w:val="21"/>
        </w:rPr>
        <w:t>“供应商须知前附表”。</w:t>
      </w:r>
    </w:p>
    <w:p>
      <w:pPr>
        <w:spacing w:line="360" w:lineRule="auto"/>
        <w:ind w:firstLine="420" w:firstLineChars="200"/>
        <w:contextualSpacing/>
        <w:rPr>
          <w:rFonts w:hAnsi="宋体"/>
          <w:color w:val="000000"/>
        </w:rPr>
      </w:pPr>
      <w:r>
        <w:rPr>
          <w:rFonts w:ascii="宋体" w:hAnsi="宋体" w:cs="宋体"/>
          <w:color w:val="000000"/>
          <w:kern w:val="0"/>
          <w:szCs w:val="21"/>
        </w:rPr>
        <w:t>3</w:t>
      </w:r>
      <w:r>
        <w:rPr>
          <w:rFonts w:hint="eastAsia" w:ascii="宋体" w:hAnsi="宋体" w:cs="宋体"/>
          <w:color w:val="000000"/>
          <w:kern w:val="0"/>
          <w:szCs w:val="21"/>
        </w:rPr>
        <w:t>4</w:t>
      </w:r>
      <w:r>
        <w:rPr>
          <w:rFonts w:ascii="宋体" w:hAnsi="宋体" w:cs="宋体"/>
          <w:color w:val="000000"/>
          <w:kern w:val="0"/>
          <w:szCs w:val="21"/>
        </w:rPr>
        <w:t>.2</w:t>
      </w:r>
      <w:r>
        <w:rPr>
          <w:rFonts w:hint="eastAsia" w:ascii="宋体" w:hAnsi="宋体" w:cs="宋体"/>
          <w:color w:val="000000"/>
          <w:kern w:val="0"/>
          <w:szCs w:val="21"/>
        </w:rPr>
        <w:t xml:space="preserve"> 其他事</w:t>
      </w:r>
      <w:r>
        <w:rPr>
          <w:rFonts w:hint="eastAsia" w:hAnsi="宋体"/>
          <w:color w:val="000000"/>
        </w:rPr>
        <w:t>项详见“供应商须知前附表”。</w:t>
      </w:r>
    </w:p>
    <w:p>
      <w:pPr>
        <w:pStyle w:val="14"/>
        <w:spacing w:line="360" w:lineRule="auto"/>
        <w:ind w:firstLine="400" w:firstLineChars="200"/>
        <w:contextualSpacing/>
        <w:rPr>
          <w:rFonts w:hint="eastAsia" w:hAnsi="宋体"/>
          <w:color w:val="000000"/>
          <w:sz w:val="21"/>
        </w:rPr>
      </w:pPr>
      <w:r>
        <w:rPr>
          <w:rFonts w:hint="eastAsia" w:hAnsi="宋体"/>
          <w:color w:val="000000"/>
        </w:rPr>
        <w:t>34</w:t>
      </w:r>
      <w:r>
        <w:rPr>
          <w:rFonts w:hAnsi="宋体"/>
          <w:color w:val="000000"/>
        </w:rPr>
        <w:t>.3</w:t>
      </w:r>
      <w:bookmarkStart w:id="73" w:name="_Hlk65857140"/>
      <w:r>
        <w:rPr>
          <w:rFonts w:hint="eastAsia" w:hAnsi="宋体"/>
          <w:color w:val="000000"/>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pPr>
        <w:pStyle w:val="14"/>
        <w:spacing w:line="360" w:lineRule="auto"/>
        <w:ind w:firstLine="420" w:firstLineChars="200"/>
        <w:contextualSpacing/>
        <w:rPr>
          <w:rFonts w:hint="eastAsia" w:hAnsi="宋体"/>
          <w:color w:val="000000"/>
          <w:sz w:val="21"/>
          <w:highlight w:val="none"/>
        </w:rPr>
      </w:pPr>
      <w:r>
        <w:rPr>
          <w:rFonts w:hint="eastAsia" w:hAnsi="宋体"/>
          <w:color w:val="000000"/>
          <w:sz w:val="21"/>
          <w:highlight w:val="none"/>
        </w:rPr>
        <w:t>在货物采购项目中，货物由中小企业制造，即货物由中小企业生产且使用该中小企业商号或者注册商标，不对其中涉及的工程承建商和货物的承接商作出要求；</w:t>
      </w:r>
    </w:p>
    <w:p>
      <w:pPr>
        <w:pStyle w:val="14"/>
        <w:spacing w:line="360" w:lineRule="auto"/>
        <w:ind w:firstLine="420" w:firstLineChars="200"/>
        <w:contextualSpacing/>
        <w:rPr>
          <w:rFonts w:hint="eastAsia" w:hAnsi="宋体"/>
          <w:color w:val="000000"/>
          <w:sz w:val="21"/>
        </w:rPr>
      </w:pPr>
      <w:r>
        <w:rPr>
          <w:rFonts w:hint="eastAsia" w:hAnsi="宋体"/>
          <w:color w:val="000000"/>
          <w:sz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pStyle w:val="14"/>
        <w:spacing w:line="360" w:lineRule="auto"/>
        <w:ind w:firstLine="420" w:firstLineChars="200"/>
        <w:textAlignment w:val="center"/>
        <w:rPr>
          <w:rFonts w:hint="eastAsia" w:hAnsi="宋体"/>
          <w:color w:val="000000"/>
          <w:sz w:val="21"/>
        </w:rPr>
      </w:pPr>
      <w:r>
        <w:rPr>
          <w:rFonts w:hint="eastAsia" w:hAnsi="宋体"/>
          <w:color w:val="000000"/>
          <w:sz w:val="21"/>
        </w:rPr>
        <w:t>依据本文件规定享受扶持政策获得政府采购合同的，小微企业不得将合同分包给大中型企业，中型企业不得将合同分包给大型企业。</w:t>
      </w:r>
      <w:bookmarkEnd w:id="73"/>
    </w:p>
    <w:p>
      <w:pPr>
        <w:spacing w:line="360" w:lineRule="auto"/>
        <w:ind w:firstLine="480" w:firstLineChars="200"/>
        <w:rPr>
          <w:rFonts w:hint="eastAsia" w:ascii="黑体" w:hAnsi="黑体" w:eastAsia="黑体"/>
          <w:sz w:val="24"/>
        </w:rPr>
      </w:pPr>
      <w:r>
        <w:rPr>
          <w:rFonts w:hint="eastAsia" w:ascii="黑体" w:hAnsi="黑体" w:eastAsia="黑体"/>
          <w:sz w:val="24"/>
        </w:rPr>
        <w:t>35. 政采贷相关说明</w:t>
      </w:r>
    </w:p>
    <w:p>
      <w:pPr>
        <w:pStyle w:val="14"/>
        <w:spacing w:line="360" w:lineRule="auto"/>
        <w:ind w:firstLine="420" w:firstLineChars="200"/>
        <w:contextualSpacing/>
      </w:pPr>
      <w:r>
        <w:rPr>
          <w:rFonts w:hint="eastAsia" w:hAnsi="宋体"/>
          <w:color w:val="000000"/>
          <w:sz w:val="21"/>
        </w:rPr>
        <w:t>为优化政府采购营商环境，缓解供应商资金难题，南宁市政府采购试行政府采购信用融资制度，中标供应商如有融资需求，可凭政府采购合同在“南宁市公共资源交易中心”官网（网址：http://www.nnggzy.org.cn）“交易信息-政府采购-政府采购信用融资”中融资银行和南宁市企业融资货物中心专栏信息申请政府采购信用融资。</w:t>
      </w:r>
      <w:r>
        <w:rPr>
          <w:rFonts w:hAnsi="宋体"/>
          <w:b/>
        </w:rPr>
        <w:br w:type="page"/>
      </w:r>
    </w:p>
    <w:p>
      <w:pPr>
        <w:pStyle w:val="3"/>
        <w:jc w:val="center"/>
        <w:rPr>
          <w:rFonts w:hint="eastAsia"/>
        </w:rPr>
      </w:pPr>
      <w:bookmarkStart w:id="74" w:name="_Toc80205932"/>
      <w:r>
        <w:rPr>
          <w:rFonts w:hint="eastAsia"/>
        </w:rPr>
        <w:t>第四章  评审程序、评审方法和成交标准</w:t>
      </w:r>
      <w:bookmarkEnd w:id="74"/>
    </w:p>
    <w:p>
      <w:pPr>
        <w:pStyle w:val="4"/>
        <w:spacing w:before="0" w:after="0" w:line="360" w:lineRule="auto"/>
        <w:ind w:firstLine="640" w:firstLineChars="200"/>
        <w:jc w:val="center"/>
        <w:rPr>
          <w:rFonts w:hint="eastAsia" w:ascii="宋体" w:hAnsi="宋体"/>
          <w:b w:val="0"/>
        </w:rPr>
      </w:pPr>
      <w:bookmarkStart w:id="75" w:name="_Toc80205933"/>
      <w:r>
        <w:rPr>
          <w:rFonts w:hint="eastAsia" w:ascii="宋体" w:hAnsi="宋体"/>
          <w:b w:val="0"/>
        </w:rPr>
        <w:t>第一节 评审程序和评审方法</w:t>
      </w:r>
      <w:bookmarkEnd w:id="75"/>
    </w:p>
    <w:p>
      <w:pPr>
        <w:spacing w:line="360" w:lineRule="auto"/>
        <w:ind w:firstLine="482" w:firstLineChars="200"/>
        <w:rPr>
          <w:rFonts w:ascii="黑体" w:hAnsi="黑体" w:eastAsia="黑体" w:cs="宋体"/>
          <w:b/>
          <w:bCs/>
          <w:sz w:val="24"/>
        </w:rPr>
      </w:pPr>
      <w:r>
        <w:rPr>
          <w:rFonts w:ascii="黑体" w:hAnsi="黑体" w:eastAsia="黑体" w:cs="宋体"/>
          <w:b/>
          <w:bCs/>
          <w:sz w:val="24"/>
        </w:rPr>
        <w:t>1</w:t>
      </w:r>
      <w:r>
        <w:rPr>
          <w:rFonts w:hint="eastAsia" w:ascii="黑体" w:hAnsi="黑体" w:eastAsia="黑体" w:cs="宋体"/>
          <w:b/>
          <w:bCs/>
          <w:sz w:val="24"/>
        </w:rPr>
        <w:t>.确认谈判文件</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由谈判小组确认谈判文件。</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2.资格审查</w:t>
      </w:r>
    </w:p>
    <w:p>
      <w:pPr>
        <w:snapToGrid w:val="0"/>
        <w:spacing w:line="360" w:lineRule="auto"/>
        <w:ind w:firstLine="420" w:firstLineChars="200"/>
        <w:rPr>
          <w:rFonts w:ascii="宋体" w:hAnsi="宋体"/>
          <w:szCs w:val="21"/>
        </w:rPr>
      </w:pPr>
      <w:r>
        <w:rPr>
          <w:rFonts w:hint="eastAsia" w:ascii="宋体" w:hAnsi="宋体" w:cs="宋体"/>
          <w:szCs w:val="21"/>
        </w:rPr>
        <w:t>2.1</w:t>
      </w:r>
      <w:r>
        <w:rPr>
          <w:rFonts w:hint="eastAsia" w:ascii="宋体" w:hAnsi="宋体"/>
          <w:szCs w:val="21"/>
        </w:rPr>
        <w:t>响应文件开启后，谈判小组依法对供应商的资格证明文件进行审查。</w:t>
      </w:r>
    </w:p>
    <w:p>
      <w:pPr>
        <w:snapToGrid w:val="0"/>
        <w:spacing w:line="360" w:lineRule="auto"/>
        <w:ind w:firstLine="420" w:firstLineChars="200"/>
        <w:rPr>
          <w:rFonts w:hint="eastAsia" w:ascii="宋体" w:hAnsi="宋体" w:cs="宋体"/>
          <w:szCs w:val="21"/>
        </w:rPr>
      </w:pPr>
      <w:r>
        <w:rPr>
          <w:rFonts w:hint="eastAsia" w:ascii="宋体" w:hAnsi="宋体" w:cs="宋体"/>
          <w:szCs w:val="21"/>
        </w:rPr>
        <w:t>注：采购人代表或者采购代理机构在资格审查结束前，对供应商进行信用查询。</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（1）查询渠道：“政采云”平台“信用中国”网</w:t>
      </w:r>
      <w:r>
        <w:rPr>
          <w:rFonts w:hint="eastAsia" w:ascii="宋体" w:hAnsi="宋体" w:eastAsia="宋体" w:cs="宋体"/>
          <w:szCs w:val="21"/>
        </w:rPr>
        <w:t>站(</w:t>
      </w:r>
      <w:r>
        <w:rPr>
          <w:rFonts w:hint="eastAsia" w:ascii="宋体" w:hAnsi="宋体" w:eastAsia="宋体" w:cs="宋体"/>
          <w:szCs w:val="21"/>
        </w:rPr>
        <w:fldChar w:fldCharType="begin"/>
      </w:r>
      <w:r>
        <w:rPr>
          <w:rFonts w:hint="eastAsia" w:ascii="宋体" w:hAnsi="宋体" w:eastAsia="宋体" w:cs="宋体"/>
          <w:szCs w:val="21"/>
        </w:rPr>
        <w:instrText xml:space="preserve"> HYPERLINK "http://www.creditchina.gov.cn" </w:instrText>
      </w:r>
      <w:r>
        <w:rPr>
          <w:rFonts w:hint="eastAsia" w:ascii="宋体" w:hAnsi="宋体" w:eastAsia="宋体" w:cs="宋体"/>
          <w:szCs w:val="21"/>
        </w:rPr>
        <w:fldChar w:fldCharType="separate"/>
      </w:r>
      <w:r>
        <w:rPr>
          <w:rFonts w:hint="eastAsia" w:ascii="宋体" w:hAnsi="宋体" w:eastAsia="宋体" w:cs="宋体"/>
          <w:szCs w:val="21"/>
        </w:rPr>
        <w:t>www.creditchina.gov.cn</w:t>
      </w:r>
      <w:r>
        <w:rPr>
          <w:rFonts w:hint="eastAsia" w:ascii="宋体" w:hAnsi="宋体" w:eastAsia="宋体" w:cs="宋体"/>
          <w:szCs w:val="21"/>
        </w:rPr>
        <w:fldChar w:fldCharType="end"/>
      </w:r>
      <w:r>
        <w:rPr>
          <w:rFonts w:hint="eastAsia" w:ascii="宋体" w:hAnsi="宋体" w:eastAsia="宋体" w:cs="宋体"/>
          <w:szCs w:val="21"/>
        </w:rPr>
        <w:t>)、中国政府采购网(</w:t>
      </w:r>
      <w:r>
        <w:rPr>
          <w:rFonts w:hint="eastAsia" w:ascii="宋体" w:hAnsi="宋体" w:eastAsia="宋体" w:cs="宋体"/>
          <w:szCs w:val="21"/>
        </w:rPr>
        <w:fldChar w:fldCharType="begin"/>
      </w:r>
      <w:r>
        <w:rPr>
          <w:rFonts w:hint="eastAsia" w:ascii="宋体" w:hAnsi="宋体" w:eastAsia="宋体" w:cs="宋体"/>
          <w:szCs w:val="21"/>
        </w:rPr>
        <w:instrText xml:space="preserve"> HYPERLINK "http://www.ccgp.gov.cn" </w:instrText>
      </w:r>
      <w:r>
        <w:rPr>
          <w:rFonts w:hint="eastAsia" w:ascii="宋体" w:hAnsi="宋体" w:eastAsia="宋体" w:cs="宋体"/>
          <w:szCs w:val="21"/>
        </w:rPr>
        <w:fldChar w:fldCharType="separate"/>
      </w:r>
      <w:r>
        <w:rPr>
          <w:rFonts w:hint="eastAsia" w:ascii="宋体" w:hAnsi="宋体" w:eastAsia="宋体" w:cs="宋体"/>
          <w:szCs w:val="21"/>
        </w:rPr>
        <w:t>www.ccgp.gov.cn</w:t>
      </w:r>
      <w:r>
        <w:rPr>
          <w:rFonts w:hint="eastAsia" w:ascii="宋体" w:hAnsi="宋体" w:eastAsia="宋体" w:cs="宋体"/>
          <w:szCs w:val="21"/>
        </w:rPr>
        <w:fldChar w:fldCharType="end"/>
      </w:r>
      <w:r>
        <w:rPr>
          <w:rFonts w:hint="eastAsia" w:ascii="宋体" w:hAnsi="宋体" w:eastAsia="宋体" w:cs="宋体"/>
          <w:szCs w:val="21"/>
        </w:rPr>
        <w:t>)链接</w:t>
      </w:r>
      <w:r>
        <w:rPr>
          <w:rFonts w:hint="eastAsia" w:ascii="宋体" w:hAnsi="宋体" w:cs="宋体"/>
          <w:szCs w:val="21"/>
        </w:rPr>
        <w:t>入口。</w:t>
      </w:r>
    </w:p>
    <w:p>
      <w:pPr>
        <w:snapToGrid w:val="0"/>
        <w:spacing w:line="360" w:lineRule="auto"/>
        <w:ind w:firstLine="420" w:firstLineChars="200"/>
        <w:rPr>
          <w:rFonts w:hint="eastAsia" w:ascii="宋体" w:hAnsi="宋体" w:cs="宋体"/>
          <w:szCs w:val="21"/>
        </w:rPr>
      </w:pPr>
      <w:r>
        <w:rPr>
          <w:rFonts w:hint="eastAsia" w:ascii="宋体" w:hAnsi="宋体" w:cs="宋体"/>
          <w:szCs w:val="21"/>
        </w:rPr>
        <w:t>（2）信用查询截止时点：资格审查结束前。</w:t>
      </w:r>
    </w:p>
    <w:p>
      <w:pPr>
        <w:snapToGrid w:val="0"/>
        <w:spacing w:line="360" w:lineRule="auto"/>
        <w:ind w:firstLine="420" w:firstLineChars="200"/>
        <w:rPr>
          <w:rFonts w:hint="eastAsia" w:ascii="宋体" w:hAnsi="宋体" w:cs="宋体"/>
          <w:szCs w:val="21"/>
        </w:rPr>
      </w:pPr>
      <w:r>
        <w:rPr>
          <w:rFonts w:hint="eastAsia" w:ascii="宋体" w:hAnsi="宋体" w:cs="宋体"/>
          <w:szCs w:val="21"/>
        </w:rPr>
        <w:t>查询记录和证据留存方式：在查询网站中直接打印查询记录，截图另存为电子文档作为评审资料保存。</w:t>
      </w:r>
    </w:p>
    <w:p>
      <w:pPr>
        <w:spacing w:line="360" w:lineRule="auto"/>
        <w:ind w:firstLine="420" w:firstLineChars="200"/>
        <w:rPr>
          <w:rFonts w:hint="eastAsia"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hint="eastAsia" w:ascii="宋体" w:hAnsi="宋体" w:cs="宋体"/>
          <w:szCs w:val="21"/>
        </w:rPr>
      </w:pPr>
      <w:r>
        <w:rPr>
          <w:rFonts w:hint="eastAsia" w:ascii="宋体" w:hAnsi="宋体" w:cs="宋体"/>
          <w:szCs w:val="21"/>
        </w:rPr>
        <w:t>2.2资格审查标准为本谈判文件中载明对供应商资格要求的条件。资格审查采用合格制，凡符合谈判文件规定的供应商资格要求的响应文件均通过资格审查。</w:t>
      </w:r>
    </w:p>
    <w:p>
      <w:pPr>
        <w:spacing w:line="360" w:lineRule="auto"/>
        <w:ind w:firstLine="420" w:firstLineChars="200"/>
        <w:rPr>
          <w:rFonts w:hint="eastAsia" w:ascii="宋体" w:hAnsi="宋体" w:cs="宋体"/>
          <w:szCs w:val="21"/>
        </w:rPr>
      </w:pPr>
      <w:r>
        <w:rPr>
          <w:rFonts w:hint="eastAsia" w:ascii="宋体" w:hAnsi="宋体" w:cs="宋体"/>
          <w:szCs w:val="21"/>
        </w:rPr>
        <w:t>2.3供应商有下列情形之一的，资格审查不通过，其响应文件按无效响应处理：</w:t>
      </w:r>
    </w:p>
    <w:p>
      <w:pPr>
        <w:snapToGrid w:val="0"/>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）不具备谈判文件中规定的资格要求的；</w:t>
      </w:r>
    </w:p>
    <w:p>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）响应文件未提供任一项“供应商须知前附表”资格证明文件规定的“必须提供”的文件资料的；</w:t>
      </w:r>
    </w:p>
    <w:p>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）响应文件提供的资格证明文件出现任一项不符合“供应商须知前附表”资格证明文件规定的“必须提供”的文件资料要求或者无效的。</w:t>
      </w:r>
    </w:p>
    <w:p>
      <w:pPr>
        <w:spacing w:line="360" w:lineRule="auto"/>
        <w:ind w:firstLine="420" w:firstLineChars="200"/>
        <w:rPr>
          <w:rFonts w:hint="eastAsia" w:ascii="宋体" w:hAnsi="宋体" w:cs="宋体"/>
          <w:color w:val="000000"/>
          <w:szCs w:val="21"/>
          <w:highlight w:val="none"/>
        </w:rPr>
      </w:pPr>
      <w:bookmarkStart w:id="76" w:name="_Hlk68601553"/>
      <w:r>
        <w:rPr>
          <w:rFonts w:hint="eastAsia" w:ascii="宋体" w:hAnsi="宋体" w:cs="宋体"/>
          <w:color w:val="000000"/>
          <w:szCs w:val="21"/>
          <w:highlight w:val="none"/>
        </w:rPr>
        <w:t>（4）同一合同项下的不同供应商，单位负责人为同一人或者存在直接控股、管理关系的；为本项目提供过整体设计、规范编制或者项目管理、监理、检测等货物的。</w:t>
      </w:r>
      <w:bookmarkEnd w:id="76"/>
    </w:p>
    <w:p>
      <w:pPr>
        <w:spacing w:line="360" w:lineRule="auto"/>
        <w:ind w:firstLine="420" w:firstLineChars="200"/>
        <w:rPr>
          <w:rFonts w:hint="eastAsia" w:ascii="宋体" w:hAnsi="宋体" w:cs="宋体"/>
          <w:szCs w:val="21"/>
        </w:rPr>
      </w:pPr>
      <w:r>
        <w:rPr>
          <w:rFonts w:hint="eastAsia" w:ascii="宋体" w:hAnsi="宋体" w:cs="宋体"/>
          <w:szCs w:val="21"/>
        </w:rPr>
        <w:t>2.4通过资格审查的合格供应商不足3家的，不得进入符合性审查环节，</w:t>
      </w:r>
      <w:r>
        <w:rPr>
          <w:rFonts w:hint="eastAsia" w:ascii="宋体" w:hAnsi="宋体"/>
          <w:szCs w:val="21"/>
        </w:rPr>
        <w:t>采购人或者采购代理机构应当重新开展采购活动。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3.符合性审查</w:t>
      </w:r>
    </w:p>
    <w:p>
      <w:pPr>
        <w:spacing w:line="360" w:lineRule="auto"/>
        <w:ind w:firstLine="420" w:firstLineChars="200"/>
        <w:rPr>
          <w:rFonts w:hint="eastAsia" w:ascii="宋体" w:hAnsi="宋体" w:cs="宋体"/>
          <w:szCs w:val="21"/>
        </w:rPr>
      </w:pPr>
      <w:bookmarkStart w:id="77" w:name="_Hlk42528882"/>
      <w:r>
        <w:rPr>
          <w:rFonts w:hint="eastAsia" w:ascii="宋体" w:hAnsi="宋体" w:cs="宋体"/>
          <w:szCs w:val="21"/>
        </w:rPr>
        <w:t>3</w:t>
      </w:r>
      <w:r>
        <w:rPr>
          <w:rFonts w:ascii="宋体" w:hAnsi="宋体" w:cs="宋体"/>
          <w:szCs w:val="21"/>
        </w:rPr>
        <w:t>.1</w:t>
      </w:r>
      <w:r>
        <w:rPr>
          <w:rFonts w:hint="eastAsia" w:ascii="宋体" w:hAnsi="宋体" w:cs="宋体"/>
          <w:szCs w:val="21"/>
        </w:rPr>
        <w:t>由谈判小组对</w:t>
      </w:r>
      <w:r>
        <w:rPr>
          <w:rFonts w:hint="eastAsia" w:ascii="宋体" w:hAnsi="宋体"/>
          <w:szCs w:val="21"/>
        </w:rPr>
        <w:t>通过资格审查的合格供应商</w:t>
      </w:r>
      <w:r>
        <w:rPr>
          <w:rFonts w:hint="eastAsia" w:ascii="宋体" w:hAnsi="宋体" w:cs="宋体"/>
          <w:szCs w:val="21"/>
        </w:rPr>
        <w:t>的响应文件的响应报价、商务、技术等实质性要求进行符合性审查，以确定其是否满足谈判文件的实质性要求。</w:t>
      </w:r>
    </w:p>
    <w:bookmarkEnd w:id="77"/>
    <w:p>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.2</w:t>
      </w:r>
      <w:r>
        <w:rPr>
          <w:rFonts w:hint="eastAsia" w:ascii="宋体" w:hAnsi="宋体" w:cs="宋体"/>
          <w:szCs w:val="21"/>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spacing w:val="-6"/>
          <w:szCs w:val="21"/>
        </w:rPr>
      </w:pPr>
      <w:r>
        <w:rPr>
          <w:rFonts w:hint="eastAsia" w:ascii="宋体" w:hAnsi="宋体" w:cs="宋体"/>
          <w:szCs w:val="21"/>
        </w:rPr>
        <w:t>3.</w:t>
      </w:r>
      <w:r>
        <w:rPr>
          <w:rFonts w:ascii="宋体" w:hAnsi="宋体" w:cs="宋体"/>
          <w:szCs w:val="21"/>
        </w:rPr>
        <w:t>3</w:t>
      </w:r>
      <w:r>
        <w:rPr>
          <w:rFonts w:hint="eastAsia" w:ascii="宋体" w:hAnsi="宋体" w:cs="宋体"/>
          <w:szCs w:val="21"/>
        </w:rPr>
        <w:t>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w:t>
      </w:r>
      <w:r>
        <w:rPr>
          <w:rFonts w:hint="eastAsia" w:ascii="宋体" w:hAnsi="宋体" w:cs="宋体"/>
          <w:spacing w:val="-6"/>
          <w:szCs w:val="21"/>
        </w:rPr>
        <w:t>。供应商为自然人的，必须由本人签字并附身份证明。</w:t>
      </w:r>
    </w:p>
    <w:p>
      <w:pPr>
        <w:spacing w:line="360" w:lineRule="auto"/>
        <w:ind w:firstLine="396" w:firstLineChars="200"/>
        <w:rPr>
          <w:rFonts w:hint="eastAsia" w:ascii="宋体" w:hAnsi="宋体" w:cs="宋体"/>
          <w:szCs w:val="21"/>
        </w:rPr>
      </w:pPr>
      <w:r>
        <w:rPr>
          <w:rFonts w:hint="eastAsia" w:ascii="宋体" w:hAnsi="宋体" w:cs="宋体"/>
          <w:spacing w:val="-6"/>
          <w:szCs w:val="21"/>
        </w:rPr>
        <w:t>3</w:t>
      </w:r>
      <w:r>
        <w:rPr>
          <w:rFonts w:ascii="宋体" w:hAnsi="宋体" w:cs="宋体"/>
          <w:spacing w:val="-6"/>
          <w:szCs w:val="21"/>
        </w:rPr>
        <w:t>.4</w:t>
      </w:r>
      <w:r>
        <w:rPr>
          <w:rFonts w:hint="eastAsia" w:ascii="宋体" w:hAnsi="宋体" w:cs="宋体"/>
          <w:szCs w:val="21"/>
        </w:rPr>
        <w:t xml:space="preserve">首次响应文件报价出现前后不一致的，按照下列规定修正： </w:t>
      </w:r>
    </w:p>
    <w:p>
      <w:pPr>
        <w:spacing w:line="360" w:lineRule="auto"/>
        <w:ind w:firstLine="42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pPr>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pPr>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pPr>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pPr>
        <w:spacing w:line="360" w:lineRule="auto"/>
        <w:ind w:firstLine="42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3.</w:t>
      </w:r>
      <w:r>
        <w:rPr>
          <w:rFonts w:ascii="宋体" w:hAnsi="宋体" w:cs="宋体"/>
          <w:szCs w:val="21"/>
        </w:rPr>
        <w:t>5</w:t>
      </w:r>
      <w:r>
        <w:rPr>
          <w:rFonts w:hint="eastAsia" w:ascii="宋体" w:hAnsi="宋体" w:cs="宋体"/>
          <w:szCs w:val="21"/>
        </w:rPr>
        <w:t>商务技术、报价评审</w:t>
      </w:r>
    </w:p>
    <w:p>
      <w:pPr>
        <w:spacing w:line="360" w:lineRule="auto"/>
        <w:ind w:firstLine="420" w:firstLineChars="200"/>
        <w:rPr>
          <w:rFonts w:hint="eastAsia" w:ascii="宋体" w:hAnsi="宋体" w:cs="宋体"/>
          <w:szCs w:val="21"/>
        </w:rPr>
      </w:pPr>
      <w:r>
        <w:rPr>
          <w:rFonts w:hint="eastAsia" w:ascii="宋体" w:hAnsi="宋体" w:cs="宋体"/>
          <w:szCs w:val="21"/>
        </w:rPr>
        <w:t>在评审时，如发现下列情形之一的，将被视为响应文件无效处理：</w:t>
      </w:r>
    </w:p>
    <w:p>
      <w:pPr>
        <w:spacing w:line="360" w:lineRule="auto"/>
        <w:ind w:firstLine="420" w:firstLineChars="200"/>
        <w:rPr>
          <w:rFonts w:ascii="宋体" w:hAnsi="宋体" w:cs="宋体"/>
          <w:szCs w:val="21"/>
        </w:rPr>
      </w:pPr>
      <w:r>
        <w:rPr>
          <w:rFonts w:hint="eastAsia" w:ascii="宋体" w:hAnsi="宋体" w:cs="宋体"/>
          <w:szCs w:val="21"/>
        </w:rPr>
        <w:t>（1）商务技术评审</w:t>
      </w:r>
    </w:p>
    <w:p>
      <w:pPr>
        <w:spacing w:line="360" w:lineRule="auto"/>
        <w:ind w:firstLine="420" w:firstLineChars="200"/>
        <w:rPr>
          <w:rFonts w:hint="eastAsia" w:ascii="宋体" w:hAnsi="宋体" w:cs="宋体"/>
          <w:szCs w:val="21"/>
        </w:rPr>
      </w:pPr>
      <w:r>
        <w:rPr>
          <w:rFonts w:hint="eastAsia" w:ascii="宋体" w:hAnsi="宋体" w:cs="宋体"/>
          <w:szCs w:val="21"/>
        </w:rPr>
        <w:t>1）响应文件未按谈判文件要求签署、盖章；</w:t>
      </w:r>
    </w:p>
    <w:p>
      <w:pPr>
        <w:spacing w:line="360" w:lineRule="auto"/>
        <w:ind w:firstLine="420" w:firstLineChars="200"/>
        <w:rPr>
          <w:rFonts w:hint="eastAsia"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pPr>
        <w:spacing w:line="360" w:lineRule="auto"/>
        <w:ind w:firstLine="420" w:firstLineChars="200"/>
        <w:rPr>
          <w:rFonts w:hint="eastAsia"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hint="eastAsia" w:ascii="宋体" w:hAnsi="宋体" w:cs="宋体"/>
          <w:szCs w:val="21"/>
        </w:rPr>
      </w:pPr>
      <w:r>
        <w:rPr>
          <w:rFonts w:hint="eastAsia" w:ascii="宋体" w:hAnsi="宋体" w:cs="宋体"/>
          <w:szCs w:val="21"/>
        </w:rPr>
        <w:t>4）商务条款中标“▲”的条款发生负偏离的或者允许负偏离的条款数超过“供应商须知前附表”规定项数的或者标明实质性的要求发生负偏离；</w:t>
      </w:r>
    </w:p>
    <w:p>
      <w:pPr>
        <w:spacing w:line="360" w:lineRule="auto"/>
        <w:ind w:firstLine="420" w:firstLineChars="200"/>
        <w:rPr>
          <w:rFonts w:hint="eastAsia" w:ascii="宋体" w:hAnsi="宋体" w:cs="宋体"/>
          <w:szCs w:val="21"/>
        </w:rPr>
      </w:pPr>
      <w:r>
        <w:rPr>
          <w:rFonts w:hint="eastAsia" w:ascii="宋体" w:hAnsi="宋体" w:cs="宋体"/>
          <w:szCs w:val="21"/>
        </w:rPr>
        <w:t>5）未对竞标有效期作出响应或者响应文件承诺的竞标有效期不满足谈判文件要求；</w:t>
      </w:r>
    </w:p>
    <w:p>
      <w:pPr>
        <w:spacing w:line="360" w:lineRule="auto"/>
        <w:ind w:firstLine="420" w:firstLineChars="200"/>
        <w:rPr>
          <w:rFonts w:hint="eastAsia" w:ascii="宋体" w:hAnsi="宋体" w:cs="宋体"/>
          <w:szCs w:val="21"/>
        </w:rPr>
      </w:pPr>
      <w:r>
        <w:rPr>
          <w:rFonts w:hint="eastAsia" w:ascii="宋体" w:hAnsi="宋体" w:cs="宋体"/>
          <w:szCs w:val="21"/>
        </w:rPr>
        <w:t>6）响应文件的实质性内容未使用中文表述、使用计量单位不符合谈判文件要求；</w:t>
      </w:r>
    </w:p>
    <w:p>
      <w:pPr>
        <w:spacing w:line="360" w:lineRule="auto"/>
        <w:ind w:firstLine="420" w:firstLineChars="200"/>
        <w:rPr>
          <w:rFonts w:hint="eastAsia" w:ascii="宋体" w:hAnsi="宋体" w:cs="宋体"/>
          <w:szCs w:val="21"/>
        </w:rPr>
      </w:pPr>
      <w:r>
        <w:rPr>
          <w:rFonts w:hint="eastAsia" w:ascii="宋体" w:hAnsi="宋体" w:cs="宋体"/>
          <w:szCs w:val="21"/>
        </w:rPr>
        <w:t>7）响应文件中的文件资料因填写不齐全或者内容虚假或者出现其他情形而导致被谈判小组认定无效；</w:t>
      </w:r>
    </w:p>
    <w:p>
      <w:pPr>
        <w:spacing w:line="360" w:lineRule="auto"/>
        <w:ind w:firstLine="420" w:firstLineChars="200"/>
        <w:rPr>
          <w:rFonts w:hint="eastAsia" w:ascii="宋体" w:hAnsi="宋体" w:cs="宋体"/>
          <w:szCs w:val="21"/>
        </w:rPr>
      </w:pPr>
      <w:r>
        <w:rPr>
          <w:rFonts w:hint="eastAsia" w:ascii="宋体" w:hAnsi="宋体" w:cs="宋体"/>
          <w:szCs w:val="21"/>
        </w:rPr>
        <w:t>8）响应文件含有采购人不能接受的附加条件；</w:t>
      </w:r>
    </w:p>
    <w:p>
      <w:pPr>
        <w:spacing w:line="360" w:lineRule="auto"/>
        <w:ind w:firstLine="420" w:firstLineChars="200"/>
        <w:rPr>
          <w:rFonts w:hint="eastAsia" w:ascii="宋体" w:hAnsi="宋体" w:cs="宋体"/>
          <w:szCs w:val="21"/>
        </w:rPr>
      </w:pPr>
      <w:r>
        <w:rPr>
          <w:rFonts w:hint="eastAsia" w:ascii="宋体" w:hAnsi="宋体" w:cs="宋体"/>
          <w:szCs w:val="21"/>
        </w:rPr>
        <w:t>9）属于“供应商须知正文”第7.</w:t>
      </w:r>
      <w:r>
        <w:rPr>
          <w:rFonts w:ascii="宋体" w:hAnsi="宋体" w:cs="宋体"/>
          <w:szCs w:val="21"/>
        </w:rPr>
        <w:t>5</w:t>
      </w:r>
      <w:r>
        <w:rPr>
          <w:rFonts w:hint="eastAsia" w:ascii="宋体" w:hAnsi="宋体" w:cs="宋体"/>
          <w:szCs w:val="21"/>
        </w:rPr>
        <w:t>条情形；</w:t>
      </w:r>
    </w:p>
    <w:p>
      <w:pPr>
        <w:spacing w:line="360" w:lineRule="auto"/>
        <w:ind w:firstLine="420" w:firstLineChars="200"/>
        <w:rPr>
          <w:rFonts w:hint="eastAsia" w:ascii="宋体" w:hAnsi="宋体" w:cs="宋体"/>
          <w:szCs w:val="21"/>
        </w:rPr>
      </w:pPr>
      <w:r>
        <w:rPr>
          <w:rFonts w:hint="eastAsia" w:ascii="宋体" w:hAnsi="宋体" w:cs="宋体"/>
          <w:szCs w:val="21"/>
        </w:rPr>
        <w:t>10）技术需求允许负偏离的条款数超过“供应商须知前附表”规定项数；</w:t>
      </w:r>
    </w:p>
    <w:p>
      <w:pPr>
        <w:spacing w:line="360" w:lineRule="auto"/>
        <w:ind w:firstLine="420" w:firstLineChars="200"/>
        <w:rPr>
          <w:rFonts w:hint="eastAsia" w:ascii="宋体" w:hAnsi="宋体" w:cs="宋体"/>
          <w:szCs w:val="21"/>
        </w:rPr>
      </w:pPr>
      <w:r>
        <w:rPr>
          <w:rFonts w:hint="eastAsia" w:ascii="宋体" w:hAnsi="宋体" w:cs="宋体"/>
          <w:szCs w:val="21"/>
        </w:rPr>
        <w:t>11）虚假竞标，或者出现其他情形而导致被谈判小组认定无效；</w:t>
      </w:r>
    </w:p>
    <w:p>
      <w:pPr>
        <w:spacing w:line="360" w:lineRule="auto"/>
        <w:ind w:firstLine="420" w:firstLineChars="200"/>
        <w:rPr>
          <w:rFonts w:hint="eastAsia" w:ascii="宋体" w:hAnsi="宋体" w:cs="宋体"/>
          <w:szCs w:val="21"/>
        </w:rPr>
      </w:pPr>
      <w:r>
        <w:rPr>
          <w:rFonts w:hint="eastAsia" w:ascii="宋体" w:hAnsi="宋体" w:cs="宋体"/>
          <w:szCs w:val="21"/>
        </w:rPr>
        <w:t>12）竞标技术方案不明确，谈判文件未允许</w:t>
      </w:r>
      <w:r>
        <w:rPr>
          <w:rFonts w:hint="eastAsia" w:ascii="宋体" w:hAnsi="宋体"/>
          <w:szCs w:val="21"/>
        </w:rPr>
        <w:t>但响应文件中</w:t>
      </w:r>
      <w:r>
        <w:rPr>
          <w:rFonts w:hint="eastAsia" w:ascii="宋体" w:hAnsi="宋体" w:cs="宋体"/>
          <w:szCs w:val="21"/>
        </w:rPr>
        <w:t>存在一个或者一个以上备选（替代）竞标方案；</w:t>
      </w:r>
    </w:p>
    <w:p>
      <w:pPr>
        <w:spacing w:line="360" w:lineRule="auto"/>
        <w:ind w:firstLine="420" w:firstLineChars="200"/>
        <w:rPr>
          <w:rFonts w:hint="eastAsia" w:ascii="宋体" w:hAnsi="宋体" w:cs="宋体"/>
          <w:szCs w:val="21"/>
        </w:rPr>
      </w:pPr>
      <w:r>
        <w:rPr>
          <w:rFonts w:hint="eastAsia" w:ascii="宋体" w:hAnsi="宋体" w:cs="宋体"/>
          <w:szCs w:val="21"/>
        </w:rPr>
        <w:t>13）响应文件标注的项目名称或者项目编号与竞争性谈判文件标注的项目名称或者项目编号不一致的；</w:t>
      </w:r>
    </w:p>
    <w:p>
      <w:pPr>
        <w:spacing w:line="360" w:lineRule="auto"/>
        <w:ind w:firstLine="420" w:firstLineChars="200"/>
        <w:rPr>
          <w:rFonts w:ascii="宋体" w:hAnsi="宋体" w:cs="宋体"/>
          <w:szCs w:val="21"/>
        </w:rPr>
      </w:pPr>
      <w:r>
        <w:rPr>
          <w:rFonts w:hint="eastAsia" w:ascii="宋体" w:hAnsi="宋体" w:cs="宋体"/>
          <w:szCs w:val="21"/>
        </w:rPr>
        <w:t>14）未响应谈判文件实质性要求；</w:t>
      </w:r>
    </w:p>
    <w:p>
      <w:pPr>
        <w:spacing w:line="360" w:lineRule="auto"/>
        <w:ind w:firstLine="420" w:firstLineChars="200"/>
        <w:rPr>
          <w:rFonts w:hint="eastAsia" w:ascii="宋体" w:hAnsi="宋体" w:cs="宋体"/>
          <w:szCs w:val="21"/>
        </w:rPr>
      </w:pPr>
      <w:r>
        <w:rPr>
          <w:rFonts w:hint="eastAsia" w:ascii="宋体" w:hAnsi="宋体" w:cs="宋体"/>
          <w:szCs w:val="21"/>
        </w:rPr>
        <w:t>15）法律、法规和谈判文件规定的其他无效情形。</w:t>
      </w:r>
    </w:p>
    <w:p>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）报价评审</w:t>
      </w:r>
    </w:p>
    <w:p>
      <w:pPr>
        <w:spacing w:line="360" w:lineRule="auto"/>
        <w:ind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 xml:space="preserve"> </w:t>
      </w:r>
      <w:r>
        <w:rPr>
          <w:rFonts w:hint="eastAsia" w:ascii="宋体" w:hAnsi="宋体" w:cs="宋体"/>
          <w:szCs w:val="21"/>
        </w:rPr>
        <w:t>响应文件未提供“供应商须知前附表” 报价文件中规定的“响应报价表”；</w:t>
      </w:r>
    </w:p>
    <w:p>
      <w:pPr>
        <w:spacing w:line="360" w:lineRule="auto"/>
        <w:ind w:firstLine="420" w:firstLineChars="200"/>
        <w:rPr>
          <w:rFonts w:hint="eastAsia" w:ascii="宋体" w:hAnsi="宋体" w:cs="宋体"/>
          <w:szCs w:val="21"/>
        </w:rPr>
      </w:pPr>
      <w:r>
        <w:rPr>
          <w:rFonts w:hint="eastAsia" w:ascii="宋体" w:hAnsi="宋体" w:cs="宋体"/>
          <w:szCs w:val="21"/>
        </w:rPr>
        <w:t>2）未采用人民币报价或者未按照谈判文件标明的币种报价；</w:t>
      </w:r>
    </w:p>
    <w:p>
      <w:pPr>
        <w:spacing w:line="360" w:lineRule="auto"/>
        <w:ind w:firstLine="420" w:firstLineChars="200"/>
        <w:rPr>
          <w:rFonts w:hint="eastAsia"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pPr>
        <w:spacing w:line="360" w:lineRule="auto"/>
        <w:ind w:firstLine="420" w:firstLineChars="200"/>
        <w:rPr>
          <w:rFonts w:hint="eastAsia" w:ascii="宋体" w:hAnsi="宋体" w:cs="宋体"/>
          <w:szCs w:val="21"/>
        </w:rPr>
      </w:pPr>
      <w:r>
        <w:rPr>
          <w:rFonts w:hint="eastAsia" w:ascii="宋体" w:hAnsi="宋体" w:cs="宋体"/>
          <w:szCs w:val="21"/>
        </w:rPr>
        <w:t>4）响应报价（包含首次报价、最后报价）超过所竞标分标规定的采购预算金额或者最高限价的（如本项目公布了最高限价）；</w:t>
      </w:r>
      <w:bookmarkStart w:id="78" w:name="_Hlk42596405"/>
      <w:r>
        <w:rPr>
          <w:rFonts w:hint="eastAsia" w:ascii="宋体" w:hAnsi="宋体" w:cs="宋体"/>
          <w:szCs w:val="21"/>
        </w:rPr>
        <w:t>响应报价（包含首次报价、最后报价）</w:t>
      </w:r>
      <w:bookmarkEnd w:id="78"/>
      <w:bookmarkStart w:id="79" w:name="_Hlk42596276"/>
      <w:r>
        <w:rPr>
          <w:rFonts w:hint="eastAsia" w:ascii="宋体" w:hAnsi="宋体" w:cs="宋体"/>
          <w:szCs w:val="21"/>
        </w:rPr>
        <w:t>超过谈判文件分项采购预算金额或者最高限价的</w:t>
      </w:r>
      <w:bookmarkEnd w:id="79"/>
      <w:r>
        <w:rPr>
          <w:rFonts w:hint="eastAsia" w:ascii="宋体" w:hAnsi="宋体" w:cs="宋体"/>
          <w:szCs w:val="21"/>
        </w:rPr>
        <w:t>（如本项目公布了最高限价）；</w:t>
      </w:r>
    </w:p>
    <w:p>
      <w:pPr>
        <w:spacing w:line="360" w:lineRule="auto"/>
        <w:ind w:firstLine="420" w:firstLineChars="200"/>
        <w:rPr>
          <w:rFonts w:hint="eastAsia" w:ascii="宋体" w:hAnsi="宋体" w:cs="宋体"/>
          <w:szCs w:val="21"/>
        </w:rPr>
      </w:pPr>
      <w:r>
        <w:rPr>
          <w:rFonts w:hint="eastAsia" w:ascii="宋体" w:hAnsi="宋体" w:cs="宋体"/>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谈判文件分项采购预算金额或者最高限价的（如本项目公布了最高限价）。</w:t>
      </w:r>
    </w:p>
    <w:p>
      <w:pPr>
        <w:spacing w:line="360" w:lineRule="auto"/>
        <w:ind w:firstLine="420" w:firstLineChars="200"/>
        <w:rPr>
          <w:rFonts w:hint="eastAsia"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响应文件响应的标的数量及单位与竞争性谈判采购文件要求实质性不一致的。</w:t>
      </w:r>
    </w:p>
    <w:p>
      <w:pPr>
        <w:spacing w:line="360" w:lineRule="auto"/>
        <w:ind w:firstLine="420" w:firstLineChars="200"/>
        <w:rPr>
          <w:rFonts w:hint="eastAsia" w:ascii="宋体" w:hAnsi="宋体" w:cs="宋体"/>
          <w:color w:val="000000"/>
          <w:szCs w:val="21"/>
          <w:highlight w:val="none"/>
        </w:rPr>
      </w:pPr>
      <w:r>
        <w:rPr>
          <w:rFonts w:ascii="宋体" w:hAnsi="宋体" w:cs="宋体"/>
          <w:color w:val="000000"/>
          <w:szCs w:val="21"/>
        </w:rPr>
        <w:t>3</w:t>
      </w:r>
      <w:r>
        <w:rPr>
          <w:rFonts w:hint="eastAsia" w:ascii="宋体" w:hAnsi="宋体" w:cs="宋体"/>
          <w:color w:val="000000"/>
          <w:szCs w:val="21"/>
        </w:rPr>
        <w:t>.6谈判小组对响应文件进行评审，未实质性响应谈判文件的响</w:t>
      </w:r>
      <w:r>
        <w:rPr>
          <w:rFonts w:hint="eastAsia" w:ascii="宋体" w:hAnsi="宋体" w:cs="宋体"/>
          <w:color w:val="000000"/>
          <w:szCs w:val="21"/>
          <w:highlight w:val="none"/>
        </w:rPr>
        <w:t>应文件按无效处理。谈判小组应当将资格和符合性不通过的情况告知有关供应商。谈判小组从符合谈判文件规定的相应资格条件的供应商名单中确定不少于3家的供应商参加谈判。</w:t>
      </w:r>
    </w:p>
    <w:p>
      <w:pPr>
        <w:spacing w:line="360" w:lineRule="auto"/>
        <w:ind w:firstLine="420" w:firstLineChars="200"/>
        <w:rPr>
          <w:rFonts w:hint="eastAsia" w:ascii="宋体" w:hAnsi="宋体" w:cs="宋体"/>
          <w:color w:val="000000"/>
          <w:szCs w:val="21"/>
          <w:highlight w:val="none"/>
        </w:rPr>
      </w:pPr>
      <w:r>
        <w:rPr>
          <w:rFonts w:ascii="宋体" w:hAnsi="宋体" w:cs="宋体"/>
          <w:color w:val="000000"/>
          <w:szCs w:val="21"/>
          <w:highlight w:val="none"/>
        </w:rPr>
        <w:t>3</w:t>
      </w:r>
      <w:r>
        <w:rPr>
          <w:rFonts w:hint="eastAsia" w:ascii="宋体" w:hAnsi="宋体" w:cs="宋体"/>
          <w:color w:val="000000"/>
          <w:szCs w:val="21"/>
          <w:highlight w:val="none"/>
        </w:rPr>
        <w:t>.7通过符合性审查的合格供应商不足3家的，不得进入谈判环节，应当重新开展采购活动。</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4.谈判程序</w:t>
      </w:r>
    </w:p>
    <w:p>
      <w:pPr>
        <w:spacing w:line="360" w:lineRule="auto"/>
        <w:ind w:firstLine="420" w:firstLineChars="200"/>
        <w:rPr>
          <w:rFonts w:hint="eastAsia" w:ascii="宋体" w:hAnsi="宋体" w:cs="宋体"/>
          <w:b/>
          <w:kern w:val="0"/>
          <w:szCs w:val="21"/>
        </w:rPr>
      </w:pPr>
      <w:r>
        <w:rPr>
          <w:rFonts w:hint="eastAsia" w:ascii="宋体" w:hAnsi="宋体" w:cs="宋体"/>
          <w:kern w:val="0"/>
          <w:szCs w:val="21"/>
        </w:rPr>
        <w:t>4</w:t>
      </w:r>
      <w:r>
        <w:rPr>
          <w:rFonts w:ascii="宋体" w:hAnsi="宋体" w:cs="宋体"/>
          <w:kern w:val="0"/>
          <w:szCs w:val="21"/>
        </w:rPr>
        <w:t>.1</w:t>
      </w:r>
      <w:r>
        <w:rPr>
          <w:rFonts w:hint="eastAsia" w:ascii="宋体" w:hAnsi="宋体" w:cs="宋体"/>
          <w:kern w:val="0"/>
          <w:szCs w:val="21"/>
        </w:rPr>
        <w:t>谈判小组按照“供应商须知前附表”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cs="宋体"/>
          <w:b/>
          <w:szCs w:val="21"/>
        </w:rPr>
        <w:t>其响应文件按无效响应处理。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.2</w:t>
      </w:r>
      <w:r>
        <w:rPr>
          <w:rFonts w:hint="eastAsia" w:ascii="宋体" w:hAnsi="宋体" w:cs="宋体"/>
          <w:szCs w:val="21"/>
        </w:rPr>
        <w:t>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.3</w:t>
      </w:r>
      <w:r>
        <w:rPr>
          <w:rFonts w:hint="eastAsia" w:ascii="宋体" w:hAnsi="宋体" w:cs="宋体"/>
          <w:szCs w:val="21"/>
        </w:rPr>
        <w:t>对谈判文件作出的实质性变动是谈判文件的有效组成部分，由谈判小组及时以电子澄清函形式同时通知所有参加谈判的供应商。</w:t>
      </w:r>
    </w:p>
    <w:p>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.4</w:t>
      </w:r>
      <w:r>
        <w:rPr>
          <w:rFonts w:hint="eastAsia" w:ascii="宋体" w:hAnsi="宋体" w:cs="宋体"/>
          <w:szCs w:val="21"/>
        </w:rPr>
        <w:t>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.5</w:t>
      </w:r>
      <w:r>
        <w:rPr>
          <w:rFonts w:hint="eastAsia" w:ascii="宋体" w:hAnsi="宋体" w:cs="宋体"/>
          <w:szCs w:val="21"/>
        </w:rPr>
        <w:t>谈判中，</w:t>
      </w:r>
      <w:r>
        <w:rPr>
          <w:rFonts w:hint="eastAsia" w:ascii="宋体" w:hAnsi="宋体" w:cs="宋体"/>
          <w:spacing w:val="-6"/>
          <w:szCs w:val="21"/>
        </w:rPr>
        <w:t>谈判的任何一方不得透露与谈判有关的其他供应商的技术资料、价格和其他信息。</w:t>
      </w:r>
    </w:p>
    <w:p>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4</w:t>
      </w:r>
      <w:r>
        <w:rPr>
          <w:rFonts w:ascii="宋体" w:hAnsi="宋体" w:cs="宋体"/>
          <w:szCs w:val="21"/>
        </w:rPr>
        <w:t>.6</w:t>
      </w:r>
      <w:r>
        <w:rPr>
          <w:rFonts w:hint="eastAsia" w:ascii="宋体" w:hAnsi="宋体" w:cs="宋体"/>
          <w:szCs w:val="21"/>
        </w:rPr>
        <w:t>谈判小组应对谈判过程和重要谈判内容进行记录，作为评标报告一部分，谈判小组在记录上签字确认。</w:t>
      </w:r>
      <w:r>
        <w:rPr>
          <w:rFonts w:hint="eastAsia" w:ascii="仿宋" w:hAnsi="仿宋" w:eastAsia="仿宋" w:cs="仿宋_GB2312"/>
          <w:b/>
        </w:rPr>
        <w:t>主要内容包括：</w:t>
      </w:r>
    </w:p>
    <w:p>
      <w:pPr>
        <w:pStyle w:val="29"/>
        <w:spacing w:before="0"/>
        <w:ind w:firstLine="396"/>
        <w:rPr>
          <w:rFonts w:ascii="宋体" w:hAnsi="宋体" w:cs="宋体"/>
          <w:spacing w:val="-6"/>
          <w:kern w:val="2"/>
          <w:sz w:val="21"/>
          <w:szCs w:val="21"/>
        </w:rPr>
      </w:pPr>
      <w:r>
        <w:rPr>
          <w:rFonts w:hint="eastAsia" w:ascii="宋体" w:hAnsi="宋体" w:cs="宋体"/>
          <w:spacing w:val="-6"/>
          <w:kern w:val="2"/>
          <w:sz w:val="21"/>
          <w:szCs w:val="21"/>
        </w:rPr>
        <w:t>（1）按照相关规定进行公示的，公示情况说明；</w:t>
      </w:r>
    </w:p>
    <w:p>
      <w:pPr>
        <w:pStyle w:val="29"/>
        <w:spacing w:before="0"/>
        <w:ind w:firstLine="396"/>
        <w:rPr>
          <w:rFonts w:ascii="宋体" w:hAnsi="宋体" w:cs="宋体"/>
          <w:spacing w:val="-6"/>
          <w:kern w:val="2"/>
          <w:sz w:val="21"/>
          <w:szCs w:val="21"/>
        </w:rPr>
      </w:pPr>
      <w:r>
        <w:rPr>
          <w:rFonts w:hint="eastAsia" w:ascii="宋体" w:hAnsi="宋体" w:cs="宋体"/>
          <w:spacing w:val="-6"/>
          <w:kern w:val="2"/>
          <w:sz w:val="21"/>
          <w:szCs w:val="21"/>
        </w:rPr>
        <w:t>（2）谈判日期和地点，谈判人员名单；</w:t>
      </w:r>
    </w:p>
    <w:p>
      <w:pPr>
        <w:pStyle w:val="29"/>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（3）合同主要条款及价格商定情况。</w:t>
      </w:r>
    </w:p>
    <w:p>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4</w:t>
      </w:r>
      <w:r>
        <w:rPr>
          <w:rFonts w:ascii="宋体" w:hAnsi="宋体" w:cs="宋体"/>
          <w:szCs w:val="21"/>
        </w:rPr>
        <w:t>.7</w:t>
      </w:r>
      <w:r>
        <w:rPr>
          <w:rFonts w:hint="eastAsia" w:ascii="宋体" w:hAnsi="宋体" w:cs="宋体"/>
          <w:szCs w:val="21"/>
        </w:rPr>
        <w:t>谈判过程中重新提交的响应文件，供应商可以在开启前补充、修改。</w:t>
      </w:r>
    </w:p>
    <w:p>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.8</w:t>
      </w:r>
      <w:r>
        <w:rPr>
          <w:rFonts w:hint="eastAsia" w:ascii="宋体" w:hAnsi="宋体"/>
          <w:szCs w:val="21"/>
        </w:rPr>
        <w:t>对谈判过程提交的响应文件进行有效性、完整性和响应程度审查，通过审查的合格供应商不足3家的，采购人或者采购代理机构应当重新开展采购活动。</w:t>
      </w:r>
    </w:p>
    <w:p>
      <w:pPr>
        <w:spacing w:line="360" w:lineRule="auto"/>
        <w:ind w:firstLine="482" w:firstLineChars="200"/>
        <w:rPr>
          <w:rFonts w:ascii="宋体" w:hAnsi="宋体" w:cs="宋体"/>
          <w:szCs w:val="21"/>
        </w:rPr>
      </w:pPr>
      <w:r>
        <w:rPr>
          <w:rFonts w:hint="eastAsia" w:ascii="黑体" w:hAnsi="黑体" w:eastAsia="黑体" w:cs="宋体"/>
          <w:b/>
          <w:bCs/>
          <w:sz w:val="24"/>
        </w:rPr>
        <w:t>5</w:t>
      </w:r>
      <w:r>
        <w:rPr>
          <w:rFonts w:ascii="黑体" w:hAnsi="黑体" w:eastAsia="黑体" w:cs="宋体"/>
          <w:b/>
          <w:bCs/>
          <w:sz w:val="24"/>
        </w:rPr>
        <w:t>.</w:t>
      </w:r>
      <w:r>
        <w:rPr>
          <w:rFonts w:hint="eastAsia" w:ascii="黑体" w:hAnsi="黑体" w:eastAsia="黑体" w:cs="宋体"/>
          <w:b/>
          <w:bCs/>
          <w:sz w:val="24"/>
        </w:rPr>
        <w:t xml:space="preserve"> 最后报价</w:t>
      </w:r>
    </w:p>
    <w:p>
      <w:pPr>
        <w:spacing w:line="360" w:lineRule="auto"/>
        <w:ind w:firstLine="420" w:firstLineChars="200"/>
        <w:rPr>
          <w:rFonts w:ascii="宋体" w:hAnsi="宋体" w:cs="宋体"/>
          <w:szCs w:val="21"/>
        </w:rPr>
      </w:pPr>
      <w:r>
        <w:rPr>
          <w:rFonts w:hint="eastAsia" w:ascii="宋体" w:hAnsi="宋体" w:cs="宋体"/>
          <w:szCs w:val="21"/>
        </w:rPr>
        <w:t>5</w:t>
      </w:r>
      <w:r>
        <w:rPr>
          <w:rFonts w:ascii="宋体" w:hAnsi="宋体" w:cs="宋体"/>
          <w:szCs w:val="21"/>
        </w:rPr>
        <w:t>.1</w:t>
      </w:r>
      <w:r>
        <w:rPr>
          <w:rFonts w:hint="eastAsia" w:ascii="宋体" w:hAnsi="宋体" w:cs="宋体"/>
          <w:szCs w:val="21"/>
        </w:rPr>
        <w:t>谈判文件能够详细列明采购标的的技术、货物要求的，谈判结束后，由谈判小组要求所有继续参加谈判的供应商在规定时间内密封提交最后报价，提交最后报价的供应商不得少于3家，否则必须重新采购。</w:t>
      </w:r>
    </w:p>
    <w:p>
      <w:pPr>
        <w:spacing w:line="360" w:lineRule="auto"/>
        <w:ind w:firstLine="420" w:firstLineChars="200"/>
        <w:rPr>
          <w:rFonts w:ascii="宋体" w:hAnsi="宋体" w:cs="宋体"/>
          <w:szCs w:val="21"/>
        </w:rPr>
      </w:pPr>
      <w:r>
        <w:rPr>
          <w:rFonts w:hint="eastAsia" w:ascii="宋体" w:hAnsi="宋体" w:cs="宋体"/>
          <w:szCs w:val="21"/>
        </w:rPr>
        <w:t>5</w:t>
      </w:r>
      <w:r>
        <w:rPr>
          <w:rFonts w:ascii="宋体" w:hAnsi="宋体" w:cs="宋体"/>
          <w:szCs w:val="21"/>
        </w:rPr>
        <w:t>.2</w:t>
      </w:r>
      <w:r>
        <w:rPr>
          <w:rFonts w:hint="eastAsia" w:ascii="宋体" w:hAnsi="宋体" w:cs="宋体"/>
          <w:szCs w:val="21"/>
        </w:rPr>
        <w:t>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政采云”平台远程不见面开标大厅响应最后报价。</w:t>
      </w:r>
    </w:p>
    <w:p>
      <w:pPr>
        <w:spacing w:line="360" w:lineRule="auto"/>
        <w:ind w:firstLine="420" w:firstLineChars="200"/>
        <w:rPr>
          <w:rFonts w:hint="eastAsia" w:ascii="宋体" w:hAnsi="宋体" w:cs="宋体"/>
          <w:szCs w:val="21"/>
        </w:rPr>
      </w:pPr>
      <w:r>
        <w:rPr>
          <w:rFonts w:hint="eastAsia" w:ascii="宋体" w:hAnsi="宋体" w:cs="宋体"/>
          <w:szCs w:val="21"/>
        </w:rPr>
        <w:t>5</w:t>
      </w:r>
      <w:r>
        <w:rPr>
          <w:rFonts w:ascii="宋体" w:hAnsi="宋体" w:cs="宋体"/>
          <w:szCs w:val="21"/>
        </w:rPr>
        <w:t>.3</w:t>
      </w:r>
      <w:r>
        <w:rPr>
          <w:rFonts w:hint="eastAsia" w:ascii="宋体" w:hAnsi="宋体" w:cs="宋体"/>
          <w:szCs w:val="21"/>
        </w:rPr>
        <w:t xml:space="preserve"> 最后报价是供应商响应文件的有效组成部分。</w:t>
      </w:r>
    </w:p>
    <w:p>
      <w:pPr>
        <w:spacing w:line="360" w:lineRule="auto"/>
        <w:ind w:firstLine="420" w:firstLineChars="200"/>
        <w:rPr>
          <w:rFonts w:hint="eastAsia" w:ascii="宋体" w:hAnsi="宋体" w:cs="宋体"/>
          <w:szCs w:val="21"/>
        </w:rPr>
      </w:pPr>
      <w:r>
        <w:rPr>
          <w:rFonts w:hint="eastAsia" w:ascii="宋体" w:hAnsi="宋体" w:cs="宋体"/>
          <w:szCs w:val="21"/>
        </w:rPr>
        <w:t>5</w:t>
      </w:r>
      <w:r>
        <w:rPr>
          <w:rFonts w:ascii="宋体" w:hAnsi="宋体" w:cs="宋体"/>
          <w:szCs w:val="21"/>
        </w:rPr>
        <w:t>.4</w:t>
      </w:r>
      <w:r>
        <w:rPr>
          <w:rFonts w:hint="eastAsia" w:ascii="宋体" w:hAnsi="宋体" w:cs="宋体"/>
          <w:szCs w:val="21"/>
        </w:rPr>
        <w:t>已经提交响应文件的供应商，在提交最后报价之前，可以根据谈判情况退出谈判，退出谈判的供应商的响应文件按无效响应处理。</w:t>
      </w:r>
    </w:p>
    <w:p>
      <w:pPr>
        <w:spacing w:line="360" w:lineRule="auto"/>
        <w:ind w:firstLine="420" w:firstLineChars="200"/>
        <w:rPr>
          <w:rFonts w:ascii="宋体" w:hAnsi="宋体" w:cs="宋体"/>
          <w:szCs w:val="21"/>
        </w:rPr>
      </w:pPr>
      <w:r>
        <w:rPr>
          <w:rFonts w:hint="eastAsia" w:ascii="宋体" w:hAnsi="宋体" w:cs="宋体"/>
          <w:szCs w:val="21"/>
        </w:rPr>
        <w:t>5</w:t>
      </w:r>
      <w:r>
        <w:rPr>
          <w:rFonts w:ascii="宋体" w:hAnsi="宋体" w:cs="宋体"/>
          <w:szCs w:val="21"/>
        </w:rPr>
        <w:t>.5</w:t>
      </w:r>
      <w:r>
        <w:rPr>
          <w:rFonts w:hint="eastAsia" w:ascii="宋体" w:hAnsi="宋体" w:cs="宋体"/>
          <w:szCs w:val="21"/>
        </w:rPr>
        <w:t>供应商未在规定时间内提交最后报价的</w:t>
      </w:r>
      <w:r>
        <w:rPr>
          <w:rFonts w:hint="eastAsia" w:ascii="宋体" w:hAnsi="宋体" w:cs="宋体"/>
          <w:b/>
          <w:szCs w:val="21"/>
        </w:rPr>
        <w:t>，视同放弃报价权利退出谈判。</w:t>
      </w:r>
    </w:p>
    <w:p>
      <w:pPr>
        <w:spacing w:line="360" w:lineRule="auto"/>
        <w:ind w:firstLine="420" w:firstLineChars="200"/>
        <w:rPr>
          <w:rFonts w:hint="eastAsia"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6最终响应文件的报价出现前后不一致的，按照本章第3</w:t>
      </w:r>
      <w:r>
        <w:rPr>
          <w:rFonts w:ascii="宋体" w:hAnsi="宋体" w:cs="宋体"/>
          <w:szCs w:val="21"/>
        </w:rPr>
        <w:t>.4</w:t>
      </w:r>
      <w:r>
        <w:rPr>
          <w:rFonts w:hint="eastAsia" w:ascii="宋体" w:hAnsi="宋体" w:cs="宋体"/>
          <w:szCs w:val="21"/>
        </w:rPr>
        <w:t xml:space="preserve">条的规定修正。 </w:t>
      </w:r>
    </w:p>
    <w:p>
      <w:pPr>
        <w:spacing w:line="360" w:lineRule="auto"/>
        <w:ind w:firstLine="420" w:firstLineChars="200"/>
        <w:rPr>
          <w:rFonts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7修正后的最终报价出现下列情形的，按无效响应处理：</w:t>
      </w:r>
    </w:p>
    <w:p>
      <w:pPr>
        <w:spacing w:line="360" w:lineRule="auto"/>
        <w:ind w:firstLine="420" w:firstLineChars="200"/>
        <w:rPr>
          <w:rFonts w:ascii="宋体" w:hAnsi="宋体" w:cs="宋体"/>
          <w:szCs w:val="21"/>
        </w:rPr>
      </w:pPr>
      <w:r>
        <w:rPr>
          <w:rFonts w:hint="eastAsia" w:ascii="宋体" w:hAnsi="宋体" w:cs="宋体"/>
          <w:szCs w:val="21"/>
        </w:rPr>
        <w:t>（1）供应商不确认的（全流程电子化评标采取在线确认）；</w:t>
      </w:r>
    </w:p>
    <w:p>
      <w:pPr>
        <w:spacing w:line="360" w:lineRule="auto"/>
        <w:ind w:firstLine="420" w:firstLineChars="200"/>
        <w:rPr>
          <w:rFonts w:ascii="宋体" w:hAnsi="宋体" w:cs="宋体"/>
          <w:szCs w:val="21"/>
        </w:rPr>
      </w:pPr>
      <w:r>
        <w:rPr>
          <w:rFonts w:hint="eastAsia" w:ascii="宋体" w:hAnsi="宋体" w:cs="宋体"/>
          <w:szCs w:val="21"/>
        </w:rPr>
        <w:t>（2）经供应商确认修正后的响应报价（包含首次报价、最后报价）超过所竞标分标规定的采购预算金额或者最高限价的（如本项目公布了最高限价）（全流程电子化评标多轮报价设置了上线控制价，即预算价）；</w:t>
      </w:r>
    </w:p>
    <w:p>
      <w:pPr>
        <w:spacing w:line="360" w:lineRule="auto"/>
        <w:ind w:firstLine="420" w:firstLineChars="200"/>
        <w:rPr>
          <w:rFonts w:ascii="宋体" w:hAnsi="宋体" w:cs="宋体"/>
          <w:szCs w:val="21"/>
        </w:rPr>
      </w:pPr>
      <w:r>
        <w:rPr>
          <w:rFonts w:hint="eastAsia" w:ascii="宋体" w:hAnsi="宋体" w:cs="宋体"/>
          <w:szCs w:val="21"/>
        </w:rPr>
        <w:t>（3）经供应商确认修正后的响应报价（包含首次报价、最后报价）超过分项采购预算金额或者最高限价的（如本项目公布了最高限价）。</w:t>
      </w:r>
    </w:p>
    <w:p>
      <w:pPr>
        <w:spacing w:line="360" w:lineRule="auto"/>
        <w:ind w:firstLine="420" w:firstLineChars="200"/>
        <w:rPr>
          <w:rFonts w:hint="eastAsia"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8经供应商确认修正后的最后报价作为评审及签订合同的依据。</w:t>
      </w:r>
    </w:p>
    <w:p>
      <w:pPr>
        <w:spacing w:line="360" w:lineRule="auto"/>
        <w:ind w:firstLine="420" w:firstLineChars="200"/>
        <w:rPr>
          <w:rFonts w:ascii="宋体" w:hAnsi="宋体" w:cs="宋体"/>
          <w:szCs w:val="21"/>
        </w:rPr>
      </w:pPr>
      <w:r>
        <w:rPr>
          <w:rFonts w:hint="eastAsia" w:ascii="宋体" w:hAnsi="宋体" w:cs="宋体"/>
          <w:szCs w:val="21"/>
        </w:rPr>
        <w:t>5.9供应商出现最后报价按无效响应处理或者响应文件按无效处理时</w:t>
      </w:r>
      <w:r>
        <w:rPr>
          <w:rFonts w:hint="eastAsia" w:ascii="宋体" w:hAnsi="宋体"/>
          <w:sz w:val="22"/>
          <w:szCs w:val="22"/>
        </w:rPr>
        <w:t>，谈判小组应当告知有关供应商</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ascii="宋体" w:hAnsi="宋体" w:cs="宋体"/>
          <w:szCs w:val="21"/>
        </w:rPr>
        <w:t>5.</w:t>
      </w:r>
      <w:r>
        <w:rPr>
          <w:rFonts w:hint="eastAsia" w:ascii="宋体" w:hAnsi="宋体" w:cs="宋体"/>
          <w:szCs w:val="21"/>
        </w:rPr>
        <w:t>10最后报价结束后，谈判小组不得再与供应商进行任何形式的商谈。</w:t>
      </w:r>
    </w:p>
    <w:p>
      <w:pPr>
        <w:spacing w:line="360" w:lineRule="auto"/>
        <w:ind w:firstLine="482" w:firstLineChars="200"/>
        <w:rPr>
          <w:rFonts w:ascii="黑体" w:hAnsi="黑体" w:eastAsia="黑体" w:cs="宋体"/>
          <w:b/>
          <w:bCs/>
          <w:sz w:val="24"/>
        </w:rPr>
      </w:pPr>
      <w:r>
        <w:rPr>
          <w:rFonts w:ascii="黑体" w:hAnsi="黑体" w:eastAsia="黑体" w:cs="宋体"/>
          <w:b/>
          <w:bCs/>
          <w:sz w:val="24"/>
        </w:rPr>
        <w:t>6.</w:t>
      </w:r>
      <w:r>
        <w:rPr>
          <w:rFonts w:hint="eastAsia" w:ascii="黑体" w:hAnsi="黑体" w:eastAsia="黑体" w:cs="宋体"/>
          <w:b/>
          <w:bCs/>
          <w:sz w:val="24"/>
        </w:rPr>
        <w:t xml:space="preserve"> 最后报价政府采购政策性扣除</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w:t>
      </w:r>
      <w:r>
        <w:rPr>
          <w:rFonts w:ascii="宋体" w:hAnsi="宋体" w:cs="宋体"/>
          <w:color w:val="000000"/>
          <w:szCs w:val="21"/>
        </w:rPr>
        <w:t>.1</w:t>
      </w:r>
      <w:r>
        <w:rPr>
          <w:rFonts w:hint="eastAsia" w:ascii="宋体" w:hAnsi="宋体" w:cs="宋体"/>
          <w:color w:val="000000"/>
          <w:szCs w:val="21"/>
        </w:rPr>
        <w:t>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hint="eastAsia" w:ascii="宋体" w:hAnsi="宋体" w:cs="宋体"/>
          <w:color w:val="000000"/>
        </w:rPr>
      </w:pPr>
      <w:r>
        <w:rPr>
          <w:rFonts w:ascii="宋体" w:hAnsi="宋体" w:cs="宋体"/>
          <w:color w:val="000000"/>
          <w:szCs w:val="21"/>
        </w:rPr>
        <w:t>6.2</w:t>
      </w:r>
      <w:r>
        <w:rPr>
          <w:rFonts w:hint="eastAsia" w:ascii="宋体" w:hAnsi="宋体" w:cs="宋体"/>
          <w:color w:val="000000"/>
        </w:rPr>
        <w:t>政策性扣除计算方法。</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szCs w:val="21"/>
          <w:highlight w:val="none"/>
        </w:rPr>
        <w:t>根据《政府采购促进中小企业发展管理办法》（财库〔2020〕46号）的规定，供应商在其响应文件中提供《中小企业声明函》，</w:t>
      </w:r>
      <w:r>
        <w:rPr>
          <w:rFonts w:hint="eastAsia" w:ascii="宋体" w:hAnsi="宋体"/>
          <w:bCs/>
          <w:color w:val="000000"/>
          <w:szCs w:val="21"/>
          <w:highlight w:val="none"/>
        </w:rPr>
        <w:t>且其竞标全部货物均由小微企业提供的</w:t>
      </w:r>
      <w:r>
        <w:rPr>
          <w:rFonts w:hint="eastAsia" w:ascii="宋体" w:hAnsi="宋体" w:cs="宋体"/>
          <w:color w:val="000000"/>
          <w:szCs w:val="21"/>
          <w:highlight w:val="none"/>
        </w:rPr>
        <w:t>，</w:t>
      </w:r>
      <w:r>
        <w:rPr>
          <w:rFonts w:hint="eastAsia" w:ascii="宋体" w:hAnsi="宋体"/>
          <w:bCs/>
          <w:color w:val="000000"/>
          <w:szCs w:val="21"/>
          <w:highlight w:val="none"/>
        </w:rPr>
        <w:t>对供应商的竞标报价给予10%的扣除，扣除后的价格为评审价，即评审价=竞标报价×（1-</w:t>
      </w:r>
      <w:r>
        <w:rPr>
          <w:rFonts w:ascii="宋体" w:hAnsi="宋体"/>
          <w:bCs/>
          <w:color w:val="000000"/>
          <w:szCs w:val="21"/>
          <w:highlight w:val="none"/>
        </w:rPr>
        <w:t>10</w:t>
      </w:r>
      <w:r>
        <w:rPr>
          <w:rFonts w:hint="eastAsia" w:ascii="宋体" w:hAnsi="宋体"/>
          <w:bCs/>
          <w:color w:val="000000"/>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color w:val="000000"/>
          <w:szCs w:val="21"/>
          <w:highlight w:val="none"/>
          <w:u w:val="single"/>
        </w:rPr>
        <w:t xml:space="preserve">    </w:t>
      </w:r>
      <w:r>
        <w:rPr>
          <w:rFonts w:hint="eastAsia" w:ascii="宋体" w:hAnsi="宋体"/>
          <w:bCs/>
          <w:color w:val="000000"/>
          <w:szCs w:val="21"/>
          <w:highlight w:val="none"/>
        </w:rPr>
        <w:t>（范围为2%-3%） 的扣除，用扣除后的价格参加评审，扣除后的价格为评审价，即评审价=竞标报价×（1-</w:t>
      </w:r>
      <w:r>
        <w:rPr>
          <w:rFonts w:ascii="宋体" w:hAnsi="宋体"/>
          <w:bCs/>
          <w:color w:val="000000"/>
          <w:szCs w:val="21"/>
          <w:highlight w:val="none"/>
          <w:u w:val="single"/>
        </w:rPr>
        <w:t xml:space="preserve">   </w:t>
      </w:r>
      <w:r>
        <w:rPr>
          <w:rFonts w:hint="eastAsia" w:ascii="宋体" w:hAnsi="宋体"/>
          <w:bCs/>
          <w:color w:val="000000"/>
          <w:szCs w:val="21"/>
          <w:highlight w:val="none"/>
        </w:rPr>
        <w:t>%）。</w:t>
      </w:r>
    </w:p>
    <w:p>
      <w:pPr>
        <w:spacing w:line="360" w:lineRule="auto"/>
        <w:ind w:firstLine="420" w:firstLineChars="200"/>
        <w:rPr>
          <w:rFonts w:hint="eastAsia" w:ascii="宋体" w:hAnsi="宋体" w:cs="宋体"/>
          <w:color w:val="000000"/>
          <w:szCs w:val="21"/>
        </w:rPr>
      </w:pPr>
      <w:r>
        <w:rPr>
          <w:rFonts w:ascii="宋体" w:hAnsi="宋体" w:cs="宋体"/>
          <w:color w:val="000000"/>
          <w:szCs w:val="21"/>
        </w:rPr>
        <w:t>6.3</w:t>
      </w:r>
      <w:r>
        <w:rPr>
          <w:rFonts w:hint="eastAsia" w:ascii="宋体" w:hAnsi="宋体" w:cs="宋体"/>
          <w:color w:val="000000"/>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20" w:firstLineChars="200"/>
        <w:rPr>
          <w:rFonts w:hint="eastAsia" w:ascii="宋体" w:hAnsi="宋体" w:cs="宋体"/>
          <w:color w:val="000000"/>
        </w:rPr>
      </w:pPr>
      <w:r>
        <w:rPr>
          <w:rFonts w:ascii="宋体" w:hAnsi="宋体" w:cs="宋体"/>
          <w:color w:val="000000"/>
          <w:szCs w:val="21"/>
        </w:rPr>
        <w:t>6.4</w:t>
      </w:r>
      <w:r>
        <w:rPr>
          <w:rFonts w:hint="eastAsia" w:ascii="宋体" w:hAnsi="宋体" w:cs="宋体"/>
          <w:color w:val="000000"/>
          <w:szCs w:val="21"/>
        </w:rPr>
        <w:t>按照《关于促进残疾人就业政府采购政策的通知》（财库〔2017〕141号）的规定，残疾人福利性单位视同小型、微型企业，享受预留份额、评审中价格扣除等</w:t>
      </w:r>
      <w:r>
        <w:rPr>
          <w:rFonts w:hint="eastAsia" w:ascii="宋体" w:hAnsi="宋体" w:cs="宋体"/>
          <w:color w:val="000000"/>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rPr>
          <w:rFonts w:hint="eastAsia" w:ascii="宋体" w:hAnsi="宋体" w:cs="宋体"/>
          <w:color w:val="000000"/>
        </w:rPr>
      </w:pPr>
      <w:r>
        <w:rPr>
          <w:rFonts w:ascii="宋体" w:hAnsi="宋体" w:cs="宋体"/>
          <w:color w:val="000000"/>
        </w:rPr>
        <w:t>6.</w:t>
      </w:r>
      <w:r>
        <w:rPr>
          <w:rFonts w:hint="eastAsia" w:ascii="宋体" w:hAnsi="宋体" w:cs="宋体"/>
          <w:color w:val="000000"/>
        </w:rPr>
        <w:t>5除上述情况外，评审价＝最后报价。</w:t>
      </w:r>
    </w:p>
    <w:p>
      <w:pPr>
        <w:pStyle w:val="4"/>
        <w:spacing w:before="0" w:after="0" w:line="360" w:lineRule="auto"/>
        <w:ind w:firstLine="640" w:firstLineChars="200"/>
        <w:jc w:val="center"/>
        <w:rPr>
          <w:rFonts w:ascii="宋体" w:hAnsi="宋体"/>
          <w:b w:val="0"/>
        </w:rPr>
      </w:pPr>
      <w:bookmarkStart w:id="80" w:name="_Toc80205934"/>
      <w:r>
        <w:rPr>
          <w:rFonts w:hint="eastAsia" w:ascii="宋体" w:hAnsi="宋体"/>
          <w:b w:val="0"/>
        </w:rPr>
        <w:t>第二节 评审原则</w:t>
      </w:r>
      <w:bookmarkEnd w:id="80"/>
    </w:p>
    <w:p>
      <w:pPr>
        <w:spacing w:line="360" w:lineRule="auto"/>
        <w:ind w:firstLine="480" w:firstLineChars="200"/>
        <w:jc w:val="left"/>
        <w:rPr>
          <w:rFonts w:hint="eastAsia" w:ascii="黑体" w:hAnsi="黑体" w:eastAsia="黑体" w:cs="宋体"/>
          <w:sz w:val="24"/>
          <w:szCs w:val="32"/>
        </w:rPr>
      </w:pPr>
      <w:r>
        <w:rPr>
          <w:rFonts w:hint="eastAsia" w:ascii="黑体" w:hAnsi="黑体" w:eastAsia="黑体" w:cs="宋体"/>
          <w:sz w:val="24"/>
          <w:szCs w:val="32"/>
        </w:rPr>
        <w:t>1.评审原则</w:t>
      </w:r>
    </w:p>
    <w:p>
      <w:pPr>
        <w:spacing w:line="360" w:lineRule="auto"/>
        <w:ind w:firstLine="420" w:firstLineChars="200"/>
        <w:jc w:val="left"/>
        <w:rPr>
          <w:rFonts w:ascii="宋体" w:hAnsi="宋体" w:cs="宋体"/>
          <w:color w:val="000000"/>
        </w:rPr>
      </w:pPr>
      <w:r>
        <w:rPr>
          <w:rFonts w:hint="eastAsia" w:ascii="宋体" w:hAnsi="宋体" w:cs="宋体"/>
          <w:color w:val="000000"/>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pPr>
        <w:spacing w:line="360" w:lineRule="auto"/>
        <w:ind w:firstLine="420" w:firstLineChars="200"/>
        <w:jc w:val="left"/>
        <w:rPr>
          <w:rFonts w:ascii="宋体" w:hAnsi="宋体" w:cs="宋体"/>
          <w:color w:val="000000"/>
        </w:rPr>
      </w:pPr>
      <w:r>
        <w:rPr>
          <w:rFonts w:hint="eastAsia" w:ascii="宋体" w:hAnsi="宋体" w:cs="宋体"/>
          <w:color w:val="000000"/>
        </w:rPr>
        <w:t>1.2根据</w:t>
      </w:r>
      <w:r>
        <w:rPr>
          <w:rFonts w:hint="eastAsia"/>
        </w:rPr>
        <w:t>《政府采购非招标采购方式管理办法》（财政部令第74号）第二十一条</w:t>
      </w:r>
      <w:r>
        <w:rPr>
          <w:rFonts w:hint="eastAsia" w:ascii="宋体" w:hAnsi="宋体" w:cs="宋体"/>
          <w:color w:val="000000"/>
        </w:rPr>
        <w:t>规定，评审结果汇总完成后，采购人、采购代理机构和谈判小组均不得修改评审结果或者要求重新评审，但资格性检查认定错误、分值汇总计算错误、分项评分超出评分标准范围、客观分评分不一致、经评审委员会一致认定评分畸高、畸低的情形除外。出现上述除外情形的，谈判小组应当现场修改评审结果，并在评审报告中明确记载。</w:t>
      </w:r>
      <w:bookmarkStart w:id="81" w:name="_Toc321836413"/>
      <w:bookmarkStart w:id="82" w:name="_Toc432194885"/>
      <w:bookmarkStart w:id="83" w:name="_Toc432106535"/>
    </w:p>
    <w:bookmarkEnd w:id="81"/>
    <w:bookmarkEnd w:id="82"/>
    <w:bookmarkEnd w:id="83"/>
    <w:p>
      <w:pPr>
        <w:spacing w:line="360" w:lineRule="auto"/>
        <w:ind w:firstLine="420" w:firstLineChars="200"/>
        <w:rPr>
          <w:rFonts w:hint="eastAsia" w:ascii="宋体" w:hAnsi="宋体" w:cs="宋体"/>
          <w:color w:val="000000"/>
        </w:rPr>
      </w:pPr>
      <w:r>
        <w:rPr>
          <w:rFonts w:hint="eastAsia" w:ascii="宋体" w:hAnsi="宋体" w:cs="宋体"/>
          <w:color w:val="000000"/>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2.终止竞争性谈判采购活动</w:t>
      </w:r>
    </w:p>
    <w:p>
      <w:pPr>
        <w:spacing w:line="360" w:lineRule="auto"/>
        <w:ind w:firstLine="420" w:firstLineChars="200"/>
        <w:jc w:val="left"/>
        <w:rPr>
          <w:rFonts w:ascii="宋体" w:hAnsi="宋体" w:cs="宋体"/>
          <w:color w:val="000000"/>
        </w:rPr>
      </w:pPr>
      <w:r>
        <w:rPr>
          <w:rFonts w:hint="eastAsia" w:ascii="宋体" w:hAnsi="宋体" w:cs="宋体"/>
          <w:color w:val="000000"/>
        </w:rPr>
        <w:t>出现下列情形之一的，采购人或者采购代理机构应当终止竞争性谈判采购活动，发布项目终止公告并说明原因，重新开展采购活动：</w:t>
      </w:r>
    </w:p>
    <w:p>
      <w:pPr>
        <w:spacing w:line="360" w:lineRule="auto"/>
        <w:ind w:firstLine="420" w:firstLineChars="200"/>
        <w:jc w:val="left"/>
        <w:rPr>
          <w:rFonts w:ascii="宋体" w:hAnsi="宋体" w:cs="宋体"/>
          <w:color w:val="000000"/>
        </w:rPr>
      </w:pPr>
      <w:r>
        <w:rPr>
          <w:rFonts w:hint="eastAsia" w:ascii="宋体" w:hAnsi="宋体" w:cs="宋体"/>
          <w:color w:val="000000"/>
        </w:rPr>
        <w:t xml:space="preserve">（1）因情况变化，不再符合规定的竞争性谈判采购方式适用情形的； </w:t>
      </w:r>
    </w:p>
    <w:p>
      <w:pPr>
        <w:spacing w:line="360" w:lineRule="auto"/>
        <w:ind w:firstLine="420" w:firstLineChars="200"/>
        <w:jc w:val="left"/>
        <w:rPr>
          <w:rFonts w:ascii="宋体" w:hAnsi="宋体" w:cs="宋体"/>
          <w:color w:val="000000"/>
        </w:rPr>
      </w:pPr>
      <w:r>
        <w:rPr>
          <w:rFonts w:hint="eastAsia" w:ascii="宋体" w:hAnsi="宋体" w:cs="宋体"/>
          <w:color w:val="000000"/>
        </w:rPr>
        <w:t>（2）出现影响采购公正的违法、违规行为的；</w:t>
      </w:r>
    </w:p>
    <w:p>
      <w:pPr>
        <w:spacing w:line="360" w:lineRule="auto"/>
        <w:ind w:firstLine="420" w:firstLineChars="200"/>
        <w:jc w:val="left"/>
        <w:rPr>
          <w:rFonts w:hint="eastAsia" w:ascii="宋体" w:hAnsi="宋体" w:cs="宋体"/>
          <w:color w:val="000000"/>
        </w:rPr>
      </w:pPr>
      <w:r>
        <w:rPr>
          <w:rFonts w:hint="eastAsia" w:ascii="宋体" w:hAnsi="宋体" w:cs="宋体"/>
          <w:color w:val="000000"/>
        </w:rPr>
        <w:t>（3）在采购过程中符合竞争要求的供应商或者报价未超过采购预算的供应商不足3家的，但《政府采购非招标采购方式管理办法》第二十七条第二款规定的情形除外。</w:t>
      </w:r>
    </w:p>
    <w:p>
      <w:pPr>
        <w:pStyle w:val="4"/>
        <w:spacing w:before="0" w:after="0" w:line="360" w:lineRule="auto"/>
        <w:ind w:firstLine="640" w:firstLineChars="200"/>
        <w:jc w:val="center"/>
        <w:rPr>
          <w:rFonts w:hint="eastAsia" w:ascii="宋体" w:hAnsi="宋体"/>
          <w:b w:val="0"/>
        </w:rPr>
      </w:pPr>
      <w:bookmarkStart w:id="84" w:name="_Toc80205935"/>
      <w:r>
        <w:rPr>
          <w:rFonts w:hint="eastAsia" w:ascii="宋体" w:hAnsi="宋体"/>
          <w:b w:val="0"/>
        </w:rPr>
        <w:t>第三节 评标报告</w:t>
      </w:r>
      <w:bookmarkEnd w:id="84"/>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1.成交标准</w:t>
      </w:r>
    </w:p>
    <w:p>
      <w:pPr>
        <w:spacing w:line="360" w:lineRule="auto"/>
        <w:ind w:firstLine="420" w:firstLineChars="200"/>
        <w:rPr>
          <w:rFonts w:hint="eastAsia" w:ascii="宋体" w:hAnsi="宋体" w:cs="宋体"/>
          <w:sz w:val="24"/>
        </w:rPr>
      </w:pPr>
      <w:r>
        <w:rPr>
          <w:rFonts w:hint="eastAsia" w:ascii="宋体" w:hAnsi="宋体" w:cs="宋体"/>
          <w:color w:val="000000"/>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hAnsi="宋体" w:cs="宋体"/>
          <w:color w:val="000000"/>
        </w:rPr>
        <w:t>6</w:t>
      </w:r>
      <w:r>
        <w:rPr>
          <w:rFonts w:hint="eastAsia" w:ascii="宋体" w:hAnsi="宋体" w:cs="宋体"/>
          <w:color w:val="000000"/>
        </w:rPr>
        <w:t>.2条规定的顺序推荐）,并在线编写电子评审报告。</w:t>
      </w:r>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2.评标争议</w:t>
      </w:r>
      <w:r>
        <w:rPr>
          <w:rFonts w:ascii="黑体" w:hAnsi="黑体" w:eastAsia="黑体" w:cs="宋体"/>
          <w:sz w:val="24"/>
          <w:szCs w:val="32"/>
        </w:rPr>
        <w:t>事项</w:t>
      </w:r>
      <w:r>
        <w:rPr>
          <w:rFonts w:hint="eastAsia" w:ascii="黑体" w:hAnsi="黑体" w:eastAsia="黑体" w:cs="宋体"/>
          <w:sz w:val="24"/>
          <w:szCs w:val="32"/>
        </w:rPr>
        <w:t>处理</w:t>
      </w:r>
    </w:p>
    <w:p>
      <w:pPr>
        <w:pStyle w:val="29"/>
        <w:spacing w:before="0"/>
        <w:ind w:firstLine="420"/>
        <w:rPr>
          <w:rFonts w:ascii="宋体" w:hAnsi="宋体" w:cs="宋体"/>
          <w:color w:val="000000"/>
          <w:kern w:val="2"/>
          <w:sz w:val="21"/>
          <w:szCs w:val="24"/>
        </w:rPr>
      </w:pPr>
      <w:r>
        <w:rPr>
          <w:rFonts w:hint="eastAsia" w:ascii="宋体" w:hAnsi="宋体" w:cs="宋体"/>
          <w:color w:val="000000"/>
          <w:kern w:val="2"/>
          <w:sz w:val="21"/>
          <w:szCs w:val="24"/>
        </w:rPr>
        <w:t>谈判小组</w:t>
      </w:r>
      <w:r>
        <w:rPr>
          <w:rFonts w:ascii="宋体" w:hAnsi="宋体" w:cs="宋体"/>
          <w:color w:val="000000"/>
          <w:kern w:val="2"/>
          <w:sz w:val="21"/>
          <w:szCs w:val="24"/>
        </w:rPr>
        <w:t>成员对需要共同认定的事项存在争议的，应当按照少数服从多数的原则作出结论。持不同意见的</w:t>
      </w:r>
      <w:r>
        <w:rPr>
          <w:rFonts w:hint="eastAsia" w:ascii="宋体" w:hAnsi="宋体" w:cs="宋体"/>
          <w:color w:val="000000"/>
          <w:kern w:val="2"/>
          <w:sz w:val="21"/>
          <w:szCs w:val="24"/>
        </w:rPr>
        <w:t>谈判小组</w:t>
      </w:r>
      <w:r>
        <w:rPr>
          <w:rFonts w:ascii="宋体" w:hAnsi="宋体" w:cs="宋体"/>
          <w:color w:val="000000"/>
          <w:kern w:val="2"/>
          <w:sz w:val="21"/>
          <w:szCs w:val="24"/>
        </w:rPr>
        <w:t>成员应当在评标报告上签署不同意见及理由，否则视为同意评标报告。</w:t>
      </w:r>
    </w:p>
    <w:p>
      <w:pPr>
        <w:pStyle w:val="4"/>
        <w:spacing w:before="0" w:after="0" w:line="360" w:lineRule="auto"/>
        <w:ind w:firstLine="640" w:firstLineChars="200"/>
        <w:jc w:val="center"/>
        <w:rPr>
          <w:rFonts w:ascii="宋体" w:hAnsi="宋体"/>
          <w:b w:val="0"/>
        </w:rPr>
      </w:pPr>
      <w:bookmarkStart w:id="85" w:name="_Toc80205936"/>
      <w:r>
        <w:rPr>
          <w:rFonts w:hint="eastAsia" w:ascii="宋体" w:hAnsi="宋体"/>
          <w:b w:val="0"/>
        </w:rPr>
        <w:t>第四节 评审过程的保密与录像</w:t>
      </w:r>
      <w:bookmarkEnd w:id="85"/>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1.保密。</w:t>
      </w:r>
    </w:p>
    <w:p>
      <w:pPr>
        <w:widowControl/>
        <w:spacing w:line="360" w:lineRule="auto"/>
        <w:ind w:firstLine="420" w:firstLineChars="200"/>
        <w:rPr>
          <w:rFonts w:ascii="宋体" w:hAnsi="宋体" w:cs="宋体"/>
          <w:color w:val="000000"/>
        </w:rPr>
      </w:pPr>
      <w:r>
        <w:rPr>
          <w:rFonts w:ascii="宋体" w:hAnsi="宋体" w:cs="宋体"/>
          <w:color w:val="000000"/>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2.录音录像。</w:t>
      </w:r>
    </w:p>
    <w:p>
      <w:pPr>
        <w:spacing w:line="360" w:lineRule="auto"/>
        <w:ind w:firstLine="420" w:firstLineChars="200"/>
      </w:pPr>
      <w:r>
        <w:rPr>
          <w:rFonts w:hint="eastAsia" w:ascii="宋体" w:hAnsi="宋体" w:cs="宋体"/>
          <w:color w:val="000000"/>
        </w:rPr>
        <w:t>采购代理机构对评审工作现场及操作屏幕进行全过程录音录像，录音录像资料作为采购项目文件随其他文件一并存档。</w:t>
      </w:r>
      <w:r>
        <w:br w:type="page"/>
      </w:r>
    </w:p>
    <w:p>
      <w:pPr>
        <w:pStyle w:val="4"/>
        <w:jc w:val="center"/>
      </w:pPr>
    </w:p>
    <w:p>
      <w:pPr>
        <w:pStyle w:val="4"/>
        <w:jc w:val="center"/>
      </w:pPr>
    </w:p>
    <w:p>
      <w:pPr>
        <w:pStyle w:val="4"/>
        <w:jc w:val="center"/>
      </w:pPr>
    </w:p>
    <w:p>
      <w:pPr>
        <w:pStyle w:val="4"/>
        <w:jc w:val="center"/>
      </w:pPr>
    </w:p>
    <w:p>
      <w:pPr>
        <w:pStyle w:val="4"/>
        <w:jc w:val="center"/>
      </w:pPr>
    </w:p>
    <w:p>
      <w:pPr>
        <w:pStyle w:val="3"/>
        <w:jc w:val="center"/>
        <w:rPr>
          <w:rFonts w:hint="eastAsia"/>
        </w:rPr>
      </w:pPr>
      <w:bookmarkStart w:id="86" w:name="_Toc80205937"/>
      <w:r>
        <w:rPr>
          <w:rFonts w:hint="eastAsia"/>
        </w:rPr>
        <w:t>第五章 响应文件格式</w:t>
      </w:r>
      <w:bookmarkEnd w:id="86"/>
      <w:r>
        <w:br w:type="page"/>
      </w:r>
    </w:p>
    <w:p>
      <w:pPr>
        <w:pStyle w:val="4"/>
        <w:jc w:val="center"/>
        <w:rPr>
          <w:rFonts w:hint="eastAsia" w:ascii="宋体" w:hAnsi="宋体"/>
          <w:b w:val="0"/>
        </w:rPr>
      </w:pPr>
      <w:bookmarkStart w:id="87" w:name="_Toc80205938"/>
      <w:r>
        <w:rPr>
          <w:rFonts w:hint="eastAsia" w:ascii="宋体" w:hAnsi="宋体"/>
          <w:b w:val="0"/>
        </w:rPr>
        <w:t>第一节 封面格式</w:t>
      </w:r>
      <w:bookmarkEnd w:id="87"/>
    </w:p>
    <w:p>
      <w:pPr>
        <w:rPr>
          <w:rFonts w:hint="eastAsia" w:ascii="宋体" w:hAnsi="宋体"/>
          <w:b/>
          <w:bCs/>
          <w:sz w:val="32"/>
          <w:szCs w:val="32"/>
        </w:rPr>
      </w:pPr>
      <w:bookmarkStart w:id="88" w:name="_Toc44229898"/>
      <w:r>
        <w:rPr>
          <w:rFonts w:hint="eastAsia" w:ascii="宋体" w:hAnsi="宋体"/>
          <w:b/>
          <w:sz w:val="32"/>
          <w:szCs w:val="32"/>
        </w:rPr>
        <w:t>（</w:t>
      </w:r>
      <w:bookmarkStart w:id="89" w:name="_Toc35611515"/>
      <w:bookmarkStart w:id="90" w:name="_Toc35611437"/>
      <w:r>
        <w:rPr>
          <w:rFonts w:hint="eastAsia" w:ascii="宋体" w:hAnsi="宋体"/>
          <w:b/>
          <w:bCs/>
          <w:sz w:val="32"/>
          <w:szCs w:val="32"/>
        </w:rPr>
        <w:t>响应文件外层包装封面格式</w:t>
      </w:r>
      <w:bookmarkEnd w:id="89"/>
      <w:bookmarkEnd w:id="90"/>
      <w:r>
        <w:rPr>
          <w:rFonts w:hint="eastAsia" w:ascii="宋体" w:hAnsi="宋体"/>
          <w:b/>
          <w:sz w:val="32"/>
          <w:szCs w:val="32"/>
        </w:rPr>
        <w:t xml:space="preserve"> ）</w:t>
      </w:r>
      <w:bookmarkEnd w:id="88"/>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宋体" w:hAnsi="宋体"/>
          <w:bCs/>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仿宋_GB2312" w:hAnsi="仿宋_GB2312" w:eastAsia="仿宋_GB2312"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pPr>
        <w:snapToGrid w:val="0"/>
        <w:spacing w:before="120" w:beforeLines="50" w:after="50"/>
        <w:ind w:firstLine="480" w:firstLineChars="150"/>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pPr>
        <w:snapToGrid w:val="0"/>
        <w:spacing w:before="120" w:beforeLines="50" w:after="50"/>
        <w:ind w:firstLine="480" w:firstLineChars="150"/>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120" w:beforeLines="50" w:after="50"/>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pPr>
        <w:snapToGrid w:val="0"/>
        <w:spacing w:before="120" w:beforeLines="50" w:after="50"/>
        <w:rPr>
          <w:rFonts w:hint="eastAsia" w:ascii="宋体" w:hAnsi="宋体" w:cs="仿宋_GB2312"/>
          <w:bCs/>
          <w:sz w:val="32"/>
          <w:szCs w:val="32"/>
        </w:rPr>
      </w:pPr>
    </w:p>
    <w:p>
      <w:pPr>
        <w:snapToGrid w:val="0"/>
        <w:spacing w:before="120" w:beforeLines="50" w:after="50"/>
        <w:ind w:firstLine="480" w:firstLineChars="150"/>
        <w:jc w:val="center"/>
        <w:rPr>
          <w:rFonts w:hint="eastAsia" w:ascii="宋体" w:hAnsi="宋体" w:cs="仿宋_GB2312"/>
          <w:bCs/>
          <w:sz w:val="32"/>
          <w:szCs w:val="32"/>
        </w:rPr>
      </w:pPr>
      <w:r>
        <w:rPr>
          <w:rFonts w:hint="eastAsia" w:ascii="宋体" w:hAnsi="宋体" w:cs="仿宋_GB2312"/>
          <w:bCs/>
          <w:sz w:val="32"/>
          <w:szCs w:val="32"/>
        </w:rPr>
        <w:t>首次响应文件提交截止时间前不得解密</w:t>
      </w:r>
    </w:p>
    <w:p>
      <w:pPr>
        <w:snapToGrid w:val="0"/>
        <w:spacing w:before="120" w:beforeLines="50" w:after="50"/>
        <w:ind w:firstLine="5440" w:firstLineChars="1700"/>
        <w:jc w:val="center"/>
        <w:rPr>
          <w:rFonts w:hint="eastAsia" w:ascii="宋体" w:hAnsi="宋体" w:cs="仿宋_GB2312"/>
          <w:bCs/>
          <w:sz w:val="32"/>
          <w:szCs w:val="32"/>
        </w:rPr>
      </w:pPr>
    </w:p>
    <w:p>
      <w:pPr>
        <w:snapToGrid w:val="0"/>
        <w:spacing w:before="120" w:beforeLines="50" w:after="50"/>
        <w:ind w:firstLine="645"/>
        <w:jc w:val="center"/>
        <w:rPr>
          <w:rFonts w:hint="eastAsia" w:ascii="宋体" w:hAnsi="宋体" w:cs="仿宋_GB2312"/>
          <w:bCs/>
          <w:sz w:val="32"/>
          <w:szCs w:val="32"/>
        </w:rPr>
      </w:pPr>
      <w:r>
        <w:rPr>
          <w:rFonts w:hint="eastAsia" w:ascii="宋体" w:hAnsi="宋体" w:cs="仿宋_GB2312"/>
          <w:bCs/>
          <w:sz w:val="32"/>
          <w:szCs w:val="32"/>
        </w:rPr>
        <w:t>年    月    日</w:t>
      </w:r>
    </w:p>
    <w:p>
      <w:pPr>
        <w:spacing w:line="240" w:lineRule="atLeast"/>
        <w:rPr>
          <w:rFonts w:ascii="宋体" w:hAnsi="宋体"/>
          <w:b/>
          <w:bCs/>
        </w:rPr>
      </w:pPr>
      <w:r>
        <w:rPr>
          <w:rFonts w:ascii="宋体" w:hAnsi="宋体"/>
          <w:bCs/>
          <w:sz w:val="24"/>
        </w:rPr>
        <w:br w:type="page"/>
      </w:r>
    </w:p>
    <w:p>
      <w:pPr>
        <w:snapToGrid w:val="0"/>
        <w:spacing w:before="120" w:beforeLines="50" w:after="50" w:line="360" w:lineRule="auto"/>
        <w:jc w:val="center"/>
        <w:outlineLvl w:val="1"/>
        <w:rPr>
          <w:rFonts w:hint="eastAsia" w:ascii="宋体" w:hAnsi="宋体"/>
          <w:bCs/>
          <w:sz w:val="32"/>
          <w:szCs w:val="32"/>
        </w:rPr>
      </w:pPr>
      <w:bookmarkStart w:id="91" w:name="_Toc80205939"/>
      <w:r>
        <w:rPr>
          <w:rFonts w:hint="eastAsia" w:ascii="宋体" w:hAnsi="宋体"/>
          <w:bCs/>
          <w:sz w:val="32"/>
          <w:szCs w:val="32"/>
        </w:rPr>
        <w:t>第二节 资格证明文件格式</w:t>
      </w:r>
      <w:bookmarkEnd w:id="91"/>
    </w:p>
    <w:p>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件（封面）</w:t>
      </w: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pPr>
        <w:snapToGrid w:val="0"/>
        <w:spacing w:before="120" w:beforeLines="50" w:after="50"/>
        <w:ind w:firstLine="720" w:firstLineChars="225"/>
        <w:rPr>
          <w:rFonts w:hint="eastAsia" w:ascii="宋体" w:hAnsi="宋体" w:cs="仿宋_GB2312"/>
          <w:bCs/>
          <w:sz w:val="32"/>
          <w:szCs w:val="32"/>
        </w:rPr>
      </w:pP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项目编号：</w:t>
      </w: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120" w:beforeLines="50" w:after="50"/>
        <w:ind w:firstLine="720" w:firstLineChars="225"/>
        <w:rPr>
          <w:rFonts w:hint="eastAsia" w:ascii="宋体" w:hAnsi="宋体" w:cs="仿宋_GB2312"/>
          <w:bCs/>
          <w:sz w:val="32"/>
          <w:szCs w:val="32"/>
        </w:rPr>
      </w:pPr>
    </w:p>
    <w:p>
      <w:pPr>
        <w:pStyle w:val="7"/>
        <w:snapToGrid w:val="0"/>
        <w:spacing w:before="50" w:after="5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1280" w:firstLineChars="400"/>
        <w:rPr>
          <w:rFonts w:hint="eastAsia" w:ascii="宋体" w:hAnsi="宋体" w:cs="仿宋_GB2312"/>
          <w:bCs/>
          <w:sz w:val="32"/>
          <w:szCs w:val="32"/>
        </w:rPr>
      </w:pPr>
    </w:p>
    <w:p>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pPr>
        <w:snapToGrid w:val="0"/>
        <w:spacing w:before="120" w:beforeLines="50" w:after="50" w:line="360" w:lineRule="auto"/>
        <w:ind w:left="142" w:firstLine="480" w:firstLineChars="200"/>
        <w:jc w:val="left"/>
        <w:rPr>
          <w:rFonts w:hint="eastAsia" w:ascii="宋体" w:hAnsi="宋体"/>
          <w:b/>
          <w:bCs/>
          <w:sz w:val="32"/>
          <w:szCs w:val="32"/>
        </w:rPr>
      </w:pPr>
      <w:r>
        <w:rPr>
          <w:rFonts w:ascii="宋体" w:hAnsi="宋体"/>
          <w:sz w:val="24"/>
        </w:rPr>
        <w:br w:type="page"/>
      </w:r>
      <w:r>
        <w:rPr>
          <w:rFonts w:hint="eastAsia" w:ascii="宋体" w:hAnsi="宋体"/>
          <w:b/>
          <w:bCs/>
          <w:sz w:val="32"/>
          <w:szCs w:val="32"/>
        </w:rPr>
        <w:t>二、资格证明文件目录</w:t>
      </w:r>
    </w:p>
    <w:p>
      <w:pPr>
        <w:jc w:val="center"/>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pPr>
        <w:snapToGrid w:val="0"/>
        <w:spacing w:line="360" w:lineRule="auto"/>
        <w:rPr>
          <w:rFonts w:hint="eastAsia" w:ascii="仿宋_GB2312" w:hAnsi="仿宋" w:eastAsia="仿宋_GB2312" w:cs="仿宋_GB2312"/>
          <w:kern w:val="0"/>
          <w:sz w:val="24"/>
        </w:rPr>
      </w:pP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营业执照(或事业法人登记证或其他工商等登记证明材料)复印件（供应商为自然人的，须提供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二、符合参与政府采购活动的资格条件依法缴纳税收、社会保障资金等方面的材料…………………………………………………………………………………（页码）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三、财务状况报告方面的材料…………………………………………………（页码）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四、供应商直接控股股东信息</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五、供应商直接关联关系信息表</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六、资格声明函……………………………………………………………（页码）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七、联合体协议书（</w:t>
      </w:r>
      <w:r>
        <w:rPr>
          <w:rFonts w:hint="eastAsia" w:ascii="仿宋_GB2312" w:hAnsi="仿宋" w:eastAsia="仿宋_GB2312" w:cs="仿宋_GB2312"/>
          <w:sz w:val="24"/>
        </w:rPr>
        <w:t>以联合体形式响应的，提供联合体协议；本项目不接受联合体响应或者供应商不以联合体形式响应的，则不需要提供</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八、符合特定资格条件（如有）的有关证明材料（复印件）</w:t>
      </w:r>
      <w:r>
        <w:rPr>
          <w:rFonts w:hint="eastAsia" w:ascii="仿宋_GB2312" w:hAnsi="仿宋" w:eastAsia="仿宋_GB2312" w:cs="仿宋_GB2312"/>
          <w:kern w:val="0"/>
          <w:sz w:val="24"/>
        </w:rPr>
        <w:t>………………（页码）</w:t>
      </w:r>
    </w:p>
    <w:p>
      <w:pPr>
        <w:spacing w:line="360" w:lineRule="auto"/>
        <w:rPr>
          <w:rFonts w:hint="eastAsia" w:ascii="仿宋_GB2312" w:hAnsi="仿宋_GB2312" w:eastAsia="仿宋_GB2312" w:cs="仿宋_GB2312"/>
          <w:b/>
          <w:bCs/>
          <w:sz w:val="24"/>
        </w:rPr>
      </w:pP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注：以上目录是编制供应商响应文件的基本格式要求，各供应商可根据自身情况进一步细化。</w:t>
      </w:r>
    </w:p>
    <w:p>
      <w:pPr>
        <w:snapToGrid w:val="0"/>
        <w:spacing w:before="120" w:beforeLines="50" w:after="50"/>
        <w:rPr>
          <w:rFonts w:ascii="宋体" w:hAnsi="宋体"/>
          <w:sz w:val="24"/>
          <w:szCs w:val="20"/>
        </w:rPr>
        <w:sectPr>
          <w:footerReference r:id="rId8" w:type="first"/>
          <w:footerReference r:id="rId7" w:type="default"/>
          <w:pgSz w:w="11910" w:h="16840"/>
          <w:pgMar w:top="1340" w:right="1500" w:bottom="280" w:left="1680" w:header="720" w:footer="720" w:gutter="0"/>
          <w:cols w:space="720" w:num="1"/>
        </w:sectPr>
      </w:pPr>
    </w:p>
    <w:p>
      <w:pPr>
        <w:pStyle w:val="14"/>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一、营业执照(或事业法人登记证或其他工商等登记证明材料)复印件（供应商为自然人的，提供自然人的身份证明）</w:t>
      </w:r>
    </w:p>
    <w:p>
      <w:pPr>
        <w:pStyle w:val="14"/>
        <w:spacing w:line="360" w:lineRule="auto"/>
        <w:ind w:firstLine="602" w:firstLineChars="200"/>
        <w:rPr>
          <w:rFonts w:ascii="仿宋" w:hAnsi="仿宋" w:eastAsia="仿宋" w:cs="仿宋_GB2312"/>
          <w:b/>
          <w:sz w:val="30"/>
          <w:szCs w:val="30"/>
        </w:rPr>
      </w:pPr>
    </w:p>
    <w:p>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napToGrid w:val="0"/>
        <w:spacing w:before="120" w:beforeLines="50" w:after="50"/>
        <w:rPr>
          <w:rFonts w:ascii="宋体" w:hAnsi="宋体"/>
          <w:sz w:val="24"/>
          <w:szCs w:val="20"/>
        </w:rPr>
      </w:pPr>
    </w:p>
    <w:p>
      <w:pPr>
        <w:pStyle w:val="14"/>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二、符合参与政府采购活动的资格条件依法缴纳税收、社会保障资金等方面的材料</w:t>
      </w:r>
    </w:p>
    <w:p>
      <w:pPr>
        <w:spacing w:line="300" w:lineRule="auto"/>
        <w:rPr>
          <w:rFonts w:hint="eastAsia" w:ascii="宋体" w:hAnsi="宋体"/>
          <w:szCs w:val="21"/>
        </w:rPr>
      </w:pPr>
    </w:p>
    <w:p>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00" w:lineRule="auto"/>
        <w:rPr>
          <w:rFonts w:hint="eastAsia" w:ascii="宋体" w:hAnsi="宋体"/>
          <w:szCs w:val="21"/>
        </w:rPr>
      </w:pPr>
    </w:p>
    <w:p>
      <w:pPr>
        <w:spacing w:line="300" w:lineRule="auto"/>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三、财务状况报告方面的材料</w:t>
      </w:r>
    </w:p>
    <w:p>
      <w:pPr>
        <w:spacing w:line="300" w:lineRule="auto"/>
        <w:rPr>
          <w:rFonts w:hint="eastAsia" w:ascii="宋体" w:hAnsi="宋体"/>
          <w:szCs w:val="21"/>
        </w:rPr>
      </w:pPr>
    </w:p>
    <w:p>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20" w:lineRule="exact"/>
        <w:jc w:val="left"/>
        <w:rPr>
          <w:rFonts w:hint="eastAsia" w:ascii="宋体" w:hAnsi="宋体"/>
          <w:szCs w:val="21"/>
        </w:rPr>
      </w:pPr>
      <w:r>
        <w:rPr>
          <w:rFonts w:hint="eastAsia" w:ascii="宋体" w:hAnsi="宋体"/>
          <w:szCs w:val="21"/>
        </w:rPr>
        <w:t xml:space="preserve"> </w:t>
      </w:r>
    </w:p>
    <w:p>
      <w:pPr>
        <w:snapToGrid w:val="0"/>
        <w:spacing w:before="120" w:beforeLines="50" w:after="50" w:line="360" w:lineRule="auto"/>
        <w:jc w:val="center"/>
        <w:rPr>
          <w:rFonts w:hint="eastAsia" w:ascii="宋体" w:hAnsi="宋体"/>
          <w:b/>
          <w:sz w:val="24"/>
        </w:rPr>
      </w:pPr>
    </w:p>
    <w:p>
      <w:pPr>
        <w:spacing w:line="360" w:lineRule="auto"/>
        <w:ind w:firstLine="596" w:firstLineChars="198"/>
        <w:contextualSpacing/>
        <w:rPr>
          <w:rFonts w:hint="eastAsia" w:ascii="仿宋" w:hAnsi="仿宋" w:eastAsia="仿宋" w:cs="仿宋_GB2312"/>
          <w:b/>
          <w:kern w:val="0"/>
          <w:sz w:val="30"/>
          <w:szCs w:val="30"/>
        </w:rPr>
      </w:pPr>
      <w:r>
        <w:rPr>
          <w:rFonts w:hint="eastAsia" w:ascii="仿宋" w:hAnsi="仿宋" w:eastAsia="仿宋" w:cs="仿宋_GB2312"/>
          <w:b/>
          <w:kern w:val="0"/>
          <w:sz w:val="30"/>
          <w:szCs w:val="30"/>
        </w:rPr>
        <w:t>四、供应商直接控股股东信息</w:t>
      </w:r>
    </w:p>
    <w:p>
      <w:pPr>
        <w:spacing w:line="360" w:lineRule="auto"/>
        <w:contextualSpacing/>
        <w:jc w:val="center"/>
        <w:rPr>
          <w:rFonts w:hint="eastAsia" w:ascii="宋体" w:hAnsi="宋体"/>
          <w:b/>
          <w:sz w:val="24"/>
        </w:rPr>
      </w:pPr>
    </w:p>
    <w:tbl>
      <w:tblPr>
        <w:tblStyle w:val="21"/>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备注</w:t>
            </w: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rPr>
            </w:pPr>
          </w:p>
        </w:tc>
      </w:tr>
    </w:tbl>
    <w:p>
      <w:pPr>
        <w:spacing w:line="360" w:lineRule="auto"/>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3.供应商不存在直接控股股东的，则填“无”。</w:t>
      </w:r>
    </w:p>
    <w:p>
      <w:pPr>
        <w:snapToGrid w:val="0"/>
        <w:spacing w:line="360" w:lineRule="auto"/>
        <w:jc w:val="left"/>
        <w:rPr>
          <w:rFonts w:hint="eastAsia" w:ascii="宋体" w:hAnsi="宋体" w:cs="宋体"/>
          <w:sz w:val="24"/>
        </w:rPr>
      </w:pPr>
    </w:p>
    <w:p>
      <w:pPr>
        <w:snapToGrid w:val="0"/>
        <w:spacing w:line="360" w:lineRule="auto"/>
        <w:jc w:val="left"/>
        <w:rPr>
          <w:rFonts w:hint="eastAsia" w:ascii="宋体" w:hAnsi="宋体" w:cs="宋体"/>
          <w:sz w:val="24"/>
        </w:rPr>
      </w:pPr>
    </w:p>
    <w:p>
      <w:pPr>
        <w:snapToGrid w:val="0"/>
        <w:spacing w:line="360" w:lineRule="auto"/>
        <w:jc w:val="left"/>
        <w:rPr>
          <w:rFonts w:hint="eastAsia" w:ascii="宋体" w:hAnsi="宋体" w:cs="宋体"/>
          <w:sz w:val="24"/>
        </w:rPr>
      </w:pPr>
    </w:p>
    <w:p>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napToGrid w:val="0"/>
        <w:rPr>
          <w:rFonts w:hint="eastAsia" w:ascii="仿宋" w:hAnsi="仿宋" w:eastAsia="仿宋" w:cs="仿宋_GB2312"/>
          <w:b/>
          <w:kern w:val="0"/>
          <w:sz w:val="30"/>
          <w:szCs w:val="30"/>
        </w:rPr>
      </w:pPr>
    </w:p>
    <w:p>
      <w:pPr>
        <w:snapToGrid w:val="0"/>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五、供应商直接管理关系信息表</w:t>
      </w:r>
    </w:p>
    <w:p>
      <w:pPr>
        <w:snapToGrid w:val="0"/>
        <w:spacing w:line="360" w:lineRule="auto"/>
        <w:jc w:val="center"/>
        <w:rPr>
          <w:rFonts w:hint="eastAsia" w:ascii="宋体" w:hAnsi="宋体"/>
          <w:b/>
          <w:sz w:val="24"/>
        </w:rPr>
      </w:pPr>
    </w:p>
    <w:tbl>
      <w:tblPr>
        <w:tblStyle w:val="21"/>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r>
    </w:tbl>
    <w:p>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2.本表所指的管理关系仅限于直接管理关系，不包括间接的管理关系。</w:t>
      </w:r>
    </w:p>
    <w:p>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3.供应商不存在直接管理关系的，则填“无”。</w:t>
      </w:r>
    </w:p>
    <w:p>
      <w:pPr>
        <w:spacing w:line="360" w:lineRule="auto"/>
        <w:contextualSpacing/>
        <w:jc w:val="left"/>
        <w:rPr>
          <w:rFonts w:hint="eastAsia"/>
          <w:sz w:val="24"/>
        </w:rPr>
      </w:pPr>
    </w:p>
    <w:p>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60" w:lineRule="auto"/>
        <w:ind w:right="480" w:firstLine="240" w:firstLineChars="100"/>
        <w:contextualSpacing/>
        <w:jc w:val="center"/>
        <w:rPr>
          <w:rFonts w:ascii="宋体" w:hAnsi="宋体"/>
          <w:sz w:val="28"/>
          <w:szCs w:val="28"/>
        </w:rPr>
      </w:pPr>
      <w:r>
        <w:rPr>
          <w:rFonts w:hint="eastAsia" w:ascii="宋体" w:hAnsi="宋体"/>
          <w:sz w:val="24"/>
        </w:rPr>
        <w:t xml:space="preserve">                                  </w:t>
      </w:r>
    </w:p>
    <w:p>
      <w:pPr>
        <w:spacing w:line="320" w:lineRule="exact"/>
        <w:ind w:firstLine="560" w:firstLineChars="200"/>
        <w:jc w:val="left"/>
        <w:rPr>
          <w:rFonts w:ascii="宋体" w:hAnsi="宋体"/>
          <w:sz w:val="28"/>
          <w:szCs w:val="28"/>
        </w:rPr>
      </w:pPr>
      <w:r>
        <w:rPr>
          <w:rFonts w:ascii="宋体" w:hAnsi="宋体"/>
          <w:sz w:val="28"/>
          <w:szCs w:val="28"/>
        </w:rPr>
        <w:br w:type="page"/>
      </w:r>
      <w:r>
        <w:rPr>
          <w:rFonts w:hint="eastAsia" w:ascii="仿宋" w:hAnsi="仿宋" w:eastAsia="仿宋" w:cs="仿宋_GB2312"/>
          <w:b/>
          <w:kern w:val="0"/>
          <w:sz w:val="30"/>
          <w:szCs w:val="30"/>
        </w:rPr>
        <w:t>六、资格声明函</w:t>
      </w:r>
    </w:p>
    <w:p>
      <w:pPr>
        <w:spacing w:line="320" w:lineRule="exact"/>
        <w:jc w:val="center"/>
        <w:rPr>
          <w:rFonts w:hint="eastAsia" w:ascii="宋体" w:hAnsi="宋体"/>
          <w:b/>
          <w:sz w:val="32"/>
          <w:szCs w:val="32"/>
        </w:rPr>
      </w:pPr>
    </w:p>
    <w:p>
      <w:pPr>
        <w:spacing w:line="320" w:lineRule="exact"/>
        <w:jc w:val="center"/>
        <w:rPr>
          <w:rFonts w:hint="eastAsia" w:ascii="宋体" w:hAnsi="宋体"/>
          <w:b/>
          <w:sz w:val="32"/>
          <w:szCs w:val="32"/>
        </w:rPr>
      </w:pPr>
      <w:r>
        <w:rPr>
          <w:rFonts w:hint="eastAsia" w:ascii="宋体" w:hAnsi="宋体"/>
          <w:b/>
          <w:sz w:val="32"/>
          <w:szCs w:val="32"/>
        </w:rPr>
        <w:t>资格声明函</w:t>
      </w:r>
    </w:p>
    <w:p>
      <w:pPr>
        <w:spacing w:line="320" w:lineRule="exact"/>
        <w:jc w:val="center"/>
        <w:rPr>
          <w:rFonts w:hint="eastAsia" w:ascii="宋体" w:hAnsi="宋体"/>
          <w:sz w:val="24"/>
          <w:szCs w:val="20"/>
        </w:rPr>
      </w:pPr>
    </w:p>
    <w:p>
      <w:pPr>
        <w:spacing w:line="360" w:lineRule="auto"/>
        <w:contextualSpacing/>
        <w:rPr>
          <w:rFonts w:hint="eastAsia" w:ascii="仿宋_GB2312" w:hAnsi="宋体" w:eastAsia="仿宋_GB2312" w:cs="宋体"/>
          <w:sz w:val="24"/>
        </w:rPr>
      </w:pPr>
      <w:r>
        <w:rPr>
          <w:rFonts w:hint="eastAsia" w:ascii="仿宋_GB2312" w:hAnsi="宋体" w:eastAsia="仿宋_GB2312" w:cs="宋体"/>
          <w:sz w:val="24"/>
        </w:rPr>
        <w:t>致：</w:t>
      </w:r>
      <w:r>
        <w:rPr>
          <w:rFonts w:hint="eastAsia" w:ascii="仿宋_GB2312" w:hAnsi="宋体" w:eastAsia="仿宋_GB2312" w:cs="宋体"/>
          <w:sz w:val="24"/>
          <w:u w:val="single"/>
        </w:rPr>
        <w:t>（采购代理机构名称）</w:t>
      </w:r>
      <w:r>
        <w:rPr>
          <w:rFonts w:hint="eastAsia" w:ascii="仿宋_GB2312" w:hAnsi="宋体" w:eastAsia="仿宋_GB2312" w:cs="宋体"/>
          <w:sz w:val="24"/>
        </w:rPr>
        <w:t>：</w:t>
      </w:r>
    </w:p>
    <w:p>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u w:val="single"/>
        </w:rPr>
        <w:t>（供应商名称）</w:t>
      </w:r>
      <w:r>
        <w:rPr>
          <w:rFonts w:hint="eastAsia" w:ascii="仿宋_GB2312" w:hAnsi="宋体" w:eastAsia="仿宋_GB2312" w:cs="宋体"/>
          <w:sz w:val="24"/>
        </w:rPr>
        <w:t>系中华人民共和国合法供应商，经营地址</w:t>
      </w:r>
      <w:r>
        <w:rPr>
          <w:rFonts w:hint="eastAsia" w:ascii="仿宋_GB2312" w:hAnsi="宋体" w:eastAsia="仿宋_GB2312" w:cs="宋体"/>
          <w:sz w:val="24"/>
          <w:u w:val="single"/>
        </w:rPr>
        <w:t xml:space="preserve">                              </w:t>
      </w:r>
      <w:r>
        <w:rPr>
          <w:rFonts w:hint="eastAsia" w:ascii="仿宋_GB2312" w:hAnsi="宋体" w:eastAsia="仿宋_GB2312" w:cs="宋体"/>
          <w:sz w:val="24"/>
        </w:rPr>
        <w:t>。</w:t>
      </w:r>
    </w:p>
    <w:p>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我方愿意参加贵方组织的</w:t>
      </w:r>
      <w:r>
        <w:rPr>
          <w:rFonts w:hint="eastAsia" w:ascii="仿宋_GB2312" w:hAnsi="宋体" w:eastAsia="仿宋_GB2312" w:cs="宋体"/>
          <w:sz w:val="24"/>
          <w:u w:val="single"/>
        </w:rPr>
        <w:t>（项目名称）</w:t>
      </w:r>
      <w:r>
        <w:rPr>
          <w:rFonts w:hint="eastAsia" w:ascii="仿宋_GB2312" w:hAnsi="宋体" w:eastAsia="仿宋_GB2312" w:cs="宋体"/>
          <w:sz w:val="24"/>
        </w:rPr>
        <w:t>项目的竞标，为便于贵方公正、择优地确定成交供应商及其竞标产品和货物，我方就本次竞标有关事项郑重声明如下：</w:t>
      </w:r>
    </w:p>
    <w:p>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1.我方向贵方提交的所有响应文件、资料都是准确的和真实的。</w:t>
      </w:r>
    </w:p>
    <w:p>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3.在此，我方宣布同意如下：</w:t>
      </w:r>
    </w:p>
    <w:p>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（1）将按谈判文件的约定履行合同责任和义务；</w:t>
      </w:r>
    </w:p>
    <w:p>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（2）已详细审查全部谈判文件，包括澄清或者更正公告（如有）；</w:t>
      </w:r>
    </w:p>
    <w:p>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（3）同意提供按照贵方可能要求的与谈判有关的一切数据或者资料；</w:t>
      </w:r>
    </w:p>
    <w:p>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（4）响应谈判文件规定的竞标有效期。</w:t>
      </w:r>
    </w:p>
    <w:p>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4.我方承诺符合《中华人民共和国政府采购法》第二十二条规定：</w:t>
      </w:r>
    </w:p>
    <w:p>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（1）具有独立承担民事责任的能力；</w:t>
      </w:r>
    </w:p>
    <w:p>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（2）具有良好的商业信誉和健全的财务会计制度；</w:t>
      </w:r>
    </w:p>
    <w:p>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（3）具有履行合同所必需的设备和专业技术能力；</w:t>
      </w:r>
    </w:p>
    <w:p>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（4）有依法缴纳税收和社会保障资金的良好记录；</w:t>
      </w:r>
    </w:p>
    <w:p>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（5）参加政府采购活动前三年内，在经营活动中没有重大违法记录；</w:t>
      </w:r>
    </w:p>
    <w:p>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（6）法律、行政法规规定的其他条件。</w:t>
      </w:r>
    </w:p>
    <w:p>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内容中</w:t>
      </w:r>
      <w:r>
        <w:rPr>
          <w:rFonts w:hint="eastAsia" w:ascii="仿宋_GB2312" w:hAnsi="宋体" w:eastAsia="仿宋_GB2312" w:cs="宋体"/>
          <w:sz w:val="24"/>
        </w:rPr>
        <w:t>未</w:t>
      </w:r>
      <w:r>
        <w:rPr>
          <w:rFonts w:hint="eastAsia" w:ascii="仿宋_GB2312" w:hAnsi="宋体" w:eastAsia="仿宋_GB2312" w:cs="宋体"/>
          <w:kern w:val="0"/>
          <w:sz w:val="24"/>
        </w:rPr>
        <w:t>涉及商业秘密；</w:t>
      </w:r>
    </w:p>
    <w:p>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涉及商业秘密的内容有：</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w:t>
      </w:r>
    </w:p>
    <w:p>
      <w:pPr>
        <w:pStyle w:val="14"/>
        <w:spacing w:line="360" w:lineRule="auto"/>
        <w:ind w:firstLine="480" w:firstLineChars="200"/>
        <w:contextualSpacing/>
        <w:rPr>
          <w:rFonts w:hint="eastAsia" w:ascii="仿宋_GB2312" w:hAnsi="宋体" w:eastAsia="仿宋_GB2312" w:cs="宋体"/>
          <w:sz w:val="24"/>
          <w:szCs w:val="24"/>
          <w:u w:val="single"/>
        </w:rPr>
      </w:pPr>
      <w:r>
        <w:rPr>
          <w:rFonts w:hint="eastAsia" w:ascii="仿宋_GB2312" w:hAnsi="宋体" w:eastAsia="仿宋_GB2312" w:cs="宋体"/>
          <w:sz w:val="24"/>
          <w:szCs w:val="24"/>
        </w:rPr>
        <w:t>7.与本谈判有关的一切正式往来信函请寄：</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邮政编号：</w:t>
      </w:r>
      <w:r>
        <w:rPr>
          <w:rFonts w:hint="eastAsia" w:ascii="仿宋_GB2312" w:hAnsi="宋体" w:eastAsia="仿宋_GB2312" w:cs="宋体"/>
          <w:sz w:val="24"/>
          <w:szCs w:val="24"/>
          <w:u w:val="single"/>
        </w:rPr>
        <w:t xml:space="preserve">        </w:t>
      </w:r>
    </w:p>
    <w:p>
      <w:pPr>
        <w:pStyle w:val="14"/>
        <w:spacing w:line="360" w:lineRule="auto"/>
        <w:ind w:firstLine="480" w:firstLineChars="200"/>
        <w:contextualSpacing/>
        <w:rPr>
          <w:rFonts w:hint="eastAsia" w:ascii="仿宋_GB2312" w:hAnsi="宋体" w:eastAsia="仿宋_GB2312" w:cs="宋体"/>
          <w:sz w:val="24"/>
          <w:szCs w:val="24"/>
        </w:rPr>
      </w:pPr>
      <w:r>
        <w:rPr>
          <w:rFonts w:hint="eastAsia" w:ascii="仿宋_GB2312" w:hAnsi="宋体" w:eastAsia="仿宋_GB2312" w:cs="宋体"/>
          <w:sz w:val="24"/>
          <w:szCs w:val="24"/>
        </w:rPr>
        <w:t>电话/传真：</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电子函件：</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pPr>
        <w:pStyle w:val="12"/>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开户银行：</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  帐号：</w:t>
      </w:r>
      <w:r>
        <w:rPr>
          <w:rFonts w:hint="eastAsia" w:ascii="仿宋_GB2312" w:hAnsi="宋体" w:eastAsia="仿宋_GB2312" w:cs="宋体"/>
          <w:sz w:val="24"/>
          <w:u w:val="single"/>
        </w:rPr>
        <w:t xml:space="preserve">                               </w:t>
      </w:r>
    </w:p>
    <w:p>
      <w:pPr>
        <w:pStyle w:val="12"/>
        <w:tabs>
          <w:tab w:val="left" w:pos="939"/>
        </w:tabs>
        <w:spacing w:line="360" w:lineRule="auto"/>
        <w:ind w:left="0" w:leftChars="0" w:firstLine="480" w:firstLineChars="200"/>
        <w:rPr>
          <w:rFonts w:hint="eastAsia" w:ascii="仿宋_GB2312" w:hAnsi="宋体" w:eastAsia="仿宋_GB2312" w:cs="宋体"/>
          <w:sz w:val="24"/>
        </w:rPr>
      </w:pPr>
      <w:r>
        <w:rPr>
          <w:rFonts w:hint="eastAsia" w:ascii="仿宋_GB2312" w:hAnsi="宋体" w:eastAsia="仿宋_GB2312" w:cs="宋体"/>
          <w:sz w:val="24"/>
        </w:rPr>
        <w:t>8.以上事项如有虚假或者隐瞒，我方愿意承担一切后果，并不再寻求任何旨在减轻或者免除法律责任的辩解。</w:t>
      </w:r>
    </w:p>
    <w:p>
      <w:pPr>
        <w:pStyle w:val="12"/>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特此承诺。</w:t>
      </w:r>
    </w:p>
    <w:p>
      <w:pPr>
        <w:pStyle w:val="12"/>
        <w:tabs>
          <w:tab w:val="left" w:pos="939"/>
        </w:tabs>
        <w:spacing w:line="360" w:lineRule="auto"/>
        <w:ind w:left="0" w:leftChars="0" w:firstLine="480" w:firstLineChars="200"/>
        <w:rPr>
          <w:rFonts w:hint="eastAsia" w:ascii="宋体" w:hAnsi="宋体" w:cs="宋体"/>
          <w:sz w:val="24"/>
        </w:rPr>
      </w:pPr>
      <w:r>
        <w:rPr>
          <w:rFonts w:hint="eastAsia" w:ascii="仿宋_GB2312" w:hAnsi="宋体" w:eastAsia="仿宋_GB2312" w:cs="宋体"/>
          <w:sz w:val="24"/>
        </w:rPr>
        <w:t>注：如为联合体竞标，盖章处须加盖联合体各方公章并由联合体各方法定代表人签署，否则其响应文件按无效响应处理。</w:t>
      </w:r>
    </w:p>
    <w:p>
      <w:pPr>
        <w:pStyle w:val="12"/>
        <w:tabs>
          <w:tab w:val="left" w:pos="939"/>
        </w:tabs>
        <w:spacing w:line="360" w:lineRule="auto"/>
        <w:ind w:left="0" w:leftChars="0" w:firstLine="480" w:firstLineChars="200"/>
        <w:rPr>
          <w:rFonts w:hint="eastAsia" w:ascii="宋体" w:hAnsi="宋体" w:cs="宋体"/>
          <w:sz w:val="24"/>
        </w:rPr>
      </w:pPr>
    </w:p>
    <w:p>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ascii="仿宋_GB2312" w:hAnsi="仿宋" w:eastAsia="仿宋_GB2312" w:cs="仿宋_GB2312"/>
          <w:kern w:val="0"/>
          <w:sz w:val="24"/>
          <w:lang w:val="zh-CN"/>
        </w:rPr>
        <w:sectPr>
          <w:pgSz w:w="11910" w:h="16840"/>
          <w:pgMar w:top="1340" w:right="1500" w:bottom="280" w:left="1680" w:header="720" w:footer="720" w:gutter="0"/>
          <w:cols w:space="720" w:num="1"/>
        </w:sectPr>
      </w:pPr>
      <w:r>
        <w:rPr>
          <w:rFonts w:hint="eastAsia" w:ascii="仿宋_GB2312" w:hAnsi="仿宋" w:eastAsia="仿宋_GB2312" w:cs="仿宋_GB2312"/>
          <w:kern w:val="0"/>
          <w:sz w:val="24"/>
          <w:lang w:val="zh-CN"/>
        </w:rPr>
        <w:t>日期：  年  月   日</w:t>
      </w:r>
    </w:p>
    <w:p>
      <w:pPr>
        <w:pStyle w:val="7"/>
        <w:overflowPunct w:val="0"/>
        <w:spacing w:line="520" w:lineRule="exact"/>
        <w:ind w:firstLine="0"/>
        <w:rPr>
          <w:rFonts w:ascii="宋体" w:hAnsi="宋体"/>
          <w:b/>
          <w:bCs/>
          <w:sz w:val="32"/>
          <w:szCs w:val="32"/>
        </w:rPr>
      </w:pPr>
      <w:r>
        <w:rPr>
          <w:rFonts w:hint="eastAsia" w:ascii="仿宋" w:hAnsi="仿宋" w:eastAsia="仿宋" w:cs="仿宋_GB2312"/>
          <w:b/>
          <w:kern w:val="0"/>
          <w:sz w:val="30"/>
          <w:szCs w:val="30"/>
        </w:rPr>
        <w:t>七、联合体协议书（如有）</w:t>
      </w:r>
    </w:p>
    <w:p>
      <w:pPr>
        <w:pStyle w:val="14"/>
        <w:spacing w:line="600" w:lineRule="exact"/>
        <w:jc w:val="center"/>
        <w:rPr>
          <w:rFonts w:hint="eastAsia" w:ascii="方正小标宋简体" w:hAnsi="方正小标宋简体" w:eastAsia="方正小标宋简体" w:cs="方正小标宋简体"/>
          <w:kern w:val="2"/>
          <w:sz w:val="44"/>
          <w:szCs w:val="44"/>
        </w:rPr>
      </w:pPr>
    </w:p>
    <w:p>
      <w:pPr>
        <w:pStyle w:val="14"/>
        <w:spacing w:line="600" w:lineRule="exact"/>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联合体竞标协议书（格式）</w:t>
      </w:r>
    </w:p>
    <w:p>
      <w:pPr>
        <w:autoSpaceDE w:val="0"/>
        <w:autoSpaceDN w:val="0"/>
        <w:adjustRightInd w:val="0"/>
        <w:spacing w:line="360" w:lineRule="auto"/>
        <w:jc w:val="left"/>
        <w:rPr>
          <w:rFonts w:ascii="宋体" w:cs="宋体"/>
          <w:kern w:val="0"/>
          <w:szCs w:val="21"/>
          <w:u w:val="single"/>
        </w:rPr>
      </w:pPr>
    </w:p>
    <w:p>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u w:val="single"/>
        </w:rPr>
        <w:t xml:space="preserve">                                                  </w:t>
      </w:r>
      <w:r>
        <w:rPr>
          <w:rFonts w:hint="eastAsia" w:ascii="仿宋_GB2312" w:eastAsia="仿宋_GB2312" w:cs="宋体"/>
          <w:kern w:val="0"/>
          <w:sz w:val="24"/>
        </w:rPr>
        <w:t>（所有成员单位名称）自愿组成联合体，共同参加</w:t>
      </w:r>
      <w:r>
        <w:rPr>
          <w:rFonts w:hint="eastAsia" w:ascii="仿宋_GB2312" w:eastAsia="仿宋_GB2312" w:cs="宋体"/>
          <w:kern w:val="0"/>
          <w:sz w:val="24"/>
          <w:u w:val="single"/>
        </w:rPr>
        <w:t xml:space="preserve">     （采购代理机构名称）    </w:t>
      </w:r>
      <w:r>
        <w:rPr>
          <w:rFonts w:hint="eastAsia" w:ascii="仿宋_GB2312" w:eastAsia="仿宋_GB2312" w:cs="宋体"/>
          <w:kern w:val="0"/>
          <w:sz w:val="24"/>
        </w:rPr>
        <w:t>组织的</w:t>
      </w:r>
      <w:r>
        <w:rPr>
          <w:rFonts w:hint="eastAsia" w:ascii="仿宋_GB2312" w:eastAsia="仿宋_GB2312" w:cs="宋体"/>
          <w:kern w:val="0"/>
          <w:sz w:val="24"/>
          <w:u w:val="single"/>
        </w:rPr>
        <w:t xml:space="preserve">         （项目名称）         </w:t>
      </w:r>
      <w:r>
        <w:rPr>
          <w:rFonts w:hint="eastAsia" w:ascii="仿宋_GB2312" w:eastAsia="仿宋_GB2312" w:cs="宋体"/>
          <w:kern w:val="0"/>
          <w:sz w:val="24"/>
        </w:rPr>
        <w:t>（项目编号：</w:t>
      </w:r>
      <w:r>
        <w:rPr>
          <w:rFonts w:hint="eastAsia" w:ascii="仿宋_GB2312" w:eastAsia="仿宋_GB2312" w:cs="宋体"/>
          <w:kern w:val="0"/>
          <w:sz w:val="24"/>
          <w:u w:val="single"/>
        </w:rPr>
        <w:t xml:space="preserve">          </w:t>
      </w:r>
      <w:r>
        <w:rPr>
          <w:rFonts w:hint="eastAsia" w:ascii="仿宋_GB2312" w:eastAsia="仿宋_GB2312" w:cs="宋体"/>
          <w:kern w:val="0"/>
          <w:sz w:val="24"/>
        </w:rPr>
        <w:t>）竞争性谈判采购。现就联合体竞标事宜订立如下协议：</w:t>
      </w:r>
    </w:p>
    <w:p>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1</w:t>
      </w:r>
      <w:r>
        <w:rPr>
          <w:rFonts w:hint="eastAsia" w:ascii="仿宋_GB2312" w:hAnsi="宋体" w:eastAsia="仿宋_GB2312" w:cs="宋体"/>
          <w:kern w:val="0"/>
          <w:sz w:val="24"/>
        </w:rPr>
        <w:t>、</w:t>
      </w:r>
      <w:r>
        <w:rPr>
          <w:rFonts w:hint="eastAsia" w:ascii="仿宋_GB2312" w:eastAsia="仿宋_GB2312"/>
          <w:sz w:val="24"/>
        </w:rPr>
        <w:t>________________________</w:t>
      </w:r>
      <w:r>
        <w:rPr>
          <w:rFonts w:hint="eastAsia" w:ascii="仿宋_GB2312" w:hAnsi="宋体" w:eastAsia="仿宋_GB2312" w:cs="宋体"/>
          <w:kern w:val="0"/>
          <w:sz w:val="24"/>
        </w:rPr>
        <w:t>（某成员单位名称）为联合体名称牵头人。</w:t>
      </w:r>
    </w:p>
    <w:p>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2</w:t>
      </w:r>
      <w:r>
        <w:rPr>
          <w:rFonts w:hint="eastAsia" w:ascii="仿宋_GB2312" w:hAnsi="宋体" w:eastAsia="仿宋_GB2312" w:cs="宋体"/>
          <w:kern w:val="0"/>
          <w:sz w:val="24"/>
        </w:rPr>
        <w:t>、联合体牵头人合法代表联合体各成员负责本谈判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宋体"/>
          <w:kern w:val="0"/>
          <w:sz w:val="24"/>
        </w:rPr>
        <w:t>3、联合体牵头人在本项目中签署和盖章的一切文件和处理的一切事宜，联合体各成员均予以承认。 联合体各成员将严格按照谈判文件、响应文件和合同的要求全面履行义务，并向采购人承担连带责任。</w:t>
      </w:r>
    </w:p>
    <w:p>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4</w:t>
      </w:r>
      <w:r>
        <w:rPr>
          <w:rFonts w:hint="eastAsia" w:ascii="仿宋_GB2312" w:hAnsi="宋体" w:eastAsia="仿宋_GB2312" w:cs="宋体"/>
          <w:kern w:val="0"/>
          <w:sz w:val="24"/>
        </w:rPr>
        <w:t>、联合体各成员单位内部的职责分工如下</w:t>
      </w:r>
      <w:r>
        <w:rPr>
          <w:rFonts w:hint="eastAsia" w:ascii="仿宋_GB2312" w:hAnsi="宋体" w:eastAsia="仿宋_GB2312" w:cs="宋体"/>
          <w:kern w:val="0"/>
          <w:sz w:val="24"/>
          <w:u w:val="single"/>
        </w:rPr>
        <w:t>：</w:t>
      </w:r>
      <w:r>
        <w:rPr>
          <w:rFonts w:hint="eastAsia" w:ascii="仿宋_GB2312" w:eastAsia="仿宋_GB2312"/>
          <w:sz w:val="24"/>
          <w:u w:val="single"/>
        </w:rPr>
        <w:t>________________________________________________</w:t>
      </w:r>
      <w:r>
        <w:rPr>
          <w:rFonts w:hint="eastAsia" w:ascii="仿宋_GB2312" w:hAnsi="宋体" w:eastAsia="仿宋_GB2312" w:cs="宋体"/>
          <w:kern w:val="0"/>
          <w:sz w:val="24"/>
        </w:rPr>
        <w:t>。</w:t>
      </w:r>
    </w:p>
    <w:p>
      <w:pPr>
        <w:pStyle w:val="14"/>
        <w:spacing w:line="360" w:lineRule="auto"/>
        <w:ind w:firstLine="480" w:firstLineChars="200"/>
        <w:rPr>
          <w:rFonts w:hint="eastAsia" w:ascii="仿宋_GB2312" w:hAnsi="Times New Roman" w:eastAsia="仿宋_GB2312"/>
          <w:sz w:val="24"/>
          <w:szCs w:val="24"/>
        </w:rPr>
      </w:pPr>
      <w:r>
        <w:rPr>
          <w:rFonts w:hint="eastAsia" w:ascii="仿宋_GB2312" w:hAnsi="宋体" w:eastAsia="仿宋_GB2312" w:cs="宋体"/>
          <w:sz w:val="24"/>
          <w:szCs w:val="24"/>
        </w:rPr>
        <w:t>5、本联合体中</w:t>
      </w:r>
      <w:r>
        <w:rPr>
          <w:rFonts w:hint="eastAsia" w:ascii="仿宋_GB2312" w:hAnsi="宋体" w:eastAsia="仿宋_GB2312" w:cs="宋体"/>
          <w:sz w:val="24"/>
          <w:szCs w:val="24"/>
          <w:u w:val="single"/>
        </w:rPr>
        <w:t>，</w:t>
      </w:r>
      <w:r>
        <w:rPr>
          <w:rFonts w:hint="eastAsia" w:ascii="仿宋_GB2312" w:eastAsia="仿宋_GB2312"/>
          <w:sz w:val="24"/>
          <w:szCs w:val="24"/>
          <w:u w:val="single"/>
        </w:rPr>
        <w:t>________________________</w:t>
      </w:r>
      <w:r>
        <w:rPr>
          <w:rFonts w:hint="eastAsia" w:ascii="仿宋_GB2312" w:hAnsi="宋体" w:eastAsia="仿宋_GB2312" w:cs="宋体"/>
          <w:sz w:val="24"/>
          <w:szCs w:val="24"/>
          <w:u w:val="single"/>
        </w:rPr>
        <w:t>（某成员单位名称）为</w:t>
      </w:r>
      <w:r>
        <w:rPr>
          <w:rFonts w:hint="eastAsia" w:ascii="仿宋_GB2312" w:eastAsia="仿宋_GB2312"/>
          <w:sz w:val="24"/>
          <w:szCs w:val="24"/>
          <w:u w:val="single"/>
        </w:rPr>
        <w:t>______</w:t>
      </w:r>
      <w:r>
        <w:rPr>
          <w:rFonts w:hint="eastAsia" w:ascii="仿宋_GB2312" w:eastAsia="仿宋_GB2312"/>
          <w:sz w:val="24"/>
          <w:szCs w:val="24"/>
        </w:rPr>
        <w:t>（请填写：中型、小型、微型）企业，其协议合同金额占联合体协议合同总金额的</w:t>
      </w:r>
      <w:r>
        <w:rPr>
          <w:rFonts w:hint="eastAsia" w:ascii="仿宋_GB2312" w:eastAsia="仿宋_GB2312"/>
          <w:sz w:val="24"/>
          <w:szCs w:val="24"/>
          <w:u w:val="single"/>
        </w:rPr>
        <w:t>______</w:t>
      </w:r>
      <w:r>
        <w:rPr>
          <w:rFonts w:hint="eastAsia" w:ascii="仿宋_GB2312" w:eastAsia="仿宋_GB2312"/>
          <w:sz w:val="24"/>
          <w:szCs w:val="24"/>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6</w:t>
      </w:r>
      <w:r>
        <w:rPr>
          <w:rFonts w:hint="eastAsia" w:ascii="仿宋_GB2312" w:hAnsi="宋体" w:eastAsia="仿宋_GB2312" w:cs="宋体"/>
          <w:kern w:val="0"/>
          <w:sz w:val="24"/>
        </w:rPr>
        <w:t>、本协议书自签署之日起生效，合同履行完毕后自动失效。</w:t>
      </w:r>
    </w:p>
    <w:p>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7</w:t>
      </w:r>
      <w:r>
        <w:rPr>
          <w:rFonts w:hint="eastAsia" w:ascii="仿宋_GB2312" w:hAnsi="宋体" w:eastAsia="仿宋_GB2312" w:cs="宋体"/>
          <w:kern w:val="0"/>
          <w:sz w:val="24"/>
        </w:rPr>
        <w:t>、本协议书一式</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份，联合体成员和采购代理机构各执一份。</w:t>
      </w:r>
    </w:p>
    <w:p>
      <w:pPr>
        <w:autoSpaceDE w:val="0"/>
        <w:autoSpaceDN w:val="0"/>
        <w:adjustRightInd w:val="0"/>
        <w:spacing w:line="360" w:lineRule="auto"/>
        <w:ind w:firstLine="420"/>
        <w:jc w:val="left"/>
        <w:rPr>
          <w:rFonts w:hint="eastAsia" w:ascii="仿宋_GB2312" w:eastAsia="仿宋_GB2312" w:cs="宋体"/>
          <w:kern w:val="0"/>
          <w:sz w:val="24"/>
        </w:rPr>
      </w:pPr>
      <w:r>
        <w:rPr>
          <w:rFonts w:hint="eastAsia" w:ascii="仿宋_GB2312" w:eastAsia="仿宋_GB2312" w:cs="宋体"/>
          <w:kern w:val="0"/>
          <w:sz w:val="24"/>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rPr>
        <w:t>牵头人名称：</w:t>
      </w:r>
      <w:r>
        <w:rPr>
          <w:rFonts w:hint="eastAsia" w:ascii="仿宋_GB2312" w:eastAsia="仿宋_GB2312" w:cs="宋体"/>
          <w:kern w:val="0"/>
          <w:sz w:val="24"/>
          <w:u w:val="single"/>
        </w:rPr>
        <w:t xml:space="preserve">                                       </w:t>
      </w:r>
      <w:r>
        <w:rPr>
          <w:rFonts w:hint="eastAsia" w:ascii="仿宋_GB2312" w:eastAsia="仿宋_GB2312" w:cs="宋体"/>
          <w:kern w:val="0"/>
          <w:sz w:val="24"/>
        </w:rPr>
        <w:t>（盖单位公章）</w:t>
      </w:r>
    </w:p>
    <w:p>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rPr>
        <w:t>法定代表人或其委托代理人：</w:t>
      </w:r>
      <w:r>
        <w:rPr>
          <w:rFonts w:hint="eastAsia" w:ascii="仿宋_GB2312" w:eastAsia="仿宋_GB2312" w:cs="宋体"/>
          <w:kern w:val="0"/>
          <w:sz w:val="24"/>
          <w:u w:val="single"/>
        </w:rPr>
        <w:t xml:space="preserve">                         </w:t>
      </w:r>
      <w:r>
        <w:rPr>
          <w:rFonts w:hint="eastAsia" w:ascii="仿宋_GB2312" w:eastAsia="仿宋_GB2312" w:cs="宋体"/>
          <w:kern w:val="0"/>
          <w:sz w:val="24"/>
        </w:rPr>
        <w:t>（签字或盖章）</w:t>
      </w:r>
    </w:p>
    <w:p>
      <w:pPr>
        <w:autoSpaceDE w:val="0"/>
        <w:autoSpaceDN w:val="0"/>
        <w:adjustRightInd w:val="0"/>
        <w:spacing w:line="360" w:lineRule="auto"/>
        <w:jc w:val="left"/>
        <w:rPr>
          <w:rFonts w:hint="eastAsia" w:ascii="仿宋_GB2312" w:eastAsia="仿宋_GB2312" w:cs="宋体"/>
          <w:kern w:val="0"/>
          <w:sz w:val="24"/>
        </w:rPr>
      </w:pPr>
    </w:p>
    <w:p>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rPr>
        <w:t>成员一名称：</w:t>
      </w:r>
      <w:r>
        <w:rPr>
          <w:rFonts w:hint="eastAsia" w:ascii="仿宋_GB2312" w:eastAsia="仿宋_GB2312" w:cs="宋体"/>
          <w:kern w:val="0"/>
          <w:sz w:val="24"/>
          <w:u w:val="single"/>
        </w:rPr>
        <w:t xml:space="preserve">                                       </w:t>
      </w:r>
      <w:r>
        <w:rPr>
          <w:rFonts w:hint="eastAsia" w:ascii="仿宋_GB2312" w:eastAsia="仿宋_GB2312" w:cs="宋体"/>
          <w:kern w:val="0"/>
          <w:sz w:val="24"/>
        </w:rPr>
        <w:t>（盖单位公章）</w:t>
      </w:r>
    </w:p>
    <w:p>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rPr>
        <w:t>法定代表人或其委托代理人：</w:t>
      </w:r>
      <w:r>
        <w:rPr>
          <w:rFonts w:hint="eastAsia" w:ascii="仿宋_GB2312" w:eastAsia="仿宋_GB2312" w:cs="宋体"/>
          <w:kern w:val="0"/>
          <w:sz w:val="24"/>
          <w:u w:val="single"/>
        </w:rPr>
        <w:t xml:space="preserve">                         </w:t>
      </w:r>
      <w:r>
        <w:rPr>
          <w:rFonts w:hint="eastAsia" w:ascii="仿宋_GB2312" w:eastAsia="仿宋_GB2312" w:cs="宋体"/>
          <w:kern w:val="0"/>
          <w:sz w:val="24"/>
        </w:rPr>
        <w:t>（签字或盖章）</w:t>
      </w:r>
    </w:p>
    <w:p>
      <w:pPr>
        <w:autoSpaceDE w:val="0"/>
        <w:autoSpaceDN w:val="0"/>
        <w:adjustRightInd w:val="0"/>
        <w:spacing w:line="360" w:lineRule="auto"/>
        <w:jc w:val="left"/>
        <w:rPr>
          <w:rFonts w:hint="eastAsia" w:ascii="宋体" w:cs="宋体"/>
          <w:kern w:val="0"/>
          <w:szCs w:val="21"/>
        </w:rPr>
      </w:pPr>
    </w:p>
    <w:p>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rPr>
        <w:t>成员二名称：</w:t>
      </w:r>
      <w:r>
        <w:rPr>
          <w:rFonts w:hint="eastAsia" w:ascii="仿宋_GB2312" w:eastAsia="仿宋_GB2312" w:cs="宋体"/>
          <w:kern w:val="0"/>
          <w:sz w:val="24"/>
          <w:u w:val="single"/>
        </w:rPr>
        <w:t xml:space="preserve">                                       </w:t>
      </w:r>
      <w:r>
        <w:rPr>
          <w:rFonts w:hint="eastAsia" w:ascii="仿宋_GB2312" w:eastAsia="仿宋_GB2312" w:cs="宋体"/>
          <w:kern w:val="0"/>
          <w:sz w:val="24"/>
        </w:rPr>
        <w:t>（盖单位公章）</w:t>
      </w:r>
    </w:p>
    <w:p>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rPr>
        <w:t>法定代表人或其委托代理人：                         （签字或盖章）</w:t>
      </w:r>
    </w:p>
    <w:p>
      <w:pPr>
        <w:autoSpaceDE w:val="0"/>
        <w:autoSpaceDN w:val="0"/>
        <w:adjustRightInd w:val="0"/>
        <w:spacing w:line="360" w:lineRule="auto"/>
        <w:jc w:val="left"/>
        <w:rPr>
          <w:rFonts w:hint="eastAsia" w:ascii="仿宋_GB2312" w:eastAsia="仿宋_GB2312" w:cs="宋体"/>
          <w:kern w:val="0"/>
          <w:sz w:val="24"/>
        </w:rPr>
      </w:pPr>
    </w:p>
    <w:p>
      <w:pPr>
        <w:autoSpaceDE w:val="0"/>
        <w:autoSpaceDN w:val="0"/>
        <w:adjustRightInd w:val="0"/>
        <w:spacing w:line="360" w:lineRule="auto"/>
        <w:jc w:val="left"/>
        <w:rPr>
          <w:rFonts w:hint="eastAsia" w:ascii="仿宋_GB2312" w:eastAsia="仿宋_GB2312" w:cs="宋体"/>
          <w:kern w:val="0"/>
          <w:sz w:val="24"/>
        </w:rPr>
      </w:pPr>
    </w:p>
    <w:p>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autoSpaceDE w:val="0"/>
        <w:autoSpaceDN w:val="0"/>
        <w:spacing w:line="360" w:lineRule="auto"/>
        <w:ind w:firstLine="6120" w:firstLineChars="2550"/>
        <w:rPr>
          <w:rFonts w:hint="eastAsia" w:ascii="仿宋_GB2312" w:hAnsi="仿宋" w:eastAsia="仿宋_GB2312" w:cs="仿宋_GB2312"/>
          <w:kern w:val="0"/>
          <w:sz w:val="24"/>
          <w:lang w:val="zh-CN"/>
        </w:rPr>
      </w:pPr>
    </w:p>
    <w:p>
      <w:pPr>
        <w:autoSpaceDE w:val="0"/>
        <w:autoSpaceDN w:val="0"/>
        <w:spacing w:line="360" w:lineRule="auto"/>
        <w:ind w:firstLine="6120" w:firstLineChars="2550"/>
        <w:rPr>
          <w:rFonts w:hint="eastAsia" w:ascii="仿宋_GB2312" w:hAnsi="仿宋" w:eastAsia="仿宋_GB2312" w:cs="仿宋_GB2312"/>
          <w:kern w:val="0"/>
          <w:sz w:val="24"/>
          <w:lang w:val="zh-CN"/>
        </w:rPr>
      </w:pPr>
    </w:p>
    <w:p>
      <w:pPr>
        <w:autoSpaceDE w:val="0"/>
        <w:autoSpaceDN w:val="0"/>
        <w:spacing w:line="360" w:lineRule="auto"/>
        <w:ind w:firstLine="6120" w:firstLineChars="2550"/>
        <w:rPr>
          <w:rFonts w:hint="eastAsia" w:ascii="仿宋_GB2312" w:hAnsi="仿宋" w:eastAsia="仿宋_GB2312" w:cs="仿宋_GB2312"/>
          <w:kern w:val="0"/>
          <w:sz w:val="24"/>
          <w:lang w:val="zh-CN"/>
        </w:rPr>
      </w:pPr>
    </w:p>
    <w:p>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八、符合特定资格条件（如果项目要求）的有关证明材料（复印件）</w:t>
      </w:r>
    </w:p>
    <w:p>
      <w:pPr>
        <w:snapToGrid w:val="0"/>
        <w:spacing w:line="360" w:lineRule="auto"/>
        <w:ind w:firstLine="602" w:firstLineChars="200"/>
        <w:rPr>
          <w:rFonts w:ascii="仿宋" w:hAnsi="仿宋" w:eastAsia="仿宋" w:cs="仿宋_GB2312"/>
          <w:b/>
          <w:sz w:val="30"/>
          <w:szCs w:val="30"/>
        </w:rPr>
      </w:pP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autoSpaceDE w:val="0"/>
        <w:autoSpaceDN w:val="0"/>
        <w:spacing w:line="360" w:lineRule="auto"/>
        <w:ind w:firstLine="5355" w:firstLineChars="2550"/>
        <w:rPr>
          <w:rFonts w:ascii="宋体" w:hAnsi="宋体"/>
        </w:rPr>
        <w:sectPr>
          <w:pgSz w:w="11910" w:h="16840"/>
          <w:pgMar w:top="1340" w:right="1500" w:bottom="280" w:left="1680" w:header="720" w:footer="720" w:gutter="0"/>
          <w:cols w:space="720" w:num="1"/>
        </w:sectPr>
      </w:pPr>
    </w:p>
    <w:p>
      <w:pPr>
        <w:pStyle w:val="4"/>
        <w:jc w:val="center"/>
        <w:rPr>
          <w:rFonts w:hint="eastAsia" w:ascii="宋体" w:hAnsi="宋体"/>
          <w:b w:val="0"/>
        </w:rPr>
      </w:pPr>
      <w:bookmarkStart w:id="92" w:name="_Toc80205940"/>
      <w:r>
        <w:rPr>
          <w:rFonts w:hint="eastAsia" w:ascii="宋体" w:hAnsi="宋体"/>
          <w:b w:val="0"/>
          <w:bCs w:val="0"/>
        </w:rPr>
        <w:t xml:space="preserve">第二节 </w:t>
      </w:r>
      <w:r>
        <w:rPr>
          <w:rFonts w:hint="eastAsia" w:ascii="宋体" w:hAnsi="宋体"/>
          <w:b w:val="0"/>
        </w:rPr>
        <w:t>商务技术文件格式</w:t>
      </w:r>
      <w:bookmarkEnd w:id="92"/>
    </w:p>
    <w:p>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件（封面）</w:t>
      </w: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pPr>
        <w:snapToGrid w:val="0"/>
        <w:spacing w:before="120" w:beforeLines="50" w:after="50"/>
        <w:ind w:firstLine="720" w:firstLineChars="225"/>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120" w:beforeLines="50" w:after="50"/>
        <w:ind w:firstLine="720" w:firstLineChars="225"/>
        <w:rPr>
          <w:rFonts w:hint="eastAsia" w:ascii="宋体" w:hAnsi="宋体" w:cs="仿宋_GB2312"/>
          <w:bCs/>
          <w:sz w:val="32"/>
          <w:szCs w:val="32"/>
        </w:rPr>
      </w:pPr>
    </w:p>
    <w:p>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1280" w:firstLineChars="400"/>
        <w:rPr>
          <w:rFonts w:hint="eastAsia" w:ascii="宋体" w:hAnsi="宋体" w:cs="仿宋_GB2312"/>
          <w:bCs/>
          <w:sz w:val="32"/>
          <w:szCs w:val="32"/>
        </w:rPr>
      </w:pPr>
    </w:p>
    <w:p>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pPr>
        <w:jc w:val="center"/>
        <w:rPr>
          <w:rFonts w:hint="eastAsia" w:ascii="仿宋_GB2312" w:hAnsi="仿宋" w:eastAsia="仿宋_GB2312" w:cs="仿宋_GB2312"/>
          <w:b/>
          <w:kern w:val="0"/>
          <w:sz w:val="28"/>
          <w:szCs w:val="28"/>
        </w:rPr>
      </w:pPr>
      <w:r>
        <w:rPr>
          <w:rFonts w:ascii="宋体" w:hAnsi="宋体"/>
          <w:sz w:val="24"/>
        </w:rPr>
        <w:br w:type="page"/>
      </w:r>
      <w:r>
        <w:rPr>
          <w:rFonts w:hint="eastAsia" w:ascii="仿宋_GB2312" w:hAnsi="仿宋" w:eastAsia="仿宋_GB2312" w:cs="仿宋_GB2312"/>
          <w:b/>
          <w:kern w:val="0"/>
          <w:sz w:val="28"/>
          <w:szCs w:val="28"/>
        </w:rPr>
        <w:t>商务技术文件目录</w:t>
      </w:r>
    </w:p>
    <w:p>
      <w:pPr>
        <w:pStyle w:val="30"/>
        <w:spacing w:line="360" w:lineRule="auto"/>
        <w:rPr>
          <w:rFonts w:hint="eastAsia" w:cs="仿宋_GB2312"/>
        </w:rPr>
      </w:pPr>
      <w:r>
        <w:rPr>
          <w:rFonts w:hint="eastAsia" w:cs="仿宋_GB2312"/>
        </w:rPr>
        <w:t>一、无串标行为承诺函………………………………………………………（页码）</w:t>
      </w:r>
    </w:p>
    <w:p>
      <w:pPr>
        <w:pStyle w:val="30"/>
        <w:spacing w:line="360" w:lineRule="auto"/>
        <w:rPr>
          <w:rFonts w:hint="eastAsia" w:cs="仿宋_GB2312"/>
        </w:rPr>
      </w:pPr>
      <w:r>
        <w:rPr>
          <w:rFonts w:hint="eastAsia" w:cs="仿宋_GB2312"/>
        </w:rPr>
        <w:t>二、法定代表人身份证明及法定代表人有效身份证正反面复印件………（页码）</w:t>
      </w:r>
    </w:p>
    <w:p>
      <w:pPr>
        <w:pStyle w:val="30"/>
        <w:spacing w:line="360" w:lineRule="auto"/>
        <w:rPr>
          <w:rFonts w:hint="eastAsia" w:cs="仿宋_GB2312"/>
        </w:rPr>
      </w:pPr>
      <w:r>
        <w:rPr>
          <w:rFonts w:hint="eastAsia" w:cs="仿宋_GB2312"/>
        </w:rPr>
        <w:t>三、法定代表人授权委托书（如有委托时）………………………………（页码）</w:t>
      </w:r>
    </w:p>
    <w:p>
      <w:pPr>
        <w:pStyle w:val="30"/>
        <w:spacing w:line="360" w:lineRule="auto"/>
        <w:rPr>
          <w:rFonts w:hint="eastAsia" w:cs="仿宋_GB2312"/>
        </w:rPr>
      </w:pPr>
      <w:r>
        <w:rPr>
          <w:rFonts w:hint="eastAsia" w:cs="仿宋_GB2312"/>
        </w:rPr>
        <w:t>四、</w:t>
      </w:r>
      <w:r>
        <w:rPr>
          <w:rFonts w:hint="eastAsia" w:cs="仿宋_GB2312"/>
          <w:lang w:val="zh-CN"/>
        </w:rPr>
        <w:t>商务条款偏离表………………………………</w:t>
      </w:r>
      <w:r>
        <w:rPr>
          <w:rFonts w:hint="eastAsia" w:cs="仿宋_GB2312"/>
        </w:rPr>
        <w:t>…………………………（页码）</w:t>
      </w:r>
    </w:p>
    <w:p>
      <w:pPr>
        <w:pStyle w:val="30"/>
        <w:spacing w:line="360" w:lineRule="auto"/>
        <w:rPr>
          <w:rFonts w:hint="eastAsia" w:cs="仿宋_GB2312"/>
        </w:rPr>
      </w:pPr>
      <w:bookmarkStart w:id="93" w:name="OLE_LINK7"/>
      <w:bookmarkStart w:id="94" w:name="OLE_LINK6"/>
      <w:bookmarkStart w:id="95" w:name="OLE_LINK5"/>
      <w:r>
        <w:rPr>
          <w:rFonts w:hint="eastAsia" w:cs="仿宋_GB2312"/>
        </w:rPr>
        <w:t>五、竞标人情况介绍</w:t>
      </w:r>
      <w:r>
        <w:rPr>
          <w:rFonts w:hint="eastAsia" w:cs="仿宋_GB2312"/>
          <w:lang w:val="zh-CN"/>
        </w:rPr>
        <w:t>………………………………</w:t>
      </w:r>
      <w:r>
        <w:rPr>
          <w:rFonts w:hint="eastAsia" w:cs="仿宋_GB2312"/>
        </w:rPr>
        <w:t>…………………………（页码）</w:t>
      </w:r>
    </w:p>
    <w:p>
      <w:pPr>
        <w:pStyle w:val="30"/>
        <w:spacing w:line="360" w:lineRule="auto"/>
        <w:rPr>
          <w:rFonts w:hint="eastAsia" w:cs="仿宋_GB2312"/>
        </w:rPr>
      </w:pPr>
      <w:r>
        <w:rPr>
          <w:rFonts w:hint="eastAsia" w:cs="仿宋_GB2312"/>
        </w:rPr>
        <w:t>六、供应商类似业绩的证明文件（如有要求）</w:t>
      </w:r>
      <w:r>
        <w:rPr>
          <w:rFonts w:hint="eastAsia" w:cs="仿宋_GB2312"/>
          <w:lang w:val="zh-CN"/>
        </w:rPr>
        <w:t>……………………………</w:t>
      </w:r>
      <w:r>
        <w:rPr>
          <w:rFonts w:hint="eastAsia" w:cs="仿宋_GB2312"/>
        </w:rPr>
        <w:t>（页码）</w:t>
      </w:r>
      <w:bookmarkEnd w:id="93"/>
      <w:bookmarkEnd w:id="94"/>
    </w:p>
    <w:bookmarkEnd w:id="95"/>
    <w:p>
      <w:pPr>
        <w:pStyle w:val="30"/>
        <w:spacing w:line="360" w:lineRule="auto"/>
        <w:rPr>
          <w:rFonts w:hint="eastAsia" w:cs="仿宋_GB2312"/>
        </w:rPr>
      </w:pPr>
      <w:r>
        <w:rPr>
          <w:rFonts w:hint="eastAsia" w:cs="仿宋_GB2312"/>
        </w:rPr>
        <w:t>七、货物需求偏离表…………………………………………………………（页码）</w:t>
      </w:r>
    </w:p>
    <w:p>
      <w:pPr>
        <w:pStyle w:val="30"/>
        <w:spacing w:line="360" w:lineRule="auto"/>
        <w:rPr>
          <w:rFonts w:hint="eastAsia" w:cs="仿宋_GB2312"/>
        </w:rPr>
      </w:pPr>
      <w:r>
        <w:rPr>
          <w:rFonts w:hint="eastAsia" w:cs="仿宋_GB2312"/>
        </w:rPr>
        <w:t>八、配置清单…………………………………………………………………（页码）</w:t>
      </w:r>
    </w:p>
    <w:p>
      <w:pPr>
        <w:pStyle w:val="30"/>
        <w:spacing w:line="360" w:lineRule="auto"/>
        <w:rPr>
          <w:rFonts w:hint="eastAsia" w:cs="仿宋_GB2312"/>
        </w:rPr>
      </w:pPr>
      <w:r>
        <w:rPr>
          <w:rFonts w:hint="eastAsia" w:cs="仿宋_GB2312"/>
        </w:rPr>
        <w:t>九、售后服务方案………………………………</w:t>
      </w:r>
      <w:r>
        <w:rPr>
          <w:rFonts w:hint="eastAsia" w:cs="仿宋_GB2312"/>
          <w:lang w:val="zh-CN"/>
        </w:rPr>
        <w:t>………</w:t>
      </w:r>
      <w:r>
        <w:rPr>
          <w:rFonts w:hint="eastAsia" w:cs="仿宋_GB2312"/>
        </w:rPr>
        <w:t>……………………（页码）</w:t>
      </w:r>
    </w:p>
    <w:p>
      <w:pPr>
        <w:pStyle w:val="30"/>
        <w:spacing w:line="360" w:lineRule="auto"/>
        <w:rPr>
          <w:rFonts w:hint="eastAsia" w:cs="仿宋_GB2312"/>
        </w:rPr>
      </w:pPr>
      <w:r>
        <w:rPr>
          <w:rFonts w:hint="eastAsia" w:cs="仿宋_GB2312"/>
        </w:rPr>
        <w:t>十、</w:t>
      </w:r>
      <w:r>
        <w:rPr>
          <w:rFonts w:hint="eastAsia" w:cs="仿宋_GB2312"/>
          <w:lang w:val="zh-CN"/>
        </w:rPr>
        <w:t>项目实施人员一览表（如有要求）…………………………</w:t>
      </w:r>
      <w:r>
        <w:rPr>
          <w:rFonts w:hint="eastAsia" w:cs="仿宋_GB2312"/>
        </w:rPr>
        <w:t>…………（页码）</w:t>
      </w:r>
    </w:p>
    <w:p>
      <w:pPr>
        <w:pStyle w:val="30"/>
        <w:spacing w:line="360" w:lineRule="auto"/>
        <w:rPr>
          <w:rFonts w:hint="eastAsia" w:cs="仿宋_GB2312"/>
        </w:rPr>
      </w:pPr>
      <w:r>
        <w:rPr>
          <w:rFonts w:hint="eastAsia" w:cs="仿宋_GB2312"/>
        </w:rPr>
        <w:t>十一、货物需求、商务条款要求提供的其他材料</w:t>
      </w:r>
      <w:r>
        <w:rPr>
          <w:rFonts w:hint="eastAsia" w:cs="仿宋_GB2312"/>
          <w:lang w:val="zh-CN"/>
        </w:rPr>
        <w:t>…………………</w:t>
      </w:r>
      <w:r>
        <w:rPr>
          <w:rFonts w:hint="eastAsia" w:cs="仿宋_GB2312"/>
        </w:rPr>
        <w:t>………（页码）</w:t>
      </w:r>
    </w:p>
    <w:p>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注：以上目录是基本格式要求，各供应商可根据自身情况进一步向下增加内容或细化。</w:t>
      </w:r>
    </w:p>
    <w:p>
      <w:pPr>
        <w:snapToGrid w:val="0"/>
        <w:spacing w:before="120" w:beforeLines="50" w:after="50" w:line="360" w:lineRule="auto"/>
        <w:ind w:left="142" w:firstLine="640" w:firstLineChars="200"/>
        <w:jc w:val="left"/>
        <w:rPr>
          <w:rFonts w:hint="eastAsia" w:ascii="仿宋_GB2312" w:hAnsi="仿宋_GB2312" w:eastAsia="仿宋_GB2312" w:cs="仿宋_GB2312"/>
          <w:sz w:val="32"/>
          <w:szCs w:val="32"/>
        </w:rPr>
      </w:pPr>
    </w:p>
    <w:p>
      <w:pPr>
        <w:spacing w:line="520" w:lineRule="exact"/>
        <w:ind w:firstLine="880" w:firstLineChars="2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一、无串标行为承诺函</w:t>
      </w: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无串通竞标行为的承诺函</w:t>
      </w:r>
    </w:p>
    <w:p>
      <w:pPr>
        <w:spacing w:line="360" w:lineRule="auto"/>
        <w:contextualSpacing/>
        <w:rPr>
          <w:rFonts w:hint="eastAsia" w:ascii="仿宋_GB2312" w:hAnsi="仿宋_GB2312" w:eastAsia="仿宋_GB2312" w:cs="仿宋_GB2312"/>
          <w:color w:val="000000"/>
          <w:sz w:val="32"/>
          <w:szCs w:val="32"/>
        </w:rPr>
      </w:pPr>
    </w:p>
    <w:p>
      <w:pPr>
        <w:spacing w:line="360" w:lineRule="auto"/>
        <w:ind w:firstLine="482" w:firstLineChars="200"/>
        <w:contextualSpacing/>
        <w:rPr>
          <w:rFonts w:hint="eastAsia" w:ascii="宋体" w:hAnsi="宋体" w:cs="仿宋_GB2312"/>
          <w:b/>
          <w:bCs/>
          <w:color w:val="000000"/>
          <w:sz w:val="24"/>
          <w:highlight w:val="none"/>
        </w:rPr>
      </w:pPr>
      <w:r>
        <w:rPr>
          <w:rFonts w:hint="eastAsia" w:ascii="宋体" w:hAnsi="宋体" w:cs="仿宋_GB2312"/>
          <w:b/>
          <w:bCs/>
          <w:color w:val="000000"/>
          <w:sz w:val="24"/>
          <w:highlight w:val="none"/>
        </w:rPr>
        <w:t>一、我方承诺无下列相互串通竞标的情形：</w:t>
      </w:r>
    </w:p>
    <w:p>
      <w:pPr>
        <w:spacing w:line="360" w:lineRule="auto"/>
        <w:ind w:firstLine="480" w:firstLineChars="200"/>
        <w:contextualSpacing/>
        <w:rPr>
          <w:rFonts w:hint="eastAsia" w:ascii="宋体" w:hAnsi="宋体" w:cs="仿宋_GB2312"/>
          <w:color w:val="000000"/>
          <w:sz w:val="24"/>
          <w:highlight w:val="none"/>
        </w:rPr>
      </w:pPr>
      <w:r>
        <w:rPr>
          <w:rFonts w:hint="eastAsia" w:ascii="宋体" w:hAnsi="宋体" w:cs="仿宋_GB2312"/>
          <w:color w:val="000000"/>
          <w:sz w:val="24"/>
          <w:highlight w:val="none"/>
        </w:rPr>
        <w:t>1.不同供应商的响应文件由同一单位或者个人编制；</w:t>
      </w:r>
    </w:p>
    <w:p>
      <w:pPr>
        <w:spacing w:line="360" w:lineRule="auto"/>
        <w:ind w:firstLine="480" w:firstLineChars="200"/>
        <w:contextualSpacing/>
        <w:rPr>
          <w:rFonts w:hint="eastAsia" w:ascii="宋体" w:hAnsi="宋体" w:cs="仿宋_GB2312"/>
          <w:color w:val="000000"/>
          <w:sz w:val="24"/>
          <w:highlight w:val="none"/>
        </w:rPr>
      </w:pPr>
      <w:r>
        <w:rPr>
          <w:rFonts w:hint="eastAsia" w:ascii="宋体" w:hAnsi="宋体" w:cs="仿宋_GB2312"/>
          <w:color w:val="000000"/>
          <w:sz w:val="24"/>
          <w:highlight w:val="none"/>
        </w:rPr>
        <w:t>2.不同供应商委托同一单位或者个人办理竞标事宜；</w:t>
      </w:r>
    </w:p>
    <w:p>
      <w:pPr>
        <w:spacing w:line="360" w:lineRule="auto"/>
        <w:ind w:firstLine="480" w:firstLineChars="200"/>
        <w:contextualSpacing/>
        <w:rPr>
          <w:rFonts w:hint="eastAsia" w:ascii="宋体" w:hAnsi="宋体" w:cs="仿宋_GB2312"/>
          <w:color w:val="000000"/>
          <w:sz w:val="24"/>
          <w:highlight w:val="none"/>
        </w:rPr>
      </w:pPr>
      <w:r>
        <w:rPr>
          <w:rFonts w:hint="eastAsia" w:ascii="宋体" w:hAnsi="宋体" w:cs="仿宋_GB2312"/>
          <w:color w:val="000000"/>
          <w:sz w:val="24"/>
          <w:highlight w:val="none"/>
        </w:rPr>
        <w:t>3.不同的供应商的响应文件载明的项目管理员为同一个人；</w:t>
      </w:r>
    </w:p>
    <w:p>
      <w:pPr>
        <w:spacing w:line="360" w:lineRule="auto"/>
        <w:ind w:firstLine="480" w:firstLineChars="200"/>
        <w:contextualSpacing/>
        <w:rPr>
          <w:rFonts w:hint="eastAsia" w:ascii="宋体" w:hAnsi="宋体" w:cs="仿宋_GB2312"/>
          <w:color w:val="000000"/>
          <w:sz w:val="24"/>
          <w:highlight w:val="none"/>
        </w:rPr>
      </w:pPr>
      <w:r>
        <w:rPr>
          <w:rFonts w:hint="eastAsia" w:ascii="宋体" w:hAnsi="宋体" w:cs="仿宋_GB2312"/>
          <w:color w:val="000000"/>
          <w:sz w:val="24"/>
          <w:highlight w:val="none"/>
        </w:rPr>
        <w:t>4.不</w:t>
      </w:r>
      <w:r>
        <w:rPr>
          <w:rFonts w:hint="eastAsia" w:ascii="宋体" w:hAnsi="宋体" w:cs="仿宋_GB2312"/>
          <w:color w:val="000000"/>
          <w:spacing w:val="-6"/>
          <w:sz w:val="24"/>
          <w:highlight w:val="none"/>
        </w:rPr>
        <w:t>同供应商的响应文件异常一致或者竞标报价呈规律性差异；</w:t>
      </w:r>
    </w:p>
    <w:p>
      <w:pPr>
        <w:spacing w:line="360" w:lineRule="auto"/>
        <w:ind w:firstLine="480" w:firstLineChars="200"/>
        <w:contextualSpacing/>
        <w:rPr>
          <w:rFonts w:hint="eastAsia" w:ascii="宋体" w:hAnsi="宋体" w:cs="仿宋_GB2312"/>
          <w:color w:val="000000"/>
          <w:sz w:val="24"/>
          <w:highlight w:val="none"/>
        </w:rPr>
      </w:pPr>
      <w:r>
        <w:rPr>
          <w:rFonts w:hint="eastAsia" w:ascii="宋体" w:hAnsi="宋体" w:cs="仿宋_GB2312"/>
          <w:color w:val="000000"/>
          <w:sz w:val="24"/>
          <w:highlight w:val="none"/>
        </w:rPr>
        <w:t>5.不同供应商的响应文件相互混装；</w:t>
      </w:r>
    </w:p>
    <w:p>
      <w:pPr>
        <w:spacing w:line="360" w:lineRule="auto"/>
        <w:ind w:firstLine="480" w:firstLineChars="200"/>
        <w:contextualSpacing/>
        <w:rPr>
          <w:rFonts w:hint="eastAsia" w:ascii="宋体" w:hAnsi="宋体" w:cs="仿宋_GB2312"/>
          <w:color w:val="000000"/>
          <w:sz w:val="24"/>
          <w:highlight w:val="none"/>
        </w:rPr>
      </w:pPr>
      <w:r>
        <w:rPr>
          <w:rFonts w:hint="eastAsia" w:ascii="宋体" w:hAnsi="宋体" w:cs="仿宋_GB2312"/>
          <w:color w:val="000000"/>
          <w:sz w:val="24"/>
          <w:highlight w:val="none"/>
        </w:rPr>
        <w:t>6.不同供应商的竞标保证金从同一单位或者个人账户转出。</w:t>
      </w:r>
    </w:p>
    <w:p>
      <w:pPr>
        <w:spacing w:line="360" w:lineRule="auto"/>
        <w:ind w:firstLine="482" w:firstLineChars="200"/>
        <w:contextualSpacing/>
        <w:rPr>
          <w:rFonts w:hint="eastAsia" w:ascii="宋体" w:hAnsi="宋体" w:cs="仿宋_GB2312"/>
          <w:b/>
          <w:bCs/>
          <w:color w:val="000000"/>
          <w:sz w:val="24"/>
          <w:highlight w:val="none"/>
        </w:rPr>
      </w:pPr>
      <w:r>
        <w:rPr>
          <w:rFonts w:hint="eastAsia" w:ascii="宋体" w:hAnsi="宋体" w:cs="仿宋_GB2312"/>
          <w:b/>
          <w:bCs/>
          <w:color w:val="000000"/>
          <w:sz w:val="24"/>
          <w:highlight w:val="none"/>
        </w:rPr>
        <w:t>二、我方承诺无下列恶意串通的情形：</w:t>
      </w:r>
    </w:p>
    <w:p>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1.供应商直接或者间接从采购人或者采购代理机构处获得其他供应商的相关信息并修改其响应文件；</w:t>
      </w:r>
    </w:p>
    <w:p>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2.供应商按照采购人或者采购代理机构的授意撤换、修改响应文件；</w:t>
      </w:r>
    </w:p>
    <w:p>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3.供</w:t>
      </w:r>
      <w:r>
        <w:rPr>
          <w:rFonts w:hint="eastAsia" w:ascii="宋体" w:hAnsi="宋体" w:cs="仿宋_GB2312"/>
          <w:color w:val="000000"/>
          <w:spacing w:val="-6"/>
          <w:sz w:val="24"/>
        </w:rPr>
        <w:t>应商之间协商报价、技术方案等响应文件的实质性内容；</w:t>
      </w:r>
    </w:p>
    <w:p>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4.属于同一集团、协会、商会等组织成员的供应商按照该组织要求协同参加政府采购活动；</w:t>
      </w:r>
    </w:p>
    <w:p>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5.供应商之间事先约定一致抬高或者压低竞标报价,或者在竞争性谈判项目中事先约定轮流以高价位或者低价位成交,或者事先约定由某一特定供应商成交,然后再参加竞标；</w:t>
      </w:r>
    </w:p>
    <w:p>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6.供应商之间商定部分供应商放弃参加政府采购活动或者放弃成交；</w:t>
      </w:r>
    </w:p>
    <w:p>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7.供应商与采购人或者采购代理机构之间、供应商相互之间，为</w:t>
      </w:r>
      <w:r>
        <w:rPr>
          <w:rFonts w:hint="eastAsia" w:ascii="宋体" w:hAnsi="宋体" w:cs="仿宋_GB2312"/>
          <w:color w:val="000000"/>
          <w:spacing w:val="-6"/>
          <w:sz w:val="24"/>
        </w:rPr>
        <w:t>谋求特定供应商成交或者排斥其他供应商的其他串通行为。</w:t>
      </w:r>
    </w:p>
    <w:p>
      <w:pPr>
        <w:spacing w:line="360" w:lineRule="auto"/>
        <w:ind w:firstLine="480" w:firstLineChars="200"/>
        <w:contextualSpacing/>
        <w:rPr>
          <w:rFonts w:hint="eastAsia" w:ascii="宋体" w:hAnsi="宋体" w:cs="仿宋_GB2312"/>
          <w:color w:val="000000"/>
          <w:sz w:val="24"/>
        </w:rPr>
      </w:pPr>
    </w:p>
    <w:p>
      <w:pPr>
        <w:spacing w:line="360" w:lineRule="auto"/>
        <w:ind w:firstLine="482" w:firstLineChars="200"/>
        <w:contextualSpacing/>
        <w:rPr>
          <w:rFonts w:ascii="宋体" w:hAnsi="宋体" w:cs="仿宋_GB2312"/>
          <w:b/>
          <w:bCs/>
          <w:color w:val="000000"/>
          <w:sz w:val="24"/>
        </w:rPr>
      </w:pPr>
      <w:r>
        <w:rPr>
          <w:rFonts w:hint="eastAsia" w:ascii="宋体" w:hAnsi="宋体" w:cs="仿宋_GB2312"/>
          <w:b/>
          <w:bCs/>
          <w:color w:val="000000"/>
          <w:sz w:val="24"/>
        </w:rPr>
        <w:t>以上情形一经核查属实，我方愿意承担一切后果，并不再寻求任何旨在减轻或者免除法律责任的辩解。</w:t>
      </w: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spacing w:line="520" w:lineRule="exact"/>
        <w:ind w:firstLine="6360" w:firstLineChars="2650"/>
        <w:jc w:val="left"/>
        <w:rPr>
          <w:rFonts w:ascii="方正小标宋简体" w:hAnsi="方正小标宋简体" w:eastAsia="方正小标宋简体" w:cs="方正小标宋简体"/>
          <w:bCs/>
          <w:sz w:val="44"/>
          <w:szCs w:val="44"/>
        </w:rPr>
      </w:pPr>
      <w:r>
        <w:rPr>
          <w:rFonts w:hint="eastAsia" w:ascii="仿宋_GB2312" w:hAnsi="仿宋" w:eastAsia="仿宋_GB2312" w:cs="仿宋_GB2312"/>
          <w:kern w:val="0"/>
          <w:sz w:val="24"/>
          <w:lang w:val="zh-CN"/>
        </w:rPr>
        <w:t xml:space="preserve">日期：  年  月   日        </w:t>
      </w:r>
      <w:r>
        <w:rPr>
          <w:rFonts w:ascii="宋体" w:hAnsi="宋体"/>
          <w:b/>
          <w:bCs/>
          <w:sz w:val="32"/>
          <w:szCs w:val="32"/>
        </w:rPr>
        <w:br w:type="page"/>
      </w:r>
      <w:r>
        <w:rPr>
          <w:rFonts w:hint="eastAsia" w:ascii="仿宋" w:hAnsi="仿宋" w:eastAsia="仿宋" w:cs="仿宋_GB2312"/>
          <w:b/>
          <w:sz w:val="30"/>
          <w:szCs w:val="30"/>
        </w:rPr>
        <w:t>二、法定代表人身份证明及法定代表人有效身份证正反面复印件</w:t>
      </w:r>
    </w:p>
    <w:p>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pPr>
        <w:spacing w:line="360" w:lineRule="auto"/>
        <w:ind w:left="540"/>
        <w:contextualSpacing/>
        <w:rPr>
          <w:rFonts w:hint="eastAsia" w:ascii="仿宋_GB2312" w:hAnsi="仿宋_GB2312" w:eastAsia="仿宋_GB2312" w:cs="仿宋_GB2312"/>
          <w:sz w:val="32"/>
          <w:szCs w:val="32"/>
        </w:rPr>
      </w:pPr>
    </w:p>
    <w:p>
      <w:pPr>
        <w:spacing w:line="360" w:lineRule="auto"/>
        <w:ind w:left="54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pPr>
        <w:spacing w:line="360" w:lineRule="auto"/>
        <w:ind w:left="540"/>
        <w:contextualSpacing/>
        <w:rPr>
          <w:rFonts w:hint="eastAsia" w:ascii="宋体" w:hAnsi="宋体" w:cs="仿宋_GB2312"/>
          <w:sz w:val="24"/>
        </w:rPr>
      </w:pPr>
      <w:r>
        <w:rPr>
          <w:rFonts w:hint="eastAsia" w:ascii="宋体" w:hAnsi="宋体" w:cs="仿宋_GB2312"/>
          <w:sz w:val="24"/>
        </w:rPr>
        <w:t>特此证明。</w:t>
      </w:r>
    </w:p>
    <w:p>
      <w:pPr>
        <w:spacing w:line="360" w:lineRule="auto"/>
        <w:ind w:left="540"/>
        <w:contextualSpacing/>
        <w:rPr>
          <w:rFonts w:hint="eastAsia" w:ascii="宋体" w:hAnsi="宋体" w:cs="仿宋_GB2312"/>
          <w:sz w:val="24"/>
        </w:rPr>
      </w:pPr>
    </w:p>
    <w:p>
      <w:pPr>
        <w:spacing w:line="360" w:lineRule="auto"/>
        <w:ind w:left="540"/>
        <w:contextualSpacing/>
        <w:rPr>
          <w:rFonts w:hint="eastAsia" w:ascii="宋体" w:hAnsi="宋体" w:cs="仿宋_GB2312"/>
          <w:sz w:val="24"/>
        </w:rPr>
      </w:pPr>
    </w:p>
    <w:p>
      <w:pPr>
        <w:spacing w:line="360" w:lineRule="auto"/>
        <w:ind w:left="540"/>
        <w:contextualSpacing/>
        <w:rPr>
          <w:rFonts w:hint="eastAsia" w:ascii="宋体" w:hAnsi="宋体" w:cs="仿宋_GB2312"/>
          <w:sz w:val="24"/>
        </w:rPr>
      </w:pPr>
    </w:p>
    <w:p>
      <w:pPr>
        <w:spacing w:line="360" w:lineRule="auto"/>
        <w:ind w:left="540"/>
        <w:contextualSpacing/>
        <w:rPr>
          <w:rFonts w:hint="eastAsia" w:ascii="宋体" w:hAnsi="宋体" w:cs="仿宋_GB2312"/>
          <w:sz w:val="24"/>
        </w:rPr>
      </w:pPr>
      <w:r>
        <w:rPr>
          <w:rFonts w:hint="eastAsia" w:ascii="宋体" w:hAnsi="宋体" w:cs="仿宋_GB2312"/>
          <w:sz w:val="24"/>
        </w:rPr>
        <w:t>附件：法定代表人有效身份证正反面复印件</w:t>
      </w:r>
    </w:p>
    <w:p>
      <w:pPr>
        <w:spacing w:line="360" w:lineRule="auto"/>
        <w:ind w:left="540"/>
        <w:contextualSpacing/>
        <w:rPr>
          <w:rFonts w:hint="eastAsia" w:ascii="宋体" w:hAnsi="宋体" w:cs="仿宋_GB2312"/>
          <w:sz w:val="24"/>
        </w:rPr>
      </w:pP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spacing w:line="360" w:lineRule="auto"/>
        <w:contextualSpacing/>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pPr>
        <w:spacing w:line="360" w:lineRule="auto"/>
        <w:contextualSpacing/>
        <w:jc w:val="left"/>
        <w:rPr>
          <w:rFonts w:hint="eastAsia" w:ascii="宋体" w:hAnsi="宋体" w:cs="仿宋_GB2312"/>
          <w:sz w:val="24"/>
        </w:rPr>
      </w:pPr>
    </w:p>
    <w:p>
      <w:pPr>
        <w:spacing w:line="360" w:lineRule="auto"/>
        <w:contextualSpacing/>
        <w:jc w:val="left"/>
        <w:rPr>
          <w:rFonts w:ascii="宋体" w:hAnsi="宋体" w:cs="仿宋_GB2312"/>
          <w:sz w:val="24"/>
        </w:rPr>
      </w:pPr>
      <w:r>
        <w:rPr>
          <w:rFonts w:hint="eastAsia" w:ascii="宋体" w:hAnsi="宋体" w:cs="仿宋_GB2312"/>
          <w:sz w:val="24"/>
        </w:rPr>
        <w:t>注：1</w:t>
      </w:r>
      <w:r>
        <w:rPr>
          <w:rFonts w:ascii="宋体" w:hAnsi="宋体" w:cs="仿宋_GB2312"/>
          <w:sz w:val="24"/>
        </w:rPr>
        <w:t>.</w:t>
      </w:r>
      <w:r>
        <w:rPr>
          <w:rFonts w:hint="eastAsia" w:ascii="宋体" w:hAnsi="宋体" w:cs="仿宋_GB2312"/>
          <w:sz w:val="24"/>
        </w:rPr>
        <w:t>自然人竞标的无需提供，联合体竞标的只需牵头人出具。</w:t>
      </w:r>
    </w:p>
    <w:p>
      <w:pPr>
        <w:spacing w:line="360" w:lineRule="auto"/>
        <w:ind w:firstLine="480" w:firstLineChars="200"/>
        <w:contextualSpacing/>
        <w:jc w:val="left"/>
        <w:rPr>
          <w:rFonts w:ascii="宋体" w:hAnsi="宋体" w:cs="仿宋_GB2312"/>
          <w:sz w:val="24"/>
        </w:rPr>
        <w:sectPr>
          <w:pgSz w:w="11910" w:h="16840"/>
          <w:pgMar w:top="1340" w:right="1500" w:bottom="280" w:left="1680" w:header="720" w:footer="720" w:gutter="0"/>
          <w:cols w:space="720" w:num="1"/>
        </w:sect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21"/>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vAlign w:val="top"/>
          </w:tcPr>
          <w:p>
            <w:pPr>
              <w:spacing w:line="360" w:lineRule="auto"/>
              <w:rPr>
                <w:rFonts w:ascii="宋体"/>
                <w:b/>
                <w:sz w:val="24"/>
              </w:rPr>
            </w:pPr>
          </w:p>
          <w:p>
            <w:pPr>
              <w:spacing w:line="360" w:lineRule="auto"/>
              <w:rPr>
                <w:rFonts w:ascii="宋体"/>
                <w:b/>
                <w:sz w:val="24"/>
              </w:rPr>
            </w:pPr>
            <w:r>
              <w:rPr>
                <w:rFonts w:hint="eastAsia" w:ascii="宋体"/>
                <w:b/>
                <w:sz w:val="24"/>
              </w:rPr>
              <w:t>法定代表身份证复印件粘帖处（正、反面）</w:t>
            </w:r>
          </w:p>
        </w:tc>
      </w:tr>
    </w:tbl>
    <w:p>
      <w:pPr>
        <w:spacing w:line="360" w:lineRule="auto"/>
        <w:ind w:firstLine="482" w:firstLineChars="200"/>
        <w:contextualSpacing/>
        <w:jc w:val="left"/>
        <w:rPr>
          <w:rFonts w:hint="eastAsia" w:ascii="仿宋_GB2312" w:hAnsi="仿宋_GB2312" w:eastAsia="仿宋_GB2312" w:cs="仿宋_GB2312"/>
          <w:b/>
          <w:sz w:val="32"/>
          <w:szCs w:val="32"/>
        </w:rPr>
      </w:pPr>
      <w:r>
        <w:rPr>
          <w:rFonts w:hint="eastAsia" w:hAnsi="宋体"/>
          <w:b/>
          <w:color w:val="000000"/>
          <w:sz w:val="24"/>
        </w:rPr>
        <w:t>附件：</w:t>
      </w:r>
    </w:p>
    <w:p>
      <w:pPr>
        <w:adjustRightInd w:val="0"/>
        <w:snapToGrid w:val="0"/>
        <w:spacing w:line="300" w:lineRule="auto"/>
        <w:jc w:val="left"/>
        <w:rPr>
          <w:rFonts w:hint="eastAsia" w:ascii="宋体" w:hAnsi="宋体"/>
          <w:b/>
          <w:szCs w:val="21"/>
        </w:rPr>
      </w:pPr>
    </w:p>
    <w:p>
      <w:pPr>
        <w:snapToGrid w:val="0"/>
        <w:spacing w:line="360" w:lineRule="auto"/>
        <w:ind w:firstLine="880" w:firstLineChars="200"/>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三、法定代表人授权委托书</w:t>
      </w:r>
    </w:p>
    <w:p>
      <w:pPr>
        <w:spacing w:line="50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授权委托书（非联合体竞标格式）</w:t>
      </w: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pPr>
        <w:spacing w:line="520" w:lineRule="exact"/>
        <w:rPr>
          <w:rFonts w:hint="eastAsia" w:ascii="仿宋_GB2312" w:hAnsi="仿宋_GB2312" w:eastAsia="仿宋_GB2312" w:cs="仿宋_GB2312"/>
          <w:sz w:val="32"/>
          <w:szCs w:val="32"/>
        </w:rPr>
      </w:pPr>
    </w:p>
    <w:p>
      <w:pPr>
        <w:spacing w:line="360" w:lineRule="auto"/>
        <w:rPr>
          <w:rFonts w:hint="eastAsia" w:ascii="宋体" w:hAnsi="宋体" w:cs="仿宋_GB2312"/>
          <w:sz w:val="24"/>
        </w:rPr>
      </w:pPr>
      <w:r>
        <w:rPr>
          <w:rFonts w:hint="eastAsia" w:ascii="宋体" w:hAnsi="宋体" w:cs="仿宋_GB2312"/>
          <w:sz w:val="24"/>
        </w:rPr>
        <w:t>致：</w:t>
      </w:r>
      <w:r>
        <w:rPr>
          <w:rFonts w:hint="eastAsia" w:ascii="宋体" w:hAnsi="宋体" w:cs="仿宋_GB2312"/>
          <w:sz w:val="24"/>
          <w:u w:val="single"/>
        </w:rPr>
        <w:t>（采购人名称）</w:t>
      </w:r>
      <w:r>
        <w:rPr>
          <w:rFonts w:hint="eastAsia" w:ascii="宋体" w:hAnsi="宋体" w:cs="仿宋_GB2312"/>
          <w:sz w:val="24"/>
        </w:rPr>
        <w:t>：</w:t>
      </w:r>
    </w:p>
    <w:p>
      <w:pPr>
        <w:spacing w:line="360" w:lineRule="auto"/>
        <w:ind w:firstLine="480" w:firstLineChars="200"/>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rPr>
        <w:t xml:space="preserve">              </w:t>
      </w:r>
      <w:r>
        <w:rPr>
          <w:rFonts w:hint="eastAsia" w:ascii="宋体" w:hAnsi="宋体" w:cs="仿宋_GB2312"/>
          <w:sz w:val="24"/>
        </w:rPr>
        <w:t>项目的竞标活动，并代表我方全权办理针对上述项目的所有采购程序和环节的具体事务和签署相关文件。</w:t>
      </w:r>
    </w:p>
    <w:p>
      <w:pPr>
        <w:spacing w:line="360" w:lineRule="auto"/>
        <w:rPr>
          <w:rFonts w:hint="eastAsia" w:ascii="宋体" w:hAnsi="宋体" w:cs="仿宋_GB2312"/>
          <w:sz w:val="24"/>
        </w:rPr>
      </w:pPr>
      <w:r>
        <w:rPr>
          <w:rFonts w:hint="eastAsia" w:ascii="宋体" w:hAnsi="宋体" w:cs="仿宋_GB2312"/>
          <w:sz w:val="24"/>
        </w:rPr>
        <w:t xml:space="preserve">    我方对委托代理人的签字事项负全部责任。</w:t>
      </w:r>
    </w:p>
    <w:p>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pPr>
        <w:spacing w:line="360" w:lineRule="auto"/>
        <w:ind w:firstLine="480" w:firstLineChars="200"/>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pPr>
        <w:spacing w:line="360" w:lineRule="auto"/>
        <w:rPr>
          <w:rFonts w:hint="eastAsia" w:ascii="宋体" w:hAnsi="宋体" w:cs="仿宋_GB2312"/>
          <w:sz w:val="24"/>
        </w:rPr>
      </w:pPr>
    </w:p>
    <w:p>
      <w:pPr>
        <w:spacing w:line="360" w:lineRule="auto"/>
        <w:rPr>
          <w:rFonts w:hint="eastAsia" w:ascii="宋体" w:hAnsi="宋体" w:cs="仿宋_GB2312"/>
          <w:sz w:val="24"/>
        </w:rPr>
      </w:pPr>
      <w:r>
        <w:rPr>
          <w:rFonts w:hint="eastAsia" w:ascii="宋体" w:hAnsi="宋体" w:cs="仿宋_GB2312"/>
          <w:sz w:val="24"/>
        </w:rPr>
        <w:t xml:space="preserve">委托代理人（签字）：                 法定代表人（签字或盖章）：                    </w:t>
      </w:r>
    </w:p>
    <w:p>
      <w:pPr>
        <w:spacing w:line="360" w:lineRule="auto"/>
        <w:rPr>
          <w:rFonts w:hint="eastAsia" w:ascii="宋体" w:hAnsi="宋体" w:cs="仿宋_GB2312"/>
          <w:sz w:val="24"/>
        </w:rPr>
      </w:pPr>
      <w:r>
        <w:rPr>
          <w:rFonts w:hint="eastAsia" w:ascii="宋体" w:hAnsi="宋体" w:cs="仿宋_GB2312"/>
          <w:sz w:val="24"/>
        </w:rPr>
        <w:t xml:space="preserve">委托代理人身份证号码：                              </w:t>
      </w:r>
    </w:p>
    <w:p>
      <w:pPr>
        <w:spacing w:line="360" w:lineRule="auto"/>
        <w:rPr>
          <w:rFonts w:hint="eastAsia" w:ascii="宋体" w:hAnsi="宋体" w:cs="仿宋_GB2312"/>
          <w:sz w:val="24"/>
        </w:rPr>
      </w:pPr>
      <w:r>
        <w:rPr>
          <w:rFonts w:hint="eastAsia" w:ascii="宋体" w:hAnsi="宋体" w:cs="仿宋_GB2312"/>
          <w:sz w:val="24"/>
        </w:rPr>
        <w:t xml:space="preserve">                                </w:t>
      </w:r>
    </w:p>
    <w:p>
      <w:pPr>
        <w:spacing w:line="360" w:lineRule="auto"/>
        <w:ind w:firstLine="3840" w:firstLineChars="1600"/>
        <w:rPr>
          <w:rFonts w:ascii="宋体" w:hAnsi="宋体" w:cs="仿宋_GB2312"/>
          <w:sz w:val="24"/>
        </w:rPr>
      </w:pPr>
      <w:r>
        <w:rPr>
          <w:rFonts w:hint="eastAsia" w:ascii="宋体" w:hAnsi="宋体" w:cs="仿宋_GB2312"/>
          <w:sz w:val="24"/>
        </w:rPr>
        <w:t xml:space="preserve">  </w:t>
      </w:r>
      <w:r>
        <w:rPr>
          <w:rFonts w:hint="eastAsia" w:ascii="仿宋_GB2312" w:hAnsi="仿宋" w:eastAsia="仿宋_GB2312" w:cs="仿宋_GB2312"/>
          <w:kern w:val="0"/>
          <w:sz w:val="24"/>
        </w:rPr>
        <w:t>供应商名称（电子签章）：</w:t>
      </w:r>
    </w:p>
    <w:p>
      <w:pPr>
        <w:spacing w:line="360" w:lineRule="auto"/>
        <w:contextualSpacing/>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pPr>
        <w:spacing w:line="360" w:lineRule="auto"/>
        <w:rPr>
          <w:rFonts w:hint="eastAsia" w:ascii="宋体" w:hAnsi="宋体" w:cs="仿宋_GB2312"/>
          <w:sz w:val="24"/>
        </w:rPr>
      </w:pPr>
    </w:p>
    <w:p>
      <w:pPr>
        <w:spacing w:line="360" w:lineRule="auto"/>
        <w:rPr>
          <w:rFonts w:ascii="宋体" w:hAnsi="宋体" w:cs="仿宋_GB2312"/>
          <w:sz w:val="24"/>
        </w:rPr>
      </w:pPr>
      <w:r>
        <w:rPr>
          <w:rFonts w:hint="eastAsia" w:ascii="宋体" w:hAnsi="宋体" w:cs="仿宋_GB2312"/>
          <w:sz w:val="24"/>
        </w:rPr>
        <w:t>注：1. 法定代表人必须在授权委托书上亲笔签字或盖章，委托代理人必须在授权委托书上亲笔签字，</w:t>
      </w:r>
      <w:r>
        <w:rPr>
          <w:rFonts w:hint="eastAsia" w:ascii="宋体" w:hAnsi="宋体" w:cs="仿宋_GB2312"/>
          <w:b/>
          <w:sz w:val="24"/>
        </w:rPr>
        <w:t>否则其响应文件按无效响应处理。</w:t>
      </w:r>
    </w:p>
    <w:p>
      <w:pPr>
        <w:spacing w:line="360" w:lineRule="auto"/>
        <w:ind w:firstLine="480" w:firstLineChars="200"/>
        <w:jc w:val="left"/>
        <w:rPr>
          <w:rFonts w:ascii="宋体" w:hAnsi="宋体" w:cs="仿宋_GB2312"/>
          <w:sz w:val="24"/>
        </w:rPr>
      </w:pPr>
      <w:r>
        <w:rPr>
          <w:rFonts w:ascii="宋体" w:hAnsi="宋体" w:cs="仿宋_GB2312"/>
          <w:sz w:val="24"/>
        </w:rPr>
        <w:t>2.</w:t>
      </w:r>
      <w:r>
        <w:rPr>
          <w:rFonts w:hint="eastAsia" w:ascii="宋体" w:hAnsi="宋体" w:cs="仿宋_GB2312"/>
          <w:sz w:val="24"/>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hint="eastAsia"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 xml:space="preserve"> 法人、其他组织竞标时“我方”是指“我单位”，自然人竞标时“我方”是指“本人”。</w:t>
      </w:r>
    </w:p>
    <w:p>
      <w:pPr>
        <w:spacing w:line="360" w:lineRule="auto"/>
        <w:ind w:firstLine="420" w:firstLineChars="200"/>
        <w:jc w:val="left"/>
        <w:rPr>
          <w:rFonts w:hint="eastAsia" w:ascii="仿宋_GB2312" w:hAnsi="仿宋_GB2312" w:eastAsia="仿宋_GB2312" w:cs="仿宋_GB2312"/>
          <w:szCs w:val="21"/>
        </w:rPr>
      </w:pPr>
    </w:p>
    <w:p>
      <w:pPr>
        <w:spacing w:line="500" w:lineRule="exact"/>
        <w:jc w:val="center"/>
        <w:rPr>
          <w:rFonts w:hint="eastAsia" w:ascii="方正小标宋简体" w:hAnsi="方正小标宋简体" w:eastAsia="方正小标宋简体" w:cs="方正小标宋简体"/>
          <w:sz w:val="44"/>
          <w:szCs w:val="44"/>
        </w:rPr>
      </w:pPr>
      <w:r>
        <w:rPr>
          <w:rFonts w:ascii="仿宋_GB2312" w:hAnsi="仿宋_GB2312" w:eastAsia="仿宋_GB2312" w:cs="仿宋_GB2312"/>
          <w:szCs w:val="21"/>
        </w:rPr>
        <w:br w:type="page"/>
      </w:r>
      <w:r>
        <w:rPr>
          <w:rFonts w:hint="eastAsia" w:ascii="方正小标宋简体" w:hAnsi="方正小标宋简体" w:eastAsia="方正小标宋简体" w:cs="方正小标宋简体"/>
          <w:sz w:val="44"/>
          <w:szCs w:val="44"/>
        </w:rPr>
        <w:t>授权委托书（联合体竞标格式）</w:t>
      </w:r>
    </w:p>
    <w:p>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pPr>
        <w:spacing w:line="500" w:lineRule="exact"/>
        <w:jc w:val="center"/>
        <w:rPr>
          <w:rFonts w:ascii="方正小标宋简体" w:hAnsi="方正小标宋简体" w:eastAsia="方正小标宋简体" w:cs="方正小标宋简体"/>
          <w:sz w:val="44"/>
          <w:szCs w:val="44"/>
        </w:rPr>
      </w:pPr>
    </w:p>
    <w:p>
      <w:pPr>
        <w:spacing w:line="500" w:lineRule="exact"/>
        <w:jc w:val="center"/>
        <w:rPr>
          <w:rFonts w:hint="eastAsia" w:ascii="仿宋_GB2312" w:hAnsi="仿宋_GB2312" w:eastAsia="仿宋_GB2312" w:cs="仿宋_GB2312"/>
          <w:sz w:val="32"/>
          <w:szCs w:val="32"/>
        </w:rPr>
      </w:pPr>
    </w:p>
    <w:p>
      <w:pPr>
        <w:spacing w:line="360" w:lineRule="auto"/>
        <w:ind w:firstLine="480" w:firstLineChars="200"/>
        <w:jc w:val="left"/>
        <w:rPr>
          <w:rFonts w:hint="eastAsia" w:ascii="宋体" w:hAnsi="宋体" w:cs="仿宋_GB2312"/>
          <w:sz w:val="24"/>
        </w:rPr>
      </w:pPr>
      <w:r>
        <w:rPr>
          <w:rFonts w:hint="eastAsia" w:ascii="宋体" w:hAnsi="宋体" w:cs="仿宋_GB2312"/>
          <w:sz w:val="24"/>
        </w:rPr>
        <w:t>本授权委托书声明：根据</w:t>
      </w:r>
      <w:r>
        <w:rPr>
          <w:rFonts w:hint="eastAsia" w:ascii="宋体" w:hAnsi="宋体" w:cs="仿宋_GB2312"/>
          <w:sz w:val="24"/>
          <w:u w:val="single"/>
        </w:rPr>
        <w:t xml:space="preserve">                </w:t>
      </w:r>
      <w:r>
        <w:rPr>
          <w:rFonts w:hint="eastAsia" w:ascii="宋体" w:hAnsi="宋体" w:cs="仿宋_GB2312"/>
          <w:sz w:val="24"/>
        </w:rPr>
        <w:t>（牵头人名称）与</w:t>
      </w:r>
      <w:r>
        <w:rPr>
          <w:rFonts w:hint="eastAsia" w:ascii="宋体" w:hAnsi="宋体" w:cs="仿宋_GB2312"/>
          <w:sz w:val="24"/>
          <w:u w:val="single"/>
        </w:rPr>
        <w:t xml:space="preserve">              </w:t>
      </w:r>
      <w:r>
        <w:rPr>
          <w:rFonts w:hint="eastAsia" w:ascii="宋体" w:hAnsi="宋体" w:cs="仿宋_GB2312"/>
          <w:sz w:val="24"/>
        </w:rPr>
        <w:t>（联合体其他成员名称）签订的《联合体竞标协议书》的内容，</w:t>
      </w:r>
      <w:r>
        <w:rPr>
          <w:rFonts w:hint="eastAsia" w:ascii="宋体" w:hAnsi="宋体" w:cs="仿宋_GB2312"/>
          <w:sz w:val="24"/>
          <w:u w:val="single"/>
        </w:rPr>
        <w:t xml:space="preserve">                       </w:t>
      </w:r>
      <w:r>
        <w:rPr>
          <w:rFonts w:hint="eastAsia" w:ascii="宋体" w:hAnsi="宋体" w:cs="仿宋_GB2312"/>
          <w:sz w:val="24"/>
        </w:rPr>
        <w:t>（牵头人名称）的法定代表人</w:t>
      </w:r>
      <w:r>
        <w:rPr>
          <w:rFonts w:hint="eastAsia" w:ascii="宋体" w:hAnsi="宋体" w:cs="仿宋_GB2312"/>
          <w:sz w:val="24"/>
          <w:u w:val="single"/>
        </w:rPr>
        <w:t xml:space="preserve">      </w:t>
      </w:r>
      <w:r>
        <w:rPr>
          <w:rFonts w:hint="eastAsia" w:ascii="宋体" w:hAnsi="宋体" w:cs="仿宋_GB2312"/>
          <w:sz w:val="24"/>
        </w:rPr>
        <w:t>（姓名）现授权</w:t>
      </w:r>
      <w:r>
        <w:rPr>
          <w:rFonts w:hint="eastAsia" w:ascii="宋体" w:hAnsi="宋体" w:cs="仿宋_GB2312"/>
          <w:sz w:val="24"/>
          <w:u w:val="single"/>
        </w:rPr>
        <w:t xml:space="preserve">      </w:t>
      </w:r>
      <w:r>
        <w:rPr>
          <w:rFonts w:hint="eastAsia" w:ascii="宋体" w:hAnsi="宋体" w:cs="仿宋_GB2312"/>
          <w:sz w:val="24"/>
        </w:rPr>
        <w:t>（姓名）为联合委托代理人，并代表我方全权办理针对上述项目的所有采购程序和环节的具体事务和签署相关文件。</w:t>
      </w:r>
    </w:p>
    <w:p>
      <w:pPr>
        <w:spacing w:line="360" w:lineRule="auto"/>
        <w:ind w:firstLine="480" w:firstLineChars="200"/>
        <w:rPr>
          <w:rFonts w:hint="eastAsia" w:ascii="宋体" w:hAnsi="宋体" w:cs="仿宋_GB2312"/>
          <w:sz w:val="24"/>
        </w:rPr>
      </w:pPr>
      <w:r>
        <w:rPr>
          <w:rFonts w:hint="eastAsia" w:ascii="宋体" w:hAnsi="宋体" w:cs="仿宋_GB2312"/>
          <w:sz w:val="24"/>
        </w:rPr>
        <w:t>我方对委托代理人的签字事项负全部责任。</w:t>
      </w:r>
    </w:p>
    <w:p>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pPr>
        <w:spacing w:line="360" w:lineRule="auto"/>
        <w:rPr>
          <w:rFonts w:hint="eastAsia" w:ascii="宋体" w:hAnsi="宋体" w:cs="仿宋_GB2312"/>
          <w:sz w:val="24"/>
        </w:rPr>
      </w:pPr>
      <w:r>
        <w:rPr>
          <w:rFonts w:hint="eastAsia" w:ascii="宋体" w:hAnsi="宋体" w:cs="仿宋_GB2312"/>
          <w:sz w:val="24"/>
        </w:rPr>
        <w:t xml:space="preserve">    </w:t>
      </w:r>
    </w:p>
    <w:p>
      <w:pPr>
        <w:spacing w:line="360" w:lineRule="auto"/>
        <w:ind w:firstLine="1560" w:firstLineChars="650"/>
        <w:rPr>
          <w:rFonts w:hint="eastAsia" w:ascii="宋体" w:hAnsi="宋体" w:cs="仿宋_GB2312"/>
          <w:sz w:val="24"/>
        </w:rPr>
      </w:pPr>
      <w:r>
        <w:rPr>
          <w:rFonts w:hint="eastAsia" w:ascii="宋体" w:hAnsi="宋体" w:cs="仿宋_GB2312"/>
          <w:sz w:val="24"/>
        </w:rPr>
        <w:t>牵头人法定代表人（签字或盖章）：</w:t>
      </w:r>
    </w:p>
    <w:p>
      <w:pPr>
        <w:spacing w:line="360" w:lineRule="auto"/>
        <w:ind w:firstLine="3000" w:firstLineChars="1250"/>
        <w:rPr>
          <w:rFonts w:hint="eastAsia" w:ascii="宋体" w:hAnsi="宋体" w:cs="仿宋_GB2312"/>
          <w:sz w:val="24"/>
        </w:rPr>
      </w:pPr>
      <w:r>
        <w:rPr>
          <w:rFonts w:hint="eastAsia" w:ascii="宋体" w:hAnsi="宋体" w:cs="仿宋_GB2312"/>
          <w:sz w:val="24"/>
        </w:rPr>
        <w:t>牵头人（电子签章）：</w:t>
      </w:r>
    </w:p>
    <w:p>
      <w:pPr>
        <w:spacing w:line="360" w:lineRule="auto"/>
        <w:ind w:firstLine="3840" w:firstLineChars="1600"/>
        <w:rPr>
          <w:rFonts w:hint="eastAsia" w:ascii="宋体" w:hAnsi="宋体" w:cs="仿宋_GB2312"/>
          <w:sz w:val="24"/>
        </w:rPr>
      </w:pPr>
      <w:r>
        <w:rPr>
          <w:rFonts w:hint="eastAsia" w:ascii="宋体" w:hAnsi="宋体" w:cs="仿宋_GB2312"/>
          <w:sz w:val="24"/>
        </w:rPr>
        <w:t>日期：    年   月   日</w:t>
      </w:r>
    </w:p>
    <w:p>
      <w:pPr>
        <w:spacing w:line="360" w:lineRule="auto"/>
        <w:rPr>
          <w:rFonts w:hint="eastAsia" w:ascii="宋体" w:hAnsi="宋体" w:cs="仿宋_GB2312"/>
          <w:sz w:val="24"/>
        </w:rPr>
      </w:pPr>
    </w:p>
    <w:p>
      <w:pPr>
        <w:spacing w:line="360" w:lineRule="auto"/>
        <w:ind w:firstLine="3120" w:firstLineChars="1300"/>
        <w:rPr>
          <w:rFonts w:hint="eastAsia" w:ascii="宋体" w:hAnsi="宋体" w:cs="仿宋_GB2312"/>
          <w:sz w:val="24"/>
        </w:rPr>
      </w:pPr>
      <w:r>
        <w:rPr>
          <w:rFonts w:hint="eastAsia" w:ascii="宋体" w:hAnsi="宋体" w:cs="仿宋_GB2312"/>
          <w:sz w:val="24"/>
        </w:rPr>
        <w:t>被授权人（签字）：</w:t>
      </w:r>
    </w:p>
    <w:p>
      <w:pPr>
        <w:spacing w:line="360" w:lineRule="auto"/>
        <w:ind w:firstLine="3840" w:firstLineChars="1600"/>
        <w:rPr>
          <w:rFonts w:hint="eastAsia" w:ascii="宋体" w:hAnsi="宋体" w:cs="仿宋_GB2312"/>
          <w:sz w:val="24"/>
        </w:rPr>
      </w:pPr>
      <w:r>
        <w:rPr>
          <w:rFonts w:hint="eastAsia" w:ascii="宋体" w:hAnsi="宋体" w:cs="仿宋_GB2312"/>
          <w:sz w:val="24"/>
        </w:rPr>
        <w:t>日期：    年   月   日</w:t>
      </w:r>
    </w:p>
    <w:p>
      <w:pPr>
        <w:spacing w:line="360" w:lineRule="auto"/>
        <w:rPr>
          <w:rFonts w:hint="eastAsia" w:ascii="宋体" w:hAnsi="宋体" w:cs="仿宋_GB2312"/>
          <w:sz w:val="24"/>
        </w:rPr>
      </w:pPr>
    </w:p>
    <w:p>
      <w:pPr>
        <w:spacing w:line="360" w:lineRule="auto"/>
        <w:rPr>
          <w:rFonts w:hint="eastAsia" w:ascii="宋体" w:hAnsi="宋体" w:cs="仿宋_GB2312"/>
          <w:sz w:val="24"/>
        </w:rPr>
      </w:pPr>
      <w:r>
        <w:rPr>
          <w:rFonts w:hint="eastAsia" w:ascii="宋体" w:hAnsi="宋体" w:cs="仿宋_GB2312"/>
          <w:sz w:val="24"/>
        </w:rPr>
        <w:t>注：</w:t>
      </w:r>
    </w:p>
    <w:p>
      <w:pPr>
        <w:spacing w:line="360" w:lineRule="auto"/>
        <w:rPr>
          <w:rFonts w:hint="eastAsia" w:ascii="宋体" w:hAnsi="宋体" w:cs="仿宋_GB2312"/>
          <w:sz w:val="24"/>
        </w:rPr>
      </w:pPr>
      <w:r>
        <w:rPr>
          <w:rFonts w:hint="eastAsia" w:ascii="宋体" w:hAnsi="宋体" w:cs="仿宋_GB2312"/>
          <w:sz w:val="24"/>
        </w:rPr>
        <w:t>1. 法定代表人必须在授权委托书上亲笔签字或盖章，委托代理人必须在授权委托书上亲笔签字，</w:t>
      </w:r>
      <w:r>
        <w:rPr>
          <w:rFonts w:hint="eastAsia" w:ascii="宋体" w:hAnsi="宋体" w:cs="仿宋_GB2312"/>
          <w:b/>
          <w:sz w:val="24"/>
        </w:rPr>
        <w:t>否则其响应文件按无效响应处理。</w:t>
      </w:r>
    </w:p>
    <w:p>
      <w:pPr>
        <w:spacing w:line="360" w:lineRule="auto"/>
        <w:ind w:firstLine="480" w:firstLineChars="200"/>
        <w:jc w:val="left"/>
        <w:rPr>
          <w:rFonts w:ascii="宋体" w:hAnsi="宋体" w:cs="仿宋_GB2312"/>
          <w:sz w:val="24"/>
        </w:rPr>
      </w:pPr>
      <w:r>
        <w:rPr>
          <w:rFonts w:hint="eastAsia" w:ascii="宋体" w:hAnsi="宋体" w:cs="仿宋_GB2312"/>
          <w:sz w:val="24"/>
        </w:rPr>
        <w:t>2.本授权委托书应由联合体牵头人的法定代表人按上述规定签署。</w:t>
      </w:r>
    </w:p>
    <w:p>
      <w:pPr>
        <w:spacing w:line="360" w:lineRule="auto"/>
        <w:ind w:firstLine="480" w:firstLineChars="200"/>
        <w:jc w:val="left"/>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hint="eastAsia" w:ascii="仿宋_GB2312" w:hAnsi="仿宋_GB2312" w:eastAsia="仿宋_GB2312" w:cs="仿宋_GB2312"/>
          <w:szCs w:val="21"/>
        </w:rPr>
      </w:pPr>
      <w:r>
        <w:rPr>
          <w:rFonts w:hint="eastAsia" w:ascii="宋体" w:hAnsi="宋体" w:cs="仿宋_GB2312"/>
          <w:sz w:val="24"/>
        </w:rPr>
        <w:t>4</w:t>
      </w:r>
      <w:r>
        <w:rPr>
          <w:rFonts w:ascii="宋体" w:hAnsi="宋体" w:cs="仿宋_GB2312"/>
          <w:sz w:val="24"/>
        </w:rPr>
        <w:t>.</w:t>
      </w:r>
      <w:r>
        <w:rPr>
          <w:rFonts w:hint="eastAsia" w:ascii="宋体" w:hAnsi="宋体" w:cs="仿宋_GB2312"/>
          <w:sz w:val="24"/>
        </w:rPr>
        <w:t>法人、其他组织竞标时“我方”是指“我单位”，自然人竞标时“我方”是指“本人”。</w:t>
      </w:r>
    </w:p>
    <w:p>
      <w:pPr>
        <w:snapToGrid w:val="0"/>
        <w:spacing w:line="360" w:lineRule="auto"/>
        <w:ind w:firstLine="640" w:firstLineChars="200"/>
        <w:rPr>
          <w:rFonts w:hint="eastAsia" w:ascii="宋体" w:hAnsi="宋体"/>
          <w:b/>
          <w:bCs/>
          <w:sz w:val="32"/>
          <w:szCs w:val="32"/>
        </w:rPr>
      </w:pPr>
      <w:r>
        <w:rPr>
          <w:rFonts w:hint="eastAsia" w:ascii="仿宋_GB2312" w:hAnsi="仿宋_GB2312" w:eastAsia="仿宋_GB2312" w:cs="仿宋_GB2312"/>
          <w:sz w:val="32"/>
          <w:szCs w:val="32"/>
        </w:rPr>
        <w:br w:type="page"/>
      </w:r>
      <w:r>
        <w:rPr>
          <w:rFonts w:hint="eastAsia" w:ascii="仿宋" w:hAnsi="仿宋" w:eastAsia="仿宋" w:cs="仿宋_GB2312"/>
          <w:b/>
          <w:sz w:val="30"/>
          <w:szCs w:val="30"/>
        </w:rPr>
        <w:t>四、商务条款偏离表</w:t>
      </w: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商务条款偏离表（格式）</w:t>
      </w:r>
    </w:p>
    <w:p>
      <w:pPr>
        <w:spacing w:line="360" w:lineRule="auto"/>
        <w:contextualSpacing/>
        <w:rPr>
          <w:rFonts w:hint="eastAsia" w:ascii="宋体" w:hAnsi="宋体" w:cs="仿宋_GB2312"/>
          <w:sz w:val="24"/>
          <w:u w:val="single"/>
        </w:rPr>
      </w:pPr>
      <w:r>
        <w:rPr>
          <w:rFonts w:hint="eastAsia" w:ascii="宋体" w:hAnsi="宋体" w:cs="仿宋_GB2312"/>
          <w:sz w:val="24"/>
        </w:rPr>
        <w:t>分标号</w:t>
      </w:r>
      <w:r>
        <w:rPr>
          <w:rFonts w:hint="eastAsia" w:ascii="宋体" w:hAnsi="宋体"/>
          <w:szCs w:val="21"/>
        </w:rPr>
        <w:t>（此处有分标时填写具体分标号，无分标时填写“无”）</w:t>
      </w:r>
      <w:r>
        <w:rPr>
          <w:rFonts w:hint="eastAsia" w:ascii="宋体" w:hAnsi="宋体" w:cs="仿宋_GB2312"/>
          <w:sz w:val="24"/>
        </w:rPr>
        <w:t>：</w:t>
      </w:r>
      <w:r>
        <w:rPr>
          <w:rFonts w:hint="eastAsia" w:ascii="宋体" w:hAnsi="宋体" w:cs="仿宋_GB2312"/>
          <w:sz w:val="24"/>
          <w:u w:val="single"/>
        </w:rPr>
        <w:t xml:space="preserve">                       </w:t>
      </w:r>
    </w:p>
    <w:tbl>
      <w:tblPr>
        <w:tblStyle w:val="2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竞争性谈判采购文件的商务需求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一</w:t>
            </w:r>
          </w:p>
        </w:tc>
        <w:tc>
          <w:tcPr>
            <w:tcW w:w="3926"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二</w:t>
            </w:r>
          </w:p>
        </w:tc>
        <w:tc>
          <w:tcPr>
            <w:tcW w:w="3926"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w:t>
            </w:r>
          </w:p>
        </w:tc>
        <w:tc>
          <w:tcPr>
            <w:tcW w:w="3926"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hint="eastAsia"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宋体" w:hAnsi="宋体"/>
                <w:szCs w:val="21"/>
              </w:rPr>
            </w:pPr>
          </w:p>
        </w:tc>
      </w:tr>
    </w:tbl>
    <w:p>
      <w:pPr>
        <w:pStyle w:val="11"/>
        <w:spacing w:line="400" w:lineRule="exact"/>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注：</w:t>
      </w:r>
    </w:p>
    <w:p>
      <w:pPr>
        <w:pStyle w:val="11"/>
        <w:spacing w:line="400" w:lineRule="exact"/>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1.说明：应对照谈判文件“第二章 采购需求”中的商务条款逐条作出明确响应，并作出偏离说明。</w:t>
      </w:r>
    </w:p>
    <w:p>
      <w:pPr>
        <w:pStyle w:val="11"/>
        <w:spacing w:line="400" w:lineRule="exact"/>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2.供应商应根据自身的承诺，对照谈判文件要求，在“偏离说明”中注明“正偏离”、“负偏离”或者“无偏离”。既不属于“正偏离”也不属于“负偏离”即为“无偏离”。</w:t>
      </w:r>
      <w:r>
        <w:rPr>
          <w:rFonts w:hint="eastAsia" w:ascii="宋体" w:hAnsi="宋体" w:cs="仿宋_GB2312"/>
          <w:sz w:val="24"/>
          <w:szCs w:val="24"/>
        </w:rPr>
        <w:t xml:space="preserve"> 当响应文件的</w:t>
      </w:r>
      <w:r>
        <w:rPr>
          <w:rFonts w:hint="eastAsia" w:ascii="宋体" w:hAnsi="宋体" w:eastAsia="宋体" w:cs="仿宋_GB2312"/>
          <w:sz w:val="24"/>
          <w:szCs w:val="24"/>
        </w:rPr>
        <w:t>商务内容低于竞争性谈判采购文件要求时，竞标人应当如实写明“负偏离”，否则视为虚假应标</w:t>
      </w:r>
    </w:p>
    <w:p>
      <w:pPr>
        <w:spacing w:line="400" w:lineRule="exact"/>
        <w:rPr>
          <w:rFonts w:ascii="宋体" w:hAnsi="宋体" w:cs="仿宋_GB2312"/>
          <w:kern w:val="0"/>
          <w:sz w:val="24"/>
        </w:rPr>
      </w:pPr>
      <w:r>
        <w:rPr>
          <w:rFonts w:hint="eastAsia" w:ascii="宋体" w:hAnsi="宋体" w:cs="仿宋_GB2312"/>
          <w:kern w:val="0"/>
          <w:sz w:val="24"/>
        </w:rPr>
        <w:t>3</w:t>
      </w:r>
      <w:r>
        <w:rPr>
          <w:rFonts w:ascii="宋体" w:hAnsi="宋体" w:cs="仿宋_GB2312"/>
          <w:kern w:val="0"/>
          <w:sz w:val="24"/>
        </w:rPr>
        <w:t>.</w:t>
      </w:r>
      <w:r>
        <w:rPr>
          <w:rFonts w:hint="eastAsia" w:ascii="宋体" w:hAnsi="宋体" w:cs="仿宋_GB2312"/>
          <w:kern w:val="0"/>
          <w:sz w:val="24"/>
        </w:rPr>
        <w:t>表格内容均需按要求填写并盖章，不得留空，否则按竞标无效处理。</w:t>
      </w:r>
    </w:p>
    <w:p>
      <w:pPr>
        <w:pStyle w:val="14"/>
        <w:spacing w:line="400" w:lineRule="exact"/>
        <w:contextualSpacing/>
        <w:rPr>
          <w:rFonts w:hAnsi="宋体" w:cs="仿宋_GB2312"/>
          <w:sz w:val="24"/>
          <w:szCs w:val="24"/>
        </w:rPr>
      </w:pPr>
      <w:r>
        <w:rPr>
          <w:rFonts w:hint="eastAsia" w:hAnsi="宋体" w:cs="仿宋_GB2312"/>
          <w:sz w:val="24"/>
          <w:szCs w:val="24"/>
        </w:rPr>
        <w:t>4</w:t>
      </w:r>
      <w:r>
        <w:rPr>
          <w:rFonts w:hAnsi="宋体" w:cs="仿宋_GB2312"/>
          <w:sz w:val="24"/>
          <w:szCs w:val="24"/>
        </w:rPr>
        <w:t>.</w:t>
      </w:r>
      <w:r>
        <w:rPr>
          <w:rFonts w:hint="eastAsia" w:hAnsi="宋体" w:cs="仿宋_GB2312"/>
          <w:sz w:val="24"/>
          <w:szCs w:val="24"/>
        </w:rPr>
        <w:t>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pPr>
        <w:spacing w:line="360" w:lineRule="auto"/>
        <w:ind w:right="-817" w:rightChars="-389"/>
        <w:contextualSpacing/>
        <w:rPr>
          <w:rFonts w:hint="eastAsia" w:ascii="宋体" w:hAnsi="宋体" w:cs="仿宋_GB2312"/>
          <w:sz w:val="24"/>
        </w:rPr>
      </w:pPr>
    </w:p>
    <w:p>
      <w:pPr>
        <w:spacing w:line="360" w:lineRule="auto"/>
        <w:ind w:firstLine="3840" w:firstLineChars="1600"/>
        <w:rPr>
          <w:rFonts w:ascii="宋体" w:hAnsi="宋体" w:cs="仿宋_GB2312"/>
          <w:sz w:val="24"/>
        </w:rPr>
      </w:pPr>
      <w:r>
        <w:rPr>
          <w:rFonts w:hint="eastAsia" w:ascii="仿宋_GB2312" w:hAnsi="仿宋" w:eastAsia="仿宋_GB2312" w:cs="仿宋_GB2312"/>
          <w:kern w:val="0"/>
          <w:sz w:val="24"/>
        </w:rPr>
        <w:t>供应商名称（电子签章）：</w:t>
      </w:r>
    </w:p>
    <w:p>
      <w:pPr>
        <w:spacing w:line="360" w:lineRule="auto"/>
        <w:contextualSpacing/>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pPr>
        <w:snapToGrid w:val="0"/>
        <w:spacing w:line="360" w:lineRule="auto"/>
        <w:ind w:firstLine="602" w:firstLineChars="200"/>
        <w:rPr>
          <w:rFonts w:hint="eastAsia" w:ascii="仿宋" w:hAnsi="仿宋" w:eastAsia="仿宋" w:cs="仿宋_GB2312"/>
          <w:b/>
          <w:sz w:val="30"/>
          <w:szCs w:val="30"/>
        </w:rPr>
      </w:pPr>
    </w:p>
    <w:p>
      <w:pPr>
        <w:snapToGrid w:val="0"/>
        <w:spacing w:line="360" w:lineRule="auto"/>
        <w:ind w:firstLine="602" w:firstLineChars="200"/>
        <w:rPr>
          <w:rFonts w:hint="eastAsia" w:ascii="仿宋" w:hAnsi="仿宋" w:eastAsia="仿宋" w:cs="仿宋_GB2312"/>
          <w:b/>
          <w:sz w:val="30"/>
          <w:szCs w:val="30"/>
        </w:rPr>
      </w:pPr>
    </w:p>
    <w:p>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五、竞标人情况介绍</w:t>
      </w:r>
    </w:p>
    <w:p>
      <w:pPr>
        <w:snapToGrid w:val="0"/>
        <w:spacing w:line="360" w:lineRule="auto"/>
        <w:ind w:firstLine="602" w:firstLineChars="200"/>
        <w:rPr>
          <w:rFonts w:ascii="仿宋" w:hAnsi="仿宋" w:eastAsia="仿宋" w:cs="仿宋_GB2312"/>
          <w:b/>
          <w:sz w:val="30"/>
          <w:szCs w:val="30"/>
        </w:rPr>
      </w:pP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napToGrid w:val="0"/>
        <w:spacing w:before="120" w:beforeLines="50" w:after="50"/>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六、供应商类似的业绩证明文件</w:t>
      </w:r>
    </w:p>
    <w:p>
      <w:pPr>
        <w:pStyle w:val="18"/>
        <w:snapToGrid w:val="0"/>
        <w:ind w:left="480" w:hanging="480"/>
        <w:rPr>
          <w:rFonts w:hint="eastAsia" w:ascii="宋体" w:hAnsi="宋体"/>
          <w:color w:val="000000"/>
          <w:sz w:val="24"/>
        </w:rPr>
      </w:pPr>
    </w:p>
    <w:tbl>
      <w:tblPr>
        <w:tblStyle w:val="21"/>
        <w:tblpPr w:leftFromText="180" w:rightFromText="180" w:vertAnchor="page" w:horzAnchor="margin" w:tblpXSpec="center" w:tblpY="4783"/>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843"/>
        <w:gridCol w:w="1134"/>
        <w:gridCol w:w="1134"/>
        <w:gridCol w:w="1701"/>
        <w:gridCol w:w="1276"/>
        <w:gridCol w:w="18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采购人名称</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合同</w:t>
            </w:r>
          </w:p>
          <w:p>
            <w:pPr>
              <w:snapToGrid w:val="0"/>
              <w:spacing w:line="240" w:lineRule="exact"/>
              <w:jc w:val="center"/>
              <w:rPr>
                <w:rFonts w:hint="eastAsia" w:ascii="宋体" w:hAnsi="宋体"/>
                <w:color w:val="000000"/>
                <w:sz w:val="24"/>
              </w:rPr>
            </w:pPr>
            <w:r>
              <w:rPr>
                <w:rFonts w:hint="eastAsia" w:ascii="宋体" w:hAnsi="宋体"/>
                <w:color w:val="000000"/>
                <w:sz w:val="24"/>
              </w:rPr>
              <w:t>金额</w:t>
            </w:r>
          </w:p>
          <w:p>
            <w:pPr>
              <w:snapToGrid w:val="0"/>
              <w:spacing w:line="240" w:lineRule="exact"/>
              <w:jc w:val="center"/>
              <w:rPr>
                <w:rFonts w:hint="eastAsia" w:ascii="宋体" w:hAnsi="宋体"/>
                <w:color w:val="000000"/>
                <w:sz w:val="24"/>
              </w:rPr>
            </w:pPr>
            <w:r>
              <w:rPr>
                <w:rFonts w:hint="eastAsia" w:ascii="宋体" w:hAnsi="宋体"/>
                <w:color w:val="000000"/>
                <w:sz w:val="24"/>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olor w:val="000000"/>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olor w:val="000000"/>
                <w:sz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合同</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用户评价</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4"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r>
    </w:tbl>
    <w:p>
      <w:pPr>
        <w:pStyle w:val="18"/>
        <w:snapToGrid w:val="0"/>
        <w:ind w:left="480" w:hanging="480"/>
        <w:rPr>
          <w:rFonts w:hint="eastAsia" w:ascii="宋体" w:hAnsi="宋体"/>
          <w:color w:val="000000"/>
          <w:sz w:val="24"/>
        </w:rPr>
      </w:pPr>
    </w:p>
    <w:p>
      <w:pPr>
        <w:pStyle w:val="18"/>
        <w:snapToGrid w:val="0"/>
        <w:ind w:left="480" w:hanging="480"/>
        <w:rPr>
          <w:rFonts w:hint="eastAsia" w:ascii="宋体" w:hAnsi="宋体"/>
          <w:color w:val="000000"/>
          <w:sz w:val="24"/>
        </w:rPr>
      </w:pPr>
    </w:p>
    <w:p>
      <w:pPr>
        <w:autoSpaceDE w:val="0"/>
        <w:autoSpaceDN w:val="0"/>
        <w:spacing w:line="360" w:lineRule="auto"/>
        <w:ind w:firstLine="120"/>
        <w:rPr>
          <w:rFonts w:hint="eastAsia" w:ascii="宋体" w:hAnsi="宋体"/>
          <w:color w:val="000000"/>
          <w:sz w:val="24"/>
        </w:rPr>
      </w:pPr>
      <w:r>
        <w:rPr>
          <w:rFonts w:hint="eastAsia" w:ascii="仿宋_GB2312" w:hAnsi="仿宋" w:eastAsia="仿宋_GB2312" w:cs="仿宋_GB2312"/>
          <w:b/>
          <w:sz w:val="24"/>
        </w:rPr>
        <w:t>附表 :相关项目业绩一览表（供应商同类项目合同复印件、用户验收报告、用户评价意见格式自拟）</w:t>
      </w:r>
    </w:p>
    <w:p>
      <w:pPr>
        <w:pStyle w:val="14"/>
        <w:spacing w:line="360" w:lineRule="auto"/>
        <w:ind w:left="72"/>
        <w:rPr>
          <w:rFonts w:hint="eastAsia" w:ascii="Times New Roman" w:hAnsi="Times New Roman"/>
        </w:rPr>
      </w:pPr>
      <w:r>
        <w:rPr>
          <w:rFonts w:hint="eastAsia" w:ascii="Times New Roman" w:hAnsi="Times New Roman"/>
        </w:rPr>
        <w:t>注：供应商可按上述的格式自行编制，须随表提交相应的合同复印件和用户单位验收证明并注明所在供应商商务技术文件页码。</w:t>
      </w:r>
    </w:p>
    <w:p>
      <w:pPr>
        <w:snapToGrid w:val="0"/>
        <w:spacing w:line="360" w:lineRule="auto"/>
        <w:ind w:firstLine="4935" w:firstLineChars="2350"/>
        <w:rPr>
          <w:rFonts w:hint="eastAsia" w:hAnsi="宋体"/>
          <w:color w:val="000000"/>
          <w:szCs w:val="21"/>
        </w:rPr>
      </w:pPr>
      <w:r>
        <w:rPr>
          <w:rFonts w:hAnsi="宋体"/>
          <w:color w:val="000000"/>
          <w:szCs w:val="21"/>
        </w:rPr>
        <w:t xml:space="preserve"> </w:t>
      </w:r>
    </w:p>
    <w:p>
      <w:pPr>
        <w:snapToGrid w:val="0"/>
        <w:spacing w:line="360" w:lineRule="auto"/>
        <w:ind w:firstLine="4935" w:firstLineChars="2350"/>
        <w:rPr>
          <w:rFonts w:hint="eastAsia" w:hAnsi="宋体"/>
          <w:color w:val="000000"/>
          <w:szCs w:val="21"/>
        </w:rPr>
      </w:pPr>
    </w:p>
    <w:p>
      <w:pPr>
        <w:snapToGrid w:val="0"/>
        <w:spacing w:line="360" w:lineRule="auto"/>
        <w:ind w:left="4410" w:leftChars="2100" w:firstLine="5670" w:firstLineChars="2700"/>
        <w:rPr>
          <w:rFonts w:hint="eastAsia"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供应商名称(电子签章)：</w:t>
      </w:r>
    </w:p>
    <w:p>
      <w:pPr>
        <w:spacing w:line="500" w:lineRule="exact"/>
        <w:jc w:val="center"/>
        <w:rPr>
          <w:rFonts w:ascii="仿宋_GB2312" w:hAnsi="仿宋_GB2312" w:eastAsia="仿宋_GB2312" w:cs="仿宋_GB2312"/>
          <w:sz w:val="32"/>
          <w:szCs w:val="32"/>
        </w:rPr>
        <w:sectPr>
          <w:pgSz w:w="11910" w:h="16840"/>
          <w:pgMar w:top="1340" w:right="1500" w:bottom="280" w:left="1680" w:header="720" w:footer="720" w:gutter="0"/>
          <w:cols w:space="720" w:num="1"/>
        </w:sect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autoSpaceDE w:val="0"/>
        <w:autoSpaceDN w:val="0"/>
        <w:spacing w:line="360" w:lineRule="auto"/>
        <w:ind w:firstLine="6120" w:firstLineChars="2550"/>
        <w:rPr>
          <w:rFonts w:hint="eastAsia" w:ascii="仿宋_GB2312" w:hAnsi="仿宋" w:eastAsia="仿宋_GB2312" w:cs="仿宋_GB2312"/>
          <w:kern w:val="0"/>
          <w:sz w:val="24"/>
          <w:lang w:val="zh-CN"/>
        </w:rPr>
      </w:pPr>
    </w:p>
    <w:p>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七、货物需求偏离表</w:t>
      </w:r>
    </w:p>
    <w:p>
      <w:pPr>
        <w:spacing w:line="500" w:lineRule="exact"/>
        <w:jc w:val="center"/>
        <w:rPr>
          <w:rFonts w:hint="eastAsia" w:ascii="仿宋_GB2312" w:hAnsi="仿宋_GB2312" w:eastAsia="仿宋_GB2312" w:cs="仿宋_GB2312"/>
          <w:sz w:val="32"/>
          <w:szCs w:val="32"/>
        </w:rPr>
      </w:pP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货物需求偏离表</w:t>
      </w:r>
    </w:p>
    <w:p>
      <w:pPr>
        <w:spacing w:line="500" w:lineRule="exact"/>
        <w:jc w:val="center"/>
        <w:rPr>
          <w:rFonts w:hint="eastAsia" w:ascii="宋体" w:hAnsi="宋体"/>
          <w:b/>
          <w:sz w:val="32"/>
          <w:szCs w:val="32"/>
        </w:rPr>
      </w:pPr>
      <w:r>
        <w:rPr>
          <w:rFonts w:hint="eastAsia" w:ascii="方正小标宋简体" w:hAnsi="方正小标宋简体" w:eastAsia="方正小标宋简体" w:cs="方正小标宋简体"/>
          <w:bCs/>
          <w:sz w:val="44"/>
          <w:szCs w:val="44"/>
        </w:rPr>
        <w:t>(注：按采购需求具体条款修改)</w:t>
      </w:r>
    </w:p>
    <w:p>
      <w:pPr>
        <w:spacing w:line="360" w:lineRule="auto"/>
        <w:contextualSpacing/>
        <w:jc w:val="left"/>
        <w:rPr>
          <w:rFonts w:hint="eastAsia" w:ascii="宋体" w:hAnsi="宋体"/>
          <w:sz w:val="24"/>
        </w:rPr>
      </w:pPr>
    </w:p>
    <w:p>
      <w:pPr>
        <w:pStyle w:val="14"/>
        <w:spacing w:line="360" w:lineRule="auto"/>
        <w:contextualSpacing/>
        <w:rPr>
          <w:rFonts w:hint="eastAsia" w:hAnsi="宋体" w:cs="仿宋_GB2312"/>
          <w:sz w:val="24"/>
          <w:szCs w:val="24"/>
        </w:rPr>
      </w:pPr>
      <w:r>
        <w:rPr>
          <w:rFonts w:hint="eastAsia" w:hAnsi="宋体" w:cs="仿宋_GB2312"/>
          <w:sz w:val="24"/>
          <w:szCs w:val="24"/>
        </w:rPr>
        <w:t>所竞分标：</w:t>
      </w:r>
      <w:r>
        <w:rPr>
          <w:rFonts w:hint="eastAsia" w:hAnsi="宋体" w:cs="仿宋_GB2312"/>
          <w:sz w:val="24"/>
          <w:szCs w:val="24"/>
          <w:u w:val="single"/>
        </w:rPr>
        <w:t xml:space="preserve">              </w:t>
      </w:r>
    </w:p>
    <w:tbl>
      <w:tblPr>
        <w:tblStyle w:val="21"/>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项号</w:t>
            </w:r>
          </w:p>
        </w:tc>
        <w:tc>
          <w:tcPr>
            <w:tcW w:w="345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竞争性谈判采购文件需求</w:t>
            </w:r>
          </w:p>
        </w:tc>
        <w:tc>
          <w:tcPr>
            <w:tcW w:w="29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14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货物名称</w:t>
            </w: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数量</w:t>
            </w:r>
          </w:p>
        </w:tc>
        <w:tc>
          <w:tcPr>
            <w:tcW w:w="157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货物参数要求</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货物名称</w:t>
            </w:r>
          </w:p>
        </w:tc>
        <w:tc>
          <w:tcPr>
            <w:tcW w:w="65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数量</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货物参数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w:t>
            </w:r>
          </w:p>
        </w:tc>
        <w:tc>
          <w:tcPr>
            <w:tcW w:w="114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  ……</w:t>
            </w:r>
          </w:p>
          <w:p>
            <w:pPr>
              <w:rPr>
                <w:rFonts w:ascii="宋体" w:hAnsi="宋体"/>
                <w:szCs w:val="21"/>
              </w:rPr>
            </w:pPr>
            <w:r>
              <w:rPr>
                <w:rFonts w:hint="eastAsia" w:ascii="宋体" w:hAnsi="宋体"/>
                <w:szCs w:val="21"/>
              </w:rPr>
              <w:t>2  ……</w:t>
            </w:r>
          </w:p>
          <w:p>
            <w:pPr>
              <w:rPr>
                <w:rFonts w:ascii="宋体" w:hAnsi="宋体"/>
                <w:szCs w:val="21"/>
              </w:rPr>
            </w:pPr>
            <w:r>
              <w:rPr>
                <w:rFonts w:hint="eastAsia" w:ascii="宋体" w:hAnsi="宋体"/>
                <w:szCs w:val="21"/>
              </w:rPr>
              <w:t>3  ……</w:t>
            </w:r>
          </w:p>
          <w:p>
            <w:pPr>
              <w:rPr>
                <w:rFonts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  ……</w:t>
            </w:r>
          </w:p>
          <w:p>
            <w:pPr>
              <w:rPr>
                <w:rFonts w:ascii="宋体" w:hAnsi="宋体"/>
                <w:szCs w:val="21"/>
              </w:rPr>
            </w:pPr>
            <w:r>
              <w:rPr>
                <w:rFonts w:hint="eastAsia" w:ascii="宋体" w:hAnsi="宋体"/>
                <w:szCs w:val="21"/>
              </w:rPr>
              <w:t>2  ……</w:t>
            </w:r>
          </w:p>
          <w:p>
            <w:pPr>
              <w:rPr>
                <w:rFonts w:ascii="宋体" w:hAnsi="宋体"/>
                <w:szCs w:val="21"/>
              </w:rPr>
            </w:pPr>
            <w:r>
              <w:rPr>
                <w:rFonts w:hint="eastAsia" w:ascii="宋体" w:hAnsi="宋体"/>
                <w:szCs w:val="21"/>
              </w:rPr>
              <w:t>3  ……</w:t>
            </w:r>
          </w:p>
          <w:p>
            <w:pPr>
              <w:rPr>
                <w:rFonts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w:t>
            </w:r>
          </w:p>
        </w:tc>
        <w:tc>
          <w:tcPr>
            <w:tcW w:w="114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  ……</w:t>
            </w:r>
          </w:p>
          <w:p>
            <w:pPr>
              <w:rPr>
                <w:rFonts w:ascii="宋体" w:hAnsi="宋体"/>
                <w:szCs w:val="21"/>
              </w:rPr>
            </w:pPr>
            <w:r>
              <w:rPr>
                <w:rFonts w:hint="eastAsia" w:ascii="宋体" w:hAnsi="宋体"/>
                <w:szCs w:val="21"/>
              </w:rPr>
              <w:t>2  ……</w:t>
            </w:r>
          </w:p>
          <w:p>
            <w:pPr>
              <w:rPr>
                <w:rFonts w:ascii="宋体" w:hAnsi="宋体"/>
                <w:szCs w:val="21"/>
              </w:rPr>
            </w:pPr>
            <w:r>
              <w:rPr>
                <w:rFonts w:hint="eastAsia" w:ascii="宋体" w:hAnsi="宋体"/>
                <w:szCs w:val="21"/>
              </w:rPr>
              <w:t>3  ……</w:t>
            </w:r>
          </w:p>
          <w:p>
            <w:pPr>
              <w:rPr>
                <w:rFonts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  ……</w:t>
            </w:r>
          </w:p>
          <w:p>
            <w:pPr>
              <w:rPr>
                <w:rFonts w:ascii="宋体" w:hAnsi="宋体"/>
                <w:szCs w:val="21"/>
              </w:rPr>
            </w:pPr>
            <w:r>
              <w:rPr>
                <w:rFonts w:hint="eastAsia" w:ascii="宋体" w:hAnsi="宋体"/>
                <w:szCs w:val="21"/>
              </w:rPr>
              <w:t>2  ……</w:t>
            </w:r>
          </w:p>
          <w:p>
            <w:pPr>
              <w:rPr>
                <w:rFonts w:ascii="宋体" w:hAnsi="宋体"/>
                <w:szCs w:val="21"/>
              </w:rPr>
            </w:pPr>
            <w:r>
              <w:rPr>
                <w:rFonts w:hint="eastAsia" w:ascii="宋体" w:hAnsi="宋体"/>
                <w:szCs w:val="21"/>
              </w:rPr>
              <w:t>3  ……</w:t>
            </w:r>
          </w:p>
          <w:p>
            <w:pPr>
              <w:rPr>
                <w:rFonts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114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57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65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bl>
    <w:p>
      <w:pPr>
        <w:pStyle w:val="9"/>
        <w:spacing w:after="0" w:line="360" w:lineRule="auto"/>
        <w:contextualSpacing/>
        <w:rPr>
          <w:rFonts w:hint="eastAsia" w:ascii="宋体" w:hAnsi="宋体"/>
          <w:kern w:val="0"/>
          <w:sz w:val="21"/>
          <w:szCs w:val="21"/>
        </w:rPr>
      </w:pPr>
      <w:r>
        <w:rPr>
          <w:rFonts w:hint="eastAsia" w:ascii="宋体" w:hAnsi="宋体"/>
          <w:kern w:val="0"/>
          <w:sz w:val="21"/>
          <w:szCs w:val="21"/>
        </w:rPr>
        <w:t>注：</w:t>
      </w:r>
    </w:p>
    <w:p>
      <w:pPr>
        <w:pStyle w:val="9"/>
        <w:spacing w:after="0" w:line="360" w:lineRule="auto"/>
        <w:contextualSpacing/>
        <w:rPr>
          <w:rFonts w:hint="eastAsia" w:ascii="宋体" w:hAnsi="宋体" w:cs="仿宋_GB2312"/>
          <w:kern w:val="0"/>
          <w:sz w:val="21"/>
          <w:szCs w:val="21"/>
        </w:rPr>
      </w:pPr>
      <w:r>
        <w:rPr>
          <w:rFonts w:hint="eastAsia" w:ascii="宋体" w:hAnsi="宋体" w:cs="仿宋_GB2312"/>
          <w:kern w:val="0"/>
          <w:sz w:val="21"/>
          <w:szCs w:val="21"/>
        </w:rPr>
        <w:t>1.说明：应对照谈判文件“第二章”中“货物需求一览表”的采购清单及技术参数条款逐条作出明确响应，并作出偏离说明。</w:t>
      </w:r>
    </w:p>
    <w:p>
      <w:pPr>
        <w:pStyle w:val="11"/>
        <w:spacing w:line="400" w:lineRule="exact"/>
        <w:ind w:firstLine="0" w:firstLineChars="0"/>
        <w:contextualSpacing/>
        <w:rPr>
          <w:rFonts w:hint="eastAsia" w:ascii="宋体" w:hAnsi="宋体" w:eastAsia="宋体" w:cs="仿宋_GB2312"/>
          <w:sz w:val="21"/>
          <w:szCs w:val="21"/>
        </w:rPr>
      </w:pPr>
      <w:r>
        <w:rPr>
          <w:rFonts w:hint="eastAsia" w:ascii="宋体" w:hAnsi="宋体" w:eastAsia="宋体" w:cs="仿宋_GB2312"/>
          <w:sz w:val="21"/>
          <w:szCs w:val="21"/>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pPr>
        <w:spacing w:line="400" w:lineRule="exact"/>
        <w:rPr>
          <w:rFonts w:ascii="宋体" w:hAnsi="宋体" w:cs="仿宋_GB2312"/>
          <w:kern w:val="0"/>
          <w:szCs w:val="21"/>
        </w:rPr>
      </w:pPr>
      <w:r>
        <w:rPr>
          <w:rFonts w:hint="eastAsia" w:ascii="宋体" w:hAnsi="宋体" w:cs="仿宋_GB2312"/>
          <w:kern w:val="0"/>
          <w:szCs w:val="21"/>
        </w:rPr>
        <w:t>3</w:t>
      </w:r>
      <w:r>
        <w:rPr>
          <w:rFonts w:ascii="宋体" w:hAnsi="宋体" w:cs="仿宋_GB2312"/>
          <w:kern w:val="0"/>
          <w:szCs w:val="21"/>
        </w:rPr>
        <w:t>.</w:t>
      </w:r>
      <w:r>
        <w:rPr>
          <w:rFonts w:hint="eastAsia" w:ascii="宋体" w:hAnsi="宋体" w:cs="仿宋_GB2312"/>
          <w:kern w:val="0"/>
          <w:szCs w:val="21"/>
        </w:rPr>
        <w:t>表格内容均需按要求填写并盖章，不得留空，否则按竞标无效处理。</w:t>
      </w:r>
    </w:p>
    <w:p>
      <w:pPr>
        <w:pStyle w:val="14"/>
        <w:spacing w:line="400" w:lineRule="exact"/>
        <w:contextualSpacing/>
        <w:rPr>
          <w:rFonts w:hint="eastAsia" w:hAnsi="宋体" w:cs="仿宋_GB2312"/>
          <w:sz w:val="21"/>
        </w:rPr>
      </w:pPr>
      <w:r>
        <w:rPr>
          <w:rFonts w:hint="eastAsia" w:hAnsi="宋体" w:cs="仿宋_GB2312"/>
          <w:sz w:val="21"/>
        </w:rPr>
        <w:t>4</w:t>
      </w:r>
      <w:r>
        <w:rPr>
          <w:rFonts w:hAnsi="宋体" w:cs="仿宋_GB2312"/>
          <w:sz w:val="21"/>
        </w:rPr>
        <w:t>.</w:t>
      </w:r>
      <w:r>
        <w:rPr>
          <w:rFonts w:hint="eastAsia" w:hAnsi="宋体" w:cs="仿宋_GB2312"/>
          <w:sz w:val="21"/>
        </w:rPr>
        <w:t>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pPr>
        <w:pStyle w:val="11"/>
        <w:spacing w:line="360" w:lineRule="auto"/>
        <w:ind w:firstLine="0" w:firstLineChars="0"/>
        <w:contextualSpacing/>
        <w:rPr>
          <w:rFonts w:hint="eastAsia" w:ascii="宋体" w:hAnsi="宋体" w:cs="仿宋_GB2312"/>
          <w:sz w:val="24"/>
        </w:rPr>
      </w:pPr>
      <w:r>
        <w:rPr>
          <w:rFonts w:hint="eastAsia" w:ascii="宋体" w:hAnsi="宋体" w:eastAsia="宋体" w:cs="仿宋_GB2312"/>
          <w:sz w:val="21"/>
          <w:szCs w:val="21"/>
        </w:rPr>
        <w:t>5</w:t>
      </w:r>
      <w:r>
        <w:rPr>
          <w:rFonts w:ascii="宋体" w:hAnsi="宋体" w:eastAsia="宋体" w:cs="仿宋_GB2312"/>
          <w:sz w:val="21"/>
          <w:szCs w:val="21"/>
        </w:rPr>
        <w:t>.</w:t>
      </w:r>
      <w:r>
        <w:rPr>
          <w:rFonts w:hint="eastAsia" w:ascii="宋体" w:hAnsi="宋体" w:eastAsia="宋体" w:cs="仿宋_GB2312"/>
          <w:sz w:val="21"/>
          <w:szCs w:val="21"/>
        </w:rPr>
        <w:t xml:space="preserve"> 如技术偏离表中的竞标响应与佐证材料不一致的，以佐证材料为准。</w:t>
      </w:r>
    </w:p>
    <w:p>
      <w:pPr>
        <w:snapToGrid w:val="0"/>
        <w:spacing w:line="360" w:lineRule="auto"/>
        <w:ind w:firstLine="602" w:firstLineChars="200"/>
        <w:rPr>
          <w:rFonts w:ascii="仿宋" w:hAnsi="仿宋" w:eastAsia="仿宋" w:cs="仿宋_GB2312"/>
          <w:b/>
          <w:sz w:val="30"/>
          <w:szCs w:val="30"/>
        </w:rPr>
      </w:pP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500" w:lineRule="exact"/>
        <w:jc w:val="center"/>
        <w:rPr>
          <w:rFonts w:ascii="仿宋_GB2312" w:hAnsi="仿宋_GB2312" w:eastAsia="仿宋_GB2312" w:cs="仿宋_GB2312"/>
          <w:sz w:val="32"/>
          <w:szCs w:val="32"/>
        </w:rPr>
        <w:sectPr>
          <w:pgSz w:w="11910" w:h="16840"/>
          <w:pgMar w:top="1340" w:right="1500" w:bottom="280" w:left="1680" w:header="720" w:footer="720" w:gutter="0"/>
          <w:cols w:space="720" w:num="1"/>
        </w:sectPr>
      </w:pPr>
    </w:p>
    <w:p>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八、配置清单</w:t>
      </w:r>
    </w:p>
    <w:p>
      <w:pPr>
        <w:spacing w:line="500" w:lineRule="exact"/>
        <w:jc w:val="center"/>
        <w:rPr>
          <w:rFonts w:ascii="仿宋_GB2312" w:hAnsi="仿宋_GB2312" w:eastAsia="仿宋_GB2312" w:cs="仿宋_GB2312"/>
          <w:sz w:val="32"/>
          <w:szCs w:val="32"/>
        </w:rPr>
      </w:pPr>
    </w:p>
    <w:p>
      <w:pPr>
        <w:adjustRightInd w:val="0"/>
        <w:snapToGrid w:val="0"/>
        <w:spacing w:line="520" w:lineRule="exact"/>
        <w:jc w:val="center"/>
        <w:rPr>
          <w:rFonts w:hint="eastAsia" w:ascii="宋体" w:hAnsi="宋体"/>
          <w:b/>
          <w:color w:val="000000"/>
          <w:sz w:val="32"/>
          <w:szCs w:val="32"/>
        </w:rPr>
      </w:pPr>
      <w:r>
        <w:rPr>
          <w:rFonts w:hint="eastAsia" w:ascii="方正小标宋简体" w:hAnsi="方正小标宋简体" w:eastAsia="方正小标宋简体" w:cs="方正小标宋简体"/>
          <w:bCs/>
          <w:color w:val="000000"/>
          <w:sz w:val="44"/>
          <w:szCs w:val="44"/>
        </w:rPr>
        <w:t>货物配置清单</w:t>
      </w:r>
    </w:p>
    <w:p>
      <w:pPr>
        <w:spacing w:line="300" w:lineRule="auto"/>
        <w:rPr>
          <w:rFonts w:hint="eastAsia" w:ascii="宋体" w:hAnsi="宋体"/>
          <w:color w:val="000000"/>
          <w:szCs w:val="21"/>
        </w:rPr>
      </w:pPr>
    </w:p>
    <w:p>
      <w:pPr>
        <w:spacing w:line="360" w:lineRule="auto"/>
        <w:rPr>
          <w:rFonts w:hint="eastAsia" w:ascii="宋体" w:hAnsi="宋体" w:cs="仿宋_GB2312"/>
          <w:color w:val="000000"/>
          <w:sz w:val="24"/>
          <w:u w:val="single"/>
        </w:rPr>
      </w:pPr>
      <w:r>
        <w:rPr>
          <w:rFonts w:hint="eastAsia" w:ascii="宋体" w:hAnsi="宋体" w:cs="仿宋_GB2312"/>
          <w:color w:val="000000"/>
          <w:sz w:val="24"/>
        </w:rPr>
        <w:t>所竞分标：</w:t>
      </w:r>
      <w:r>
        <w:rPr>
          <w:rFonts w:hint="eastAsia" w:ascii="宋体" w:hAnsi="宋体" w:cs="仿宋_GB2312"/>
          <w:color w:val="000000"/>
          <w:sz w:val="24"/>
          <w:u w:val="single"/>
        </w:rPr>
        <w:t xml:space="preserve">                 </w:t>
      </w:r>
    </w:p>
    <w:tbl>
      <w:tblPr>
        <w:tblStyle w:val="21"/>
        <w:tblW w:w="89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245"/>
        <w:gridCol w:w="803"/>
        <w:gridCol w:w="895"/>
        <w:gridCol w:w="1786"/>
        <w:gridCol w:w="1245"/>
        <w:gridCol w:w="737"/>
        <w:gridCol w:w="14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olor w:val="000000"/>
                <w:sz w:val="24"/>
              </w:rPr>
            </w:pPr>
            <w:r>
              <w:rPr>
                <w:rFonts w:hint="eastAsia" w:ascii="宋体" w:hAnsi="宋体"/>
                <w:color w:val="000000"/>
                <w:sz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olor w:val="000000"/>
                <w:sz w:val="24"/>
              </w:rPr>
            </w:pPr>
            <w:r>
              <w:rPr>
                <w:rFonts w:hint="eastAsia" w:ascii="宋体" w:hAnsi="宋体"/>
                <w:color w:val="000000"/>
                <w:sz w:val="24"/>
              </w:rPr>
              <w:t>货物名称</w:t>
            </w:r>
          </w:p>
        </w:tc>
        <w:tc>
          <w:tcPr>
            <w:tcW w:w="8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olor w:val="000000"/>
                <w:sz w:val="24"/>
              </w:rPr>
            </w:pPr>
            <w:r>
              <w:rPr>
                <w:rFonts w:hint="eastAsia" w:ascii="宋体" w:hAnsi="宋体"/>
                <w:color w:val="000000"/>
                <w:sz w:val="24"/>
              </w:rPr>
              <w:t>数量及单位</w:t>
            </w:r>
          </w:p>
        </w:tc>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olor w:val="000000"/>
                <w:sz w:val="24"/>
              </w:rPr>
            </w:pPr>
            <w:r>
              <w:rPr>
                <w:rFonts w:hint="eastAsia" w:ascii="宋体" w:hAnsi="宋体"/>
                <w:color w:val="000000"/>
                <w:sz w:val="24"/>
              </w:rPr>
              <w:t>品牌</w:t>
            </w:r>
          </w:p>
        </w:tc>
        <w:tc>
          <w:tcPr>
            <w:tcW w:w="1786" w:type="dxa"/>
            <w:tcBorders>
              <w:top w:val="single" w:color="auto" w:sz="4" w:space="0"/>
              <w:left w:val="single" w:color="auto" w:sz="4" w:space="0"/>
              <w:bottom w:val="single" w:color="auto" w:sz="4" w:space="0"/>
              <w:right w:val="single" w:color="auto" w:sz="4" w:space="0"/>
            </w:tcBorders>
            <w:vAlign w:val="top"/>
          </w:tcPr>
          <w:p>
            <w:pPr>
              <w:snapToGrid w:val="0"/>
              <w:spacing w:before="50" w:after="50"/>
              <w:jc w:val="center"/>
              <w:rPr>
                <w:rFonts w:ascii="宋体" w:hAnsi="宋体"/>
                <w:color w:val="000000"/>
                <w:sz w:val="24"/>
              </w:rPr>
            </w:pPr>
          </w:p>
          <w:p>
            <w:pPr>
              <w:snapToGrid w:val="0"/>
              <w:spacing w:before="50" w:after="50"/>
              <w:jc w:val="center"/>
              <w:rPr>
                <w:rFonts w:hint="eastAsia" w:ascii="宋体" w:hAnsi="宋体"/>
                <w:color w:val="000000"/>
                <w:sz w:val="24"/>
              </w:rPr>
            </w:pPr>
            <w:r>
              <w:rPr>
                <w:rFonts w:hint="eastAsia" w:ascii="宋体" w:hAnsi="宋体"/>
                <w:color w:val="000000"/>
                <w:sz w:val="24"/>
              </w:rPr>
              <w:t>规格型号</w:t>
            </w: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olor w:val="000000"/>
                <w:sz w:val="24"/>
              </w:rPr>
            </w:pPr>
            <w:r>
              <w:rPr>
                <w:rFonts w:hint="eastAsia" w:ascii="宋体" w:hAnsi="宋体"/>
                <w:color w:val="000000"/>
                <w:sz w:val="24"/>
              </w:rPr>
              <w:t>制造商</w:t>
            </w:r>
          </w:p>
        </w:tc>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olor w:val="000000"/>
                <w:sz w:val="24"/>
              </w:rPr>
            </w:pPr>
            <w:r>
              <w:rPr>
                <w:rFonts w:hint="eastAsia" w:ascii="宋体" w:hAnsi="宋体"/>
                <w:color w:val="000000"/>
                <w:sz w:val="24"/>
              </w:rPr>
              <w:t>原产地</w:t>
            </w:r>
          </w:p>
        </w:tc>
        <w:tc>
          <w:tcPr>
            <w:tcW w:w="14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olor w:val="000000"/>
                <w:sz w:val="24"/>
              </w:rPr>
            </w:pPr>
            <w:r>
              <w:rPr>
                <w:rFonts w:hint="eastAsia" w:ascii="宋体" w:hAnsi="宋体"/>
                <w:color w:val="000000"/>
                <w:sz w:val="24"/>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olor w:val="000000"/>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olor w:val="000000"/>
                <w:sz w:val="24"/>
              </w:rPr>
            </w:pPr>
          </w:p>
        </w:tc>
        <w:tc>
          <w:tcPr>
            <w:tcW w:w="8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olor w:val="000000"/>
                <w:sz w:val="24"/>
              </w:rPr>
            </w:pPr>
          </w:p>
        </w:tc>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olor w:val="000000"/>
                <w:sz w:val="24"/>
              </w:rPr>
            </w:pPr>
          </w:p>
        </w:tc>
        <w:tc>
          <w:tcPr>
            <w:tcW w:w="1786" w:type="dxa"/>
            <w:tcBorders>
              <w:top w:val="single" w:color="auto" w:sz="4" w:space="0"/>
              <w:left w:val="single" w:color="auto" w:sz="4" w:space="0"/>
              <w:bottom w:val="single" w:color="auto" w:sz="4" w:space="0"/>
              <w:right w:val="single" w:color="auto" w:sz="4" w:space="0"/>
            </w:tcBorders>
            <w:vAlign w:val="top"/>
          </w:tcPr>
          <w:p>
            <w:pPr>
              <w:snapToGrid w:val="0"/>
              <w:spacing w:before="50" w:after="50"/>
              <w:jc w:val="center"/>
              <w:rPr>
                <w:rFonts w:hint="eastAsia" w:ascii="宋体" w:hAnsi="宋体"/>
                <w:color w:val="000000"/>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olor w:val="000000"/>
                <w:sz w:val="24"/>
              </w:rPr>
            </w:pPr>
          </w:p>
        </w:tc>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olor w:val="000000"/>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olor w:val="000000"/>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olor w:val="000000"/>
                <w:sz w:val="24"/>
              </w:rPr>
            </w:pPr>
          </w:p>
        </w:tc>
        <w:tc>
          <w:tcPr>
            <w:tcW w:w="8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olor w:val="000000"/>
                <w:sz w:val="24"/>
              </w:rPr>
            </w:pPr>
          </w:p>
        </w:tc>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olor w:val="000000"/>
                <w:sz w:val="24"/>
              </w:rPr>
            </w:pPr>
          </w:p>
        </w:tc>
        <w:tc>
          <w:tcPr>
            <w:tcW w:w="1786" w:type="dxa"/>
            <w:tcBorders>
              <w:top w:val="single" w:color="auto" w:sz="4" w:space="0"/>
              <w:left w:val="single" w:color="auto" w:sz="4" w:space="0"/>
              <w:bottom w:val="single" w:color="auto" w:sz="4" w:space="0"/>
              <w:right w:val="single" w:color="auto" w:sz="4" w:space="0"/>
            </w:tcBorders>
            <w:vAlign w:val="top"/>
          </w:tcPr>
          <w:p>
            <w:pPr>
              <w:snapToGrid w:val="0"/>
              <w:spacing w:before="50" w:after="50"/>
              <w:jc w:val="center"/>
              <w:rPr>
                <w:rFonts w:hint="eastAsia" w:ascii="宋体" w:hAnsi="宋体"/>
                <w:color w:val="000000"/>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olor w:val="000000"/>
                <w:sz w:val="24"/>
              </w:rPr>
            </w:pPr>
          </w:p>
        </w:tc>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olor w:val="000000"/>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olor w:val="000000"/>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olor w:val="000000"/>
                <w:sz w:val="24"/>
              </w:rPr>
            </w:pPr>
          </w:p>
        </w:tc>
        <w:tc>
          <w:tcPr>
            <w:tcW w:w="8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olor w:val="000000"/>
                <w:sz w:val="24"/>
              </w:rPr>
            </w:pPr>
          </w:p>
        </w:tc>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olor w:val="000000"/>
                <w:sz w:val="24"/>
              </w:rPr>
            </w:pPr>
          </w:p>
        </w:tc>
        <w:tc>
          <w:tcPr>
            <w:tcW w:w="1786" w:type="dxa"/>
            <w:tcBorders>
              <w:top w:val="single" w:color="auto" w:sz="4" w:space="0"/>
              <w:left w:val="single" w:color="auto" w:sz="4" w:space="0"/>
              <w:bottom w:val="single" w:color="auto" w:sz="4" w:space="0"/>
              <w:right w:val="single" w:color="auto" w:sz="4" w:space="0"/>
            </w:tcBorders>
            <w:vAlign w:val="top"/>
          </w:tcPr>
          <w:p>
            <w:pPr>
              <w:snapToGrid w:val="0"/>
              <w:spacing w:before="50" w:after="50"/>
              <w:jc w:val="center"/>
              <w:rPr>
                <w:rFonts w:hint="eastAsia" w:ascii="宋体" w:hAnsi="宋体"/>
                <w:color w:val="000000"/>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olor w:val="000000"/>
                <w:sz w:val="24"/>
              </w:rPr>
            </w:pPr>
          </w:p>
        </w:tc>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olor w:val="000000"/>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olor w:val="000000"/>
                <w:sz w:val="24"/>
              </w:rPr>
            </w:pPr>
          </w:p>
        </w:tc>
      </w:tr>
    </w:tbl>
    <w:p>
      <w:pPr>
        <w:spacing w:line="360" w:lineRule="auto"/>
        <w:contextualSpacing/>
        <w:rPr>
          <w:rFonts w:hint="eastAsia" w:ascii="宋体" w:hAnsi="宋体"/>
          <w:color w:val="000000"/>
          <w:sz w:val="24"/>
        </w:rPr>
      </w:pPr>
      <w:r>
        <w:rPr>
          <w:rFonts w:hint="eastAsia" w:ascii="宋体" w:hAnsi="宋体"/>
          <w:color w:val="000000"/>
          <w:sz w:val="24"/>
        </w:rPr>
        <w:t>备注：</w:t>
      </w:r>
    </w:p>
    <w:p>
      <w:pPr>
        <w:tabs>
          <w:tab w:val="left" w:pos="1065"/>
        </w:tabs>
        <w:adjustRightInd w:val="0"/>
        <w:spacing w:line="360" w:lineRule="auto"/>
        <w:contextualSpacing/>
        <w:rPr>
          <w:rFonts w:hint="eastAsia" w:ascii="宋体" w:hAnsi="宋体" w:cs="仿宋_GB2312"/>
          <w:color w:val="000000"/>
          <w:sz w:val="24"/>
        </w:rPr>
      </w:pPr>
      <w:r>
        <w:rPr>
          <w:rFonts w:hint="eastAsia" w:ascii="宋体" w:hAnsi="宋体"/>
          <w:b/>
          <w:bCs/>
          <w:color w:val="000000"/>
          <w:sz w:val="24"/>
          <w:highlight w:val="none"/>
        </w:rPr>
        <w:t>以上性能配置清单中“货物名称、数量及单位、品牌、规格型号、制造商、原产地、参数性能、指标及配置”必须如实填写完整，品牌、规格型号没有则填无，填写有缺漏的，响应文件作无效处理</w:t>
      </w:r>
      <w:r>
        <w:rPr>
          <w:rFonts w:hint="eastAsia" w:ascii="宋体" w:hAnsi="宋体"/>
          <w:b/>
          <w:color w:val="000000"/>
          <w:sz w:val="24"/>
        </w:rPr>
        <w:t>。</w:t>
      </w:r>
      <w:r>
        <w:rPr>
          <w:rFonts w:hint="eastAsia" w:ascii="宋体" w:hAnsi="宋体"/>
          <w:color w:val="000000"/>
          <w:sz w:val="24"/>
        </w:rPr>
        <w:t>货物名称、数量及单位、品牌必须与“货物需求一览表”一致，</w:t>
      </w:r>
      <w:r>
        <w:rPr>
          <w:rFonts w:hint="eastAsia" w:ascii="宋体" w:hAnsi="宋体"/>
          <w:bCs/>
          <w:color w:val="000000"/>
          <w:sz w:val="24"/>
        </w:rPr>
        <w:t>否则响应文件作无效处理</w:t>
      </w:r>
      <w:r>
        <w:rPr>
          <w:rFonts w:hint="eastAsia" w:ascii="宋体" w:hAnsi="宋体"/>
          <w:b/>
          <w:color w:val="000000"/>
          <w:sz w:val="24"/>
        </w:rPr>
        <w:t>。</w:t>
      </w:r>
      <w:r>
        <w:rPr>
          <w:rFonts w:hint="eastAsia" w:ascii="宋体" w:hAnsi="宋体" w:cs="仿宋_GB2312"/>
          <w:color w:val="000000"/>
          <w:sz w:val="24"/>
        </w:rPr>
        <w:tab/>
      </w:r>
    </w:p>
    <w:p>
      <w:pPr>
        <w:adjustRightInd w:val="0"/>
        <w:spacing w:line="360" w:lineRule="auto"/>
        <w:contextualSpacing/>
        <w:jc w:val="left"/>
        <w:rPr>
          <w:rFonts w:hint="eastAsia" w:ascii="宋体" w:hAnsi="宋体" w:cs="仿宋_GB2312"/>
          <w:color w:val="000000"/>
          <w:sz w:val="24"/>
        </w:rPr>
      </w:pP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500" w:lineRule="exact"/>
        <w:rPr>
          <w:rFonts w:hint="eastAsia" w:ascii="仿宋_GB2312" w:hAnsi="仿宋_GB2312" w:eastAsia="仿宋_GB2312" w:cs="仿宋_GB2312"/>
          <w:sz w:val="32"/>
          <w:szCs w:val="32"/>
        </w:rPr>
      </w:pPr>
    </w:p>
    <w:p>
      <w:pPr>
        <w:snapToGrid w:val="0"/>
        <w:spacing w:before="120" w:beforeLines="50" w:after="50"/>
        <w:ind w:left="143" w:leftChars="68" w:firstLine="596" w:firstLineChars="198"/>
        <w:rPr>
          <w:rFonts w:hint="eastAsia" w:ascii="仿宋" w:hAnsi="仿宋" w:eastAsia="仿宋" w:cs="仿宋_GB2312"/>
          <w:b/>
          <w:sz w:val="30"/>
          <w:szCs w:val="30"/>
        </w:rPr>
      </w:pPr>
    </w:p>
    <w:p>
      <w:pPr>
        <w:snapToGrid w:val="0"/>
        <w:spacing w:before="120" w:beforeLines="50" w:after="50"/>
        <w:ind w:left="143" w:leftChars="68" w:firstLine="596" w:firstLineChars="198"/>
        <w:rPr>
          <w:rFonts w:hint="eastAsia" w:ascii="仿宋" w:hAnsi="仿宋" w:eastAsia="仿宋" w:cs="仿宋_GB2312"/>
          <w:b/>
          <w:sz w:val="30"/>
          <w:szCs w:val="30"/>
        </w:rPr>
      </w:pPr>
    </w:p>
    <w:p>
      <w:pPr>
        <w:snapToGrid w:val="0"/>
        <w:spacing w:before="120" w:beforeLines="50" w:after="50"/>
        <w:ind w:left="143" w:leftChars="68" w:firstLine="596" w:firstLineChars="198"/>
        <w:rPr>
          <w:rFonts w:hint="eastAsia" w:ascii="仿宋" w:hAnsi="仿宋" w:eastAsia="仿宋" w:cs="仿宋_GB2312"/>
          <w:b/>
          <w:sz w:val="30"/>
          <w:szCs w:val="30"/>
        </w:rPr>
      </w:pPr>
    </w:p>
    <w:p>
      <w:pPr>
        <w:snapToGrid w:val="0"/>
        <w:spacing w:before="120" w:beforeLines="50" w:after="50"/>
        <w:ind w:left="143" w:leftChars="68" w:firstLine="596" w:firstLineChars="198"/>
        <w:rPr>
          <w:rFonts w:hint="eastAsia" w:ascii="仿宋" w:hAnsi="仿宋" w:eastAsia="仿宋" w:cs="仿宋_GB2312"/>
          <w:b/>
          <w:sz w:val="30"/>
          <w:szCs w:val="30"/>
        </w:rPr>
      </w:pPr>
    </w:p>
    <w:p>
      <w:pPr>
        <w:snapToGrid w:val="0"/>
        <w:spacing w:before="120" w:beforeLines="50" w:after="50"/>
        <w:ind w:left="143" w:leftChars="68" w:firstLine="596" w:firstLineChars="198"/>
        <w:rPr>
          <w:rFonts w:hint="eastAsia" w:ascii="仿宋" w:hAnsi="仿宋" w:eastAsia="仿宋" w:cs="仿宋_GB2312"/>
          <w:b/>
          <w:sz w:val="30"/>
          <w:szCs w:val="30"/>
        </w:rPr>
      </w:pPr>
    </w:p>
    <w:p>
      <w:pPr>
        <w:snapToGrid w:val="0"/>
        <w:spacing w:before="120" w:beforeLines="50" w:after="50"/>
        <w:ind w:left="143" w:leftChars="68" w:firstLine="596" w:firstLineChars="198"/>
        <w:rPr>
          <w:rFonts w:hint="eastAsia" w:ascii="仿宋" w:hAnsi="仿宋" w:eastAsia="仿宋" w:cs="仿宋_GB2312"/>
          <w:b/>
          <w:sz w:val="30"/>
          <w:szCs w:val="30"/>
        </w:rPr>
      </w:pPr>
    </w:p>
    <w:p>
      <w:pPr>
        <w:snapToGrid w:val="0"/>
        <w:spacing w:before="120" w:beforeLines="50" w:after="50"/>
        <w:ind w:left="143" w:leftChars="68" w:firstLine="596" w:firstLineChars="198"/>
        <w:rPr>
          <w:rFonts w:hint="eastAsia" w:ascii="仿宋" w:hAnsi="仿宋" w:eastAsia="仿宋" w:cs="仿宋_GB2312"/>
          <w:b/>
          <w:sz w:val="30"/>
          <w:szCs w:val="30"/>
        </w:rPr>
      </w:pPr>
    </w:p>
    <w:p>
      <w:pPr>
        <w:snapToGrid w:val="0"/>
        <w:spacing w:before="120" w:beforeLines="50" w:after="50"/>
        <w:ind w:left="143" w:leftChars="68" w:firstLine="596" w:firstLineChars="198"/>
        <w:rPr>
          <w:rFonts w:hint="eastAsia" w:ascii="仿宋" w:hAnsi="仿宋" w:eastAsia="仿宋" w:cs="仿宋_GB2312"/>
          <w:b/>
          <w:sz w:val="30"/>
          <w:szCs w:val="30"/>
        </w:rPr>
      </w:pPr>
    </w:p>
    <w:p>
      <w:pPr>
        <w:snapToGrid w:val="0"/>
        <w:spacing w:before="120" w:beforeLines="50" w:after="50"/>
        <w:ind w:left="143" w:leftChars="68" w:firstLine="596" w:firstLineChars="198"/>
        <w:rPr>
          <w:rFonts w:hint="eastAsia" w:ascii="仿宋" w:hAnsi="仿宋" w:eastAsia="仿宋" w:cs="仿宋_GB2312"/>
          <w:b/>
          <w:sz w:val="30"/>
          <w:szCs w:val="30"/>
        </w:rPr>
      </w:pPr>
    </w:p>
    <w:p>
      <w:pPr>
        <w:snapToGrid w:val="0"/>
        <w:spacing w:before="120" w:beforeLines="50" w:after="50"/>
        <w:ind w:left="143" w:leftChars="68" w:firstLine="596" w:firstLineChars="198"/>
        <w:rPr>
          <w:rFonts w:hint="eastAsia" w:ascii="仿宋" w:hAnsi="仿宋" w:eastAsia="仿宋" w:cs="仿宋_GB2312"/>
          <w:b/>
          <w:sz w:val="30"/>
          <w:szCs w:val="30"/>
        </w:rPr>
      </w:pPr>
    </w:p>
    <w:p>
      <w:pPr>
        <w:snapToGrid w:val="0"/>
        <w:spacing w:before="120" w:beforeLines="50" w:after="50"/>
        <w:ind w:left="143" w:leftChars="68" w:firstLine="596" w:firstLineChars="198"/>
        <w:rPr>
          <w:rFonts w:hint="eastAsia" w:ascii="仿宋" w:hAnsi="仿宋" w:eastAsia="仿宋" w:cs="仿宋_GB2312"/>
          <w:b/>
          <w:sz w:val="30"/>
          <w:szCs w:val="30"/>
        </w:rPr>
      </w:pPr>
      <w:r>
        <w:rPr>
          <w:rFonts w:hint="eastAsia" w:ascii="仿宋" w:hAnsi="仿宋" w:eastAsia="仿宋" w:cs="仿宋_GB2312"/>
          <w:b/>
          <w:sz w:val="30"/>
          <w:szCs w:val="30"/>
        </w:rPr>
        <w:t>九、售后服务方案</w:t>
      </w:r>
    </w:p>
    <w:p>
      <w:pPr>
        <w:snapToGrid w:val="0"/>
        <w:spacing w:before="120" w:beforeLines="50" w:after="50"/>
        <w:ind w:left="143" w:leftChars="68" w:firstLine="420" w:firstLineChars="200"/>
        <w:rPr>
          <w:rFonts w:hint="eastAsia" w:hAnsi="宋体"/>
        </w:rPr>
      </w:pPr>
      <w:r>
        <w:rPr>
          <w:rFonts w:hint="eastAsia" w:hAnsi="宋体"/>
        </w:rPr>
        <w:t>由竞标人按本项目竞争性谈判采购文件第二章“货物需求一览表”中商务条款部分的售后服务要求自行填写，其中要包含售后服务承诺书。</w:t>
      </w:r>
    </w:p>
    <w:p>
      <w:pPr>
        <w:snapToGrid w:val="0"/>
        <w:spacing w:before="120" w:beforeLines="50" w:after="50"/>
        <w:ind w:left="142"/>
        <w:jc w:val="center"/>
        <w:rPr>
          <w:rFonts w:hint="eastAsia" w:ascii="宋体" w:hAnsi="宋体"/>
          <w:b/>
          <w:color w:val="000000"/>
          <w:sz w:val="32"/>
          <w:szCs w:val="32"/>
        </w:rPr>
      </w:pPr>
      <w:r>
        <w:rPr>
          <w:rFonts w:hint="eastAsia" w:ascii="宋体" w:hAnsi="宋体"/>
          <w:b/>
          <w:color w:val="000000"/>
          <w:sz w:val="32"/>
          <w:szCs w:val="32"/>
        </w:rPr>
        <w:t>1、售后服务承诺</w:t>
      </w:r>
    </w:p>
    <w:p>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2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序号</w:t>
            </w:r>
          </w:p>
        </w:tc>
        <w:tc>
          <w:tcPr>
            <w:tcW w:w="2340" w:type="dxa"/>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机构名称</w:t>
            </w:r>
          </w:p>
        </w:tc>
        <w:tc>
          <w:tcPr>
            <w:tcW w:w="1095" w:type="dxa"/>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机构性质</w:t>
            </w:r>
          </w:p>
        </w:tc>
        <w:tc>
          <w:tcPr>
            <w:tcW w:w="1245" w:type="dxa"/>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注册地址</w:t>
            </w:r>
          </w:p>
        </w:tc>
        <w:tc>
          <w:tcPr>
            <w:tcW w:w="1980" w:type="dxa"/>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货物技术人员数量</w:t>
            </w:r>
          </w:p>
        </w:tc>
        <w:tc>
          <w:tcPr>
            <w:tcW w:w="1260" w:type="dxa"/>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pPr>
              <w:autoSpaceDE w:val="0"/>
              <w:autoSpaceDN w:val="0"/>
              <w:spacing w:line="360" w:lineRule="auto"/>
              <w:jc w:val="center"/>
              <w:rPr>
                <w:rFonts w:hint="eastAsia" w:ascii="仿宋_GB2312" w:hAnsi="仿宋" w:eastAsia="仿宋_GB2312" w:cs="仿宋_GB2312"/>
                <w:sz w:val="24"/>
              </w:rPr>
            </w:pPr>
          </w:p>
        </w:tc>
        <w:tc>
          <w:tcPr>
            <w:tcW w:w="2340" w:type="dxa"/>
            <w:vAlign w:val="top"/>
          </w:tcPr>
          <w:p>
            <w:pPr>
              <w:autoSpaceDE w:val="0"/>
              <w:autoSpaceDN w:val="0"/>
              <w:spacing w:line="360" w:lineRule="auto"/>
              <w:jc w:val="center"/>
              <w:rPr>
                <w:rFonts w:hint="eastAsia" w:ascii="仿宋_GB2312" w:hAnsi="仿宋" w:eastAsia="仿宋_GB2312" w:cs="仿宋_GB2312"/>
                <w:sz w:val="24"/>
              </w:rPr>
            </w:pPr>
          </w:p>
        </w:tc>
        <w:tc>
          <w:tcPr>
            <w:tcW w:w="1095" w:type="dxa"/>
            <w:vAlign w:val="top"/>
          </w:tcPr>
          <w:p>
            <w:pPr>
              <w:autoSpaceDE w:val="0"/>
              <w:autoSpaceDN w:val="0"/>
              <w:spacing w:line="360" w:lineRule="auto"/>
              <w:jc w:val="center"/>
              <w:rPr>
                <w:rFonts w:hint="eastAsia" w:ascii="仿宋_GB2312" w:hAnsi="仿宋" w:eastAsia="仿宋_GB2312" w:cs="仿宋_GB2312"/>
                <w:sz w:val="24"/>
              </w:rPr>
            </w:pPr>
          </w:p>
        </w:tc>
        <w:tc>
          <w:tcPr>
            <w:tcW w:w="1245" w:type="dxa"/>
            <w:vAlign w:val="top"/>
          </w:tcPr>
          <w:p>
            <w:pPr>
              <w:autoSpaceDE w:val="0"/>
              <w:autoSpaceDN w:val="0"/>
              <w:spacing w:line="360" w:lineRule="auto"/>
              <w:jc w:val="center"/>
              <w:rPr>
                <w:rFonts w:hint="eastAsia" w:ascii="仿宋_GB2312" w:hAnsi="仿宋" w:eastAsia="仿宋_GB2312" w:cs="仿宋_GB2312"/>
                <w:sz w:val="24"/>
              </w:rPr>
            </w:pPr>
          </w:p>
        </w:tc>
        <w:tc>
          <w:tcPr>
            <w:tcW w:w="1980" w:type="dxa"/>
            <w:vAlign w:val="top"/>
          </w:tcPr>
          <w:p>
            <w:pPr>
              <w:autoSpaceDE w:val="0"/>
              <w:autoSpaceDN w:val="0"/>
              <w:spacing w:line="360" w:lineRule="auto"/>
              <w:jc w:val="center"/>
              <w:rPr>
                <w:rFonts w:hint="eastAsia" w:ascii="仿宋_GB2312" w:hAnsi="仿宋" w:eastAsia="仿宋_GB2312" w:cs="仿宋_GB2312"/>
                <w:sz w:val="24"/>
              </w:rPr>
            </w:pPr>
          </w:p>
        </w:tc>
        <w:tc>
          <w:tcPr>
            <w:tcW w:w="1260" w:type="dxa"/>
            <w:vAlign w:val="top"/>
          </w:tcPr>
          <w:p>
            <w:pPr>
              <w:autoSpaceDE w:val="0"/>
              <w:autoSpaceDN w:val="0"/>
              <w:spacing w:line="360" w:lineRule="auto"/>
              <w:jc w:val="center"/>
              <w:rPr>
                <w:rFonts w:hint="eastAsia"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pPr>
              <w:autoSpaceDE w:val="0"/>
              <w:autoSpaceDN w:val="0"/>
              <w:spacing w:line="360" w:lineRule="auto"/>
              <w:jc w:val="center"/>
              <w:rPr>
                <w:rFonts w:hint="eastAsia" w:ascii="仿宋_GB2312" w:hAnsi="仿宋" w:eastAsia="仿宋_GB2312" w:cs="仿宋_GB2312"/>
                <w:sz w:val="24"/>
              </w:rPr>
            </w:pPr>
          </w:p>
        </w:tc>
        <w:tc>
          <w:tcPr>
            <w:tcW w:w="2340" w:type="dxa"/>
            <w:vAlign w:val="top"/>
          </w:tcPr>
          <w:p>
            <w:pPr>
              <w:autoSpaceDE w:val="0"/>
              <w:autoSpaceDN w:val="0"/>
              <w:spacing w:line="360" w:lineRule="auto"/>
              <w:jc w:val="center"/>
              <w:rPr>
                <w:rFonts w:hint="eastAsia" w:ascii="仿宋_GB2312" w:hAnsi="仿宋" w:eastAsia="仿宋_GB2312" w:cs="仿宋_GB2312"/>
                <w:sz w:val="24"/>
              </w:rPr>
            </w:pPr>
          </w:p>
        </w:tc>
        <w:tc>
          <w:tcPr>
            <w:tcW w:w="1095" w:type="dxa"/>
            <w:vAlign w:val="top"/>
          </w:tcPr>
          <w:p>
            <w:pPr>
              <w:autoSpaceDE w:val="0"/>
              <w:autoSpaceDN w:val="0"/>
              <w:spacing w:line="360" w:lineRule="auto"/>
              <w:jc w:val="center"/>
              <w:rPr>
                <w:rFonts w:hint="eastAsia" w:ascii="仿宋_GB2312" w:hAnsi="仿宋" w:eastAsia="仿宋_GB2312" w:cs="仿宋_GB2312"/>
                <w:sz w:val="24"/>
              </w:rPr>
            </w:pPr>
          </w:p>
        </w:tc>
        <w:tc>
          <w:tcPr>
            <w:tcW w:w="1245" w:type="dxa"/>
            <w:vAlign w:val="top"/>
          </w:tcPr>
          <w:p>
            <w:pPr>
              <w:autoSpaceDE w:val="0"/>
              <w:autoSpaceDN w:val="0"/>
              <w:spacing w:line="360" w:lineRule="auto"/>
              <w:jc w:val="center"/>
              <w:rPr>
                <w:rFonts w:hint="eastAsia" w:ascii="仿宋_GB2312" w:hAnsi="仿宋" w:eastAsia="仿宋_GB2312" w:cs="仿宋_GB2312"/>
                <w:sz w:val="24"/>
              </w:rPr>
            </w:pPr>
          </w:p>
        </w:tc>
        <w:tc>
          <w:tcPr>
            <w:tcW w:w="1980" w:type="dxa"/>
            <w:vAlign w:val="top"/>
          </w:tcPr>
          <w:p>
            <w:pPr>
              <w:autoSpaceDE w:val="0"/>
              <w:autoSpaceDN w:val="0"/>
              <w:spacing w:line="360" w:lineRule="auto"/>
              <w:jc w:val="center"/>
              <w:rPr>
                <w:rFonts w:hint="eastAsia" w:ascii="仿宋_GB2312" w:hAnsi="仿宋" w:eastAsia="仿宋_GB2312" w:cs="仿宋_GB2312"/>
                <w:sz w:val="24"/>
              </w:rPr>
            </w:pPr>
          </w:p>
        </w:tc>
        <w:tc>
          <w:tcPr>
            <w:tcW w:w="1260" w:type="dxa"/>
            <w:vAlign w:val="top"/>
          </w:tcPr>
          <w:p>
            <w:pPr>
              <w:autoSpaceDE w:val="0"/>
              <w:autoSpaceDN w:val="0"/>
              <w:spacing w:line="360" w:lineRule="auto"/>
              <w:jc w:val="center"/>
              <w:rPr>
                <w:rFonts w:hint="eastAsia"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pPr>
              <w:autoSpaceDE w:val="0"/>
              <w:autoSpaceDN w:val="0"/>
              <w:spacing w:line="360" w:lineRule="auto"/>
              <w:jc w:val="center"/>
              <w:rPr>
                <w:rFonts w:hint="eastAsia" w:ascii="仿宋_GB2312" w:hAnsi="仿宋" w:eastAsia="仿宋_GB2312" w:cs="仿宋_GB2312"/>
                <w:sz w:val="24"/>
              </w:rPr>
            </w:pPr>
          </w:p>
        </w:tc>
        <w:tc>
          <w:tcPr>
            <w:tcW w:w="2340" w:type="dxa"/>
            <w:vAlign w:val="top"/>
          </w:tcPr>
          <w:p>
            <w:pPr>
              <w:autoSpaceDE w:val="0"/>
              <w:autoSpaceDN w:val="0"/>
              <w:spacing w:line="360" w:lineRule="auto"/>
              <w:jc w:val="center"/>
              <w:rPr>
                <w:rFonts w:hint="eastAsia" w:ascii="仿宋_GB2312" w:hAnsi="仿宋" w:eastAsia="仿宋_GB2312" w:cs="仿宋_GB2312"/>
                <w:sz w:val="24"/>
              </w:rPr>
            </w:pPr>
          </w:p>
        </w:tc>
        <w:tc>
          <w:tcPr>
            <w:tcW w:w="1095" w:type="dxa"/>
            <w:vAlign w:val="top"/>
          </w:tcPr>
          <w:p>
            <w:pPr>
              <w:autoSpaceDE w:val="0"/>
              <w:autoSpaceDN w:val="0"/>
              <w:spacing w:line="360" w:lineRule="auto"/>
              <w:jc w:val="center"/>
              <w:rPr>
                <w:rFonts w:hint="eastAsia" w:ascii="仿宋_GB2312" w:hAnsi="仿宋" w:eastAsia="仿宋_GB2312" w:cs="仿宋_GB2312"/>
                <w:sz w:val="24"/>
              </w:rPr>
            </w:pPr>
          </w:p>
        </w:tc>
        <w:tc>
          <w:tcPr>
            <w:tcW w:w="1245" w:type="dxa"/>
            <w:vAlign w:val="top"/>
          </w:tcPr>
          <w:p>
            <w:pPr>
              <w:autoSpaceDE w:val="0"/>
              <w:autoSpaceDN w:val="0"/>
              <w:spacing w:line="360" w:lineRule="auto"/>
              <w:jc w:val="center"/>
              <w:rPr>
                <w:rFonts w:hint="eastAsia" w:ascii="仿宋_GB2312" w:hAnsi="仿宋" w:eastAsia="仿宋_GB2312" w:cs="仿宋_GB2312"/>
                <w:sz w:val="24"/>
              </w:rPr>
            </w:pPr>
          </w:p>
        </w:tc>
        <w:tc>
          <w:tcPr>
            <w:tcW w:w="1980" w:type="dxa"/>
            <w:vAlign w:val="top"/>
          </w:tcPr>
          <w:p>
            <w:pPr>
              <w:autoSpaceDE w:val="0"/>
              <w:autoSpaceDN w:val="0"/>
              <w:spacing w:line="360" w:lineRule="auto"/>
              <w:jc w:val="center"/>
              <w:rPr>
                <w:rFonts w:hint="eastAsia" w:ascii="仿宋_GB2312" w:hAnsi="仿宋" w:eastAsia="仿宋_GB2312" w:cs="仿宋_GB2312"/>
                <w:sz w:val="24"/>
              </w:rPr>
            </w:pPr>
          </w:p>
        </w:tc>
        <w:tc>
          <w:tcPr>
            <w:tcW w:w="1260" w:type="dxa"/>
            <w:vAlign w:val="top"/>
          </w:tcPr>
          <w:p>
            <w:pPr>
              <w:autoSpaceDE w:val="0"/>
              <w:autoSpaceDN w:val="0"/>
              <w:spacing w:line="360" w:lineRule="auto"/>
              <w:jc w:val="center"/>
              <w:rPr>
                <w:rFonts w:hint="eastAsia" w:ascii="仿宋_GB2312" w:hAnsi="仿宋" w:eastAsia="仿宋_GB2312" w:cs="仿宋_GB2312"/>
                <w:sz w:val="24"/>
              </w:rPr>
            </w:pPr>
          </w:p>
        </w:tc>
      </w:tr>
    </w:tbl>
    <w:p>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注：关于项目涉及的所有售后服务机构均在本表注明，包括供应商本单位和符合条件的第三方货物机构；</w:t>
      </w:r>
    </w:p>
    <w:p>
      <w:pPr>
        <w:autoSpaceDE w:val="0"/>
        <w:autoSpaceDN w:val="0"/>
        <w:spacing w:line="360" w:lineRule="auto"/>
        <w:rPr>
          <w:rFonts w:hint="eastAsia" w:ascii="仿宋_GB2312" w:hAnsi="仿宋" w:eastAsia="仿宋_GB2312" w:cs="仿宋_GB2312"/>
          <w:kern w:val="0"/>
          <w:sz w:val="24"/>
        </w:rPr>
      </w:pPr>
    </w:p>
    <w:p>
      <w:pPr>
        <w:autoSpaceDE w:val="0"/>
        <w:autoSpaceDN w:val="0"/>
        <w:spacing w:line="360" w:lineRule="auto"/>
        <w:rPr>
          <w:rFonts w:hint="eastAsia"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21"/>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top"/>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top"/>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top"/>
          </w:tcPr>
          <w:p>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top"/>
          </w:tcPr>
          <w:p>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r>
    </w:tbl>
    <w:p>
      <w:pPr>
        <w:pStyle w:val="14"/>
        <w:spacing w:line="440" w:lineRule="exact"/>
        <w:ind w:firstLine="396" w:firstLineChars="198"/>
        <w:rPr>
          <w:rFonts w:hAnsi="宋体"/>
        </w:rPr>
      </w:pPr>
    </w:p>
    <w:p>
      <w:pPr>
        <w:spacing w:line="500" w:lineRule="exact"/>
        <w:rPr>
          <w:rFonts w:hint="eastAsia" w:ascii="仿宋_GB2312" w:hAnsi="仿宋_GB2312" w:eastAsia="仿宋_GB2312" w:cs="仿宋_GB2312"/>
          <w:sz w:val="32"/>
          <w:szCs w:val="32"/>
        </w:rPr>
      </w:pP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snapToGrid w:val="0"/>
        <w:spacing w:line="360" w:lineRule="auto"/>
        <w:ind w:firstLine="602" w:firstLineChars="200"/>
        <w:rPr>
          <w:rFonts w:hint="eastAsia" w:ascii="仿宋" w:hAnsi="仿宋" w:eastAsia="仿宋" w:cs="仿宋_GB2312"/>
          <w:b/>
          <w:sz w:val="30"/>
          <w:szCs w:val="30"/>
        </w:rPr>
      </w:pPr>
    </w:p>
    <w:p>
      <w:pPr>
        <w:snapToGrid w:val="0"/>
        <w:spacing w:line="360" w:lineRule="auto"/>
        <w:ind w:firstLine="602" w:firstLineChars="200"/>
        <w:rPr>
          <w:rFonts w:hint="eastAsia" w:ascii="仿宋" w:hAnsi="仿宋" w:eastAsia="仿宋" w:cs="仿宋_GB2312"/>
          <w:b/>
          <w:sz w:val="30"/>
          <w:szCs w:val="30"/>
        </w:rPr>
      </w:pPr>
    </w:p>
    <w:p>
      <w:pPr>
        <w:snapToGrid w:val="0"/>
        <w:spacing w:line="360" w:lineRule="auto"/>
        <w:ind w:firstLine="602" w:firstLineChars="200"/>
        <w:rPr>
          <w:rFonts w:hint="eastAsia" w:ascii="仿宋" w:hAnsi="仿宋" w:eastAsia="仿宋" w:cs="仿宋_GB2312"/>
          <w:b/>
          <w:sz w:val="30"/>
          <w:szCs w:val="30"/>
        </w:rPr>
      </w:pPr>
    </w:p>
    <w:p>
      <w:pPr>
        <w:snapToGrid w:val="0"/>
        <w:spacing w:line="360" w:lineRule="auto"/>
        <w:rPr>
          <w:rFonts w:hint="eastAsia" w:ascii="仿宋" w:hAnsi="仿宋" w:eastAsia="仿宋" w:cs="仿宋_GB2312"/>
          <w:b/>
          <w:sz w:val="30"/>
          <w:szCs w:val="30"/>
        </w:rPr>
      </w:pPr>
      <w:r>
        <w:rPr>
          <w:rFonts w:hint="eastAsia" w:ascii="仿宋" w:hAnsi="仿宋" w:eastAsia="仿宋" w:cs="仿宋_GB2312"/>
          <w:b/>
          <w:sz w:val="30"/>
          <w:szCs w:val="30"/>
        </w:rPr>
        <w:t>十、项目实施人员一览表（如有要求）</w:t>
      </w:r>
    </w:p>
    <w:p>
      <w:pPr>
        <w:spacing w:line="360" w:lineRule="auto"/>
        <w:jc w:val="center"/>
        <w:rPr>
          <w:rFonts w:hint="eastAsia" w:ascii="仿宋_GB2312" w:hAnsi="仿宋" w:eastAsia="仿宋_GB2312" w:cs="仿宋_GB2312"/>
          <w:b/>
          <w:bCs/>
          <w:sz w:val="24"/>
        </w:rPr>
      </w:pPr>
      <w:r>
        <w:rPr>
          <w:rFonts w:hint="eastAsia" w:ascii="仿宋_GB2312" w:hAnsi="仿宋" w:eastAsia="仿宋_GB2312" w:cs="仿宋_GB2312"/>
          <w:sz w:val="24"/>
        </w:rPr>
        <w:t>（由供应商根据采购需求及采购文件要求编制）</w:t>
      </w:r>
    </w:p>
    <w:p>
      <w:pPr>
        <w:pStyle w:val="14"/>
        <w:rPr>
          <w:rFonts w:hint="eastAsia"/>
          <w:color w:val="000000"/>
          <w:sz w:val="24"/>
          <w:szCs w:val="24"/>
        </w:rPr>
      </w:pPr>
      <w:r>
        <w:rPr>
          <w:rFonts w:hint="eastAsia"/>
          <w:color w:val="000000"/>
          <w:sz w:val="24"/>
          <w:szCs w:val="24"/>
        </w:rPr>
        <w:t>响应分标：</w:t>
      </w:r>
      <w:r>
        <w:rPr>
          <w:rFonts w:hint="eastAsia"/>
          <w:color w:val="000000"/>
          <w:sz w:val="24"/>
          <w:szCs w:val="24"/>
          <w:u w:val="single"/>
        </w:rPr>
        <w:t xml:space="preserve">     </w:t>
      </w:r>
      <w:r>
        <w:rPr>
          <w:rFonts w:hint="eastAsia"/>
          <w:color w:val="000000"/>
          <w:sz w:val="24"/>
          <w:szCs w:val="24"/>
        </w:rPr>
        <w:t>分标</w:t>
      </w:r>
    </w:p>
    <w:p>
      <w:pPr>
        <w:keepNext/>
        <w:autoSpaceDE w:val="0"/>
        <w:autoSpaceDN w:val="0"/>
        <w:spacing w:line="360" w:lineRule="auto"/>
        <w:ind w:firstLine="477"/>
        <w:rPr>
          <w:rFonts w:hint="eastAsia" w:ascii="仿宋_GB2312" w:hAnsi="仿宋" w:eastAsia="仿宋_GB2312" w:cs="仿宋_GB2312"/>
          <w:b/>
          <w:sz w:val="24"/>
        </w:rPr>
      </w:pPr>
      <w:r>
        <w:rPr>
          <w:rFonts w:hint="eastAsia" w:ascii="仿宋_GB2312" w:hAnsi="仿宋" w:eastAsia="仿宋_GB2312" w:cs="仿宋_GB2312"/>
          <w:b/>
          <w:sz w:val="24"/>
        </w:rPr>
        <w:t>附表A:本项目的项目经理情况表</w:t>
      </w:r>
    </w:p>
    <w:tbl>
      <w:tblPr>
        <w:tblStyle w:val="21"/>
        <w:tblW w:w="8755" w:type="dxa"/>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hint="eastAsia" w:ascii="仿宋_GB2312" w:hAnsi="仿宋" w:eastAsia="仿宋_GB2312" w:cs="仿宋_GB2312"/>
                <w:sz w:val="24"/>
              </w:rPr>
            </w:pPr>
            <w:r>
              <w:rPr>
                <w:rFonts w:hint="eastAsia" w:ascii="仿宋_GB2312" w:hAnsi="仿宋" w:eastAsia="仿宋_GB2312" w:cs="仿宋_GB2312"/>
                <w:sz w:val="24"/>
              </w:rPr>
              <w:t>响应截止时间前三年业绩及承担的主要工作情况，曾担任项目经理的项目应列明细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p>
        </w:tc>
      </w:tr>
    </w:tbl>
    <w:p>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注：须随表提交相应的证书复印件并注明所在响应技术文件页码。</w:t>
      </w:r>
    </w:p>
    <w:p>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2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专业</w:t>
            </w:r>
          </w:p>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sz w:val="24"/>
              </w:rPr>
            </w:pPr>
          </w:p>
        </w:tc>
      </w:tr>
    </w:tbl>
    <w:p>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注：供应商可按上述的格式自行编制，须随表提交相应的证书复印件并注明所在响应技术文件页码。</w:t>
      </w:r>
    </w:p>
    <w:p>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附表C:本项目的项目经理和小组人员近3个月交纳社保记录情况表</w:t>
      </w:r>
      <w:r>
        <w:rPr>
          <w:rFonts w:hint="eastAsia" w:ascii="仿宋_GB2312" w:hAnsi="仿宋" w:eastAsia="仿宋_GB2312" w:cs="仿宋_GB2312"/>
          <w:sz w:val="24"/>
        </w:rPr>
        <w:t>（以社保局缴纳凭证作附件）</w:t>
      </w:r>
    </w:p>
    <w:p>
      <w:pPr>
        <w:snapToGrid w:val="0"/>
        <w:spacing w:line="360" w:lineRule="auto"/>
        <w:ind w:firstLine="602" w:firstLineChars="200"/>
        <w:rPr>
          <w:rFonts w:ascii="仿宋" w:hAnsi="仿宋" w:eastAsia="仿宋" w:cs="仿宋_GB2312"/>
          <w:b/>
          <w:sz w:val="30"/>
          <w:szCs w:val="30"/>
        </w:rPr>
      </w:pPr>
    </w:p>
    <w:p>
      <w:pPr>
        <w:autoSpaceDE w:val="0"/>
        <w:autoSpaceDN w:val="0"/>
        <w:spacing w:line="360" w:lineRule="auto"/>
        <w:ind w:firstLine="6505" w:firstLineChars="2700"/>
        <w:rPr>
          <w:rFonts w:ascii="仿宋_GB2312" w:hAnsi="仿宋" w:eastAsia="仿宋_GB2312" w:cs="仿宋_GB2312"/>
          <w:b/>
          <w:bCs/>
          <w:sz w:val="24"/>
        </w:rPr>
      </w:pP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spacing w:line="500" w:lineRule="exact"/>
        <w:rPr>
          <w:rFonts w:hint="eastAsia" w:ascii="仿宋_GB2312" w:hAnsi="仿宋_GB2312" w:eastAsia="仿宋_GB2312" w:cs="仿宋_GB2312"/>
          <w:sz w:val="32"/>
          <w:szCs w:val="32"/>
        </w:rPr>
      </w:pP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十一、货物需求、商务条款要求提供的其他材料</w:t>
      </w:r>
    </w:p>
    <w:p>
      <w:pPr>
        <w:autoSpaceDE w:val="0"/>
        <w:autoSpaceDN w:val="0"/>
        <w:spacing w:line="360" w:lineRule="auto"/>
        <w:ind w:left="4335" w:leftChars="1950" w:hanging="240" w:hangingChars="100"/>
        <w:rPr>
          <w:rFonts w:hint="eastAsia" w:ascii="仿宋_GB2312" w:hAnsi="仿宋" w:eastAsia="仿宋_GB2312" w:cs="仿宋_GB2312"/>
          <w:kern w:val="0"/>
          <w:sz w:val="24"/>
        </w:rPr>
      </w:pP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snapToGrid w:val="0"/>
        <w:spacing w:line="360" w:lineRule="auto"/>
        <w:ind w:firstLine="602" w:firstLineChars="200"/>
        <w:rPr>
          <w:rFonts w:hint="eastAsia" w:ascii="仿宋" w:hAnsi="仿宋" w:eastAsia="仿宋" w:cs="仿宋_GB2312"/>
          <w:b/>
          <w:sz w:val="30"/>
          <w:szCs w:val="30"/>
        </w:rPr>
      </w:pPr>
    </w:p>
    <w:p>
      <w:pPr>
        <w:spacing w:line="500" w:lineRule="exact"/>
        <w:rPr>
          <w:rFonts w:ascii="仿宋_GB2312" w:hAnsi="仿宋_GB2312" w:eastAsia="仿宋_GB2312" w:cs="仿宋_GB2312"/>
          <w:sz w:val="32"/>
          <w:szCs w:val="32"/>
        </w:rPr>
        <w:sectPr>
          <w:pgSz w:w="11910" w:h="16840"/>
          <w:pgMar w:top="1340" w:right="1500" w:bottom="280" w:left="1680" w:header="720" w:footer="720" w:gutter="0"/>
          <w:cols w:space="720" w:num="1"/>
        </w:sectPr>
      </w:pPr>
    </w:p>
    <w:p>
      <w:pPr>
        <w:adjustRightInd w:val="0"/>
        <w:snapToGrid w:val="0"/>
        <w:spacing w:line="300" w:lineRule="auto"/>
        <w:rPr>
          <w:rFonts w:hint="eastAsia" w:ascii="宋体" w:hAnsi="宋体"/>
          <w:color w:val="000000"/>
          <w:szCs w:val="21"/>
          <w:u w:val="single"/>
        </w:rPr>
      </w:pPr>
    </w:p>
    <w:p>
      <w:pPr>
        <w:pStyle w:val="4"/>
        <w:jc w:val="center"/>
        <w:rPr>
          <w:rFonts w:hint="eastAsia" w:ascii="宋体" w:hAnsi="宋体"/>
        </w:rPr>
      </w:pPr>
      <w:bookmarkStart w:id="96" w:name="_Toc80205941"/>
      <w:r>
        <w:rPr>
          <w:rFonts w:hint="eastAsia" w:ascii="宋体" w:hAnsi="宋体"/>
        </w:rPr>
        <w:t>第三节 报价文件格式</w:t>
      </w:r>
      <w:bookmarkEnd w:id="96"/>
    </w:p>
    <w:p>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报 </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价  文  件（封面）</w:t>
      </w: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pPr>
        <w:snapToGrid w:val="0"/>
        <w:spacing w:before="120" w:beforeLines="50" w:after="50"/>
        <w:ind w:firstLine="720" w:firstLineChars="225"/>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120" w:beforeLines="50" w:after="50"/>
        <w:ind w:firstLine="720" w:firstLineChars="225"/>
        <w:rPr>
          <w:rFonts w:hint="eastAsia" w:ascii="宋体" w:hAnsi="宋体" w:cs="仿宋_GB2312"/>
          <w:bCs/>
          <w:sz w:val="32"/>
          <w:szCs w:val="32"/>
        </w:rPr>
      </w:pPr>
    </w:p>
    <w:p>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1280" w:firstLineChars="400"/>
        <w:rPr>
          <w:rFonts w:hint="eastAsia" w:ascii="宋体" w:hAnsi="宋体" w:cs="仿宋_GB2312"/>
          <w:bCs/>
          <w:sz w:val="32"/>
          <w:szCs w:val="32"/>
        </w:rPr>
      </w:pPr>
    </w:p>
    <w:p>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pPr>
        <w:snapToGrid w:val="0"/>
        <w:spacing w:before="120" w:beforeLines="50" w:after="50" w:line="400" w:lineRule="exact"/>
        <w:jc w:val="center"/>
        <w:rPr>
          <w:rFonts w:hint="eastAsia" w:ascii="宋体" w:hAnsi="宋体"/>
          <w:b/>
          <w:bCs/>
          <w:color w:val="000000"/>
          <w:sz w:val="32"/>
          <w:szCs w:val="32"/>
        </w:rPr>
      </w:pPr>
      <w:r>
        <w:rPr>
          <w:rFonts w:ascii="宋体" w:hAnsi="宋体"/>
          <w:sz w:val="24"/>
        </w:rPr>
        <w:br w:type="page"/>
      </w:r>
      <w:r>
        <w:rPr>
          <w:rFonts w:hint="eastAsia" w:ascii="宋体" w:hAnsi="宋体"/>
          <w:b/>
          <w:bCs/>
          <w:color w:val="000000"/>
          <w:sz w:val="32"/>
          <w:szCs w:val="32"/>
        </w:rPr>
        <w:t>报价文件目录</w:t>
      </w:r>
    </w:p>
    <w:p>
      <w:pPr>
        <w:rPr>
          <w:rFonts w:hint="eastAsia" w:ascii="宋体" w:hAnsi="宋体" w:cs="宋体"/>
        </w:rPr>
      </w:pPr>
    </w:p>
    <w:p>
      <w:pPr>
        <w:rPr>
          <w:rFonts w:hint="eastAsia" w:ascii="仿宋_GB2312" w:hAnsi="仿宋" w:eastAsia="仿宋_GB2312" w:cs="仿宋_GB2312"/>
          <w:kern w:val="0"/>
          <w:sz w:val="24"/>
        </w:rPr>
      </w:pPr>
      <w:r>
        <w:rPr>
          <w:rFonts w:hint="eastAsia" w:ascii="仿宋_GB2312" w:hAnsi="仿宋" w:eastAsia="仿宋_GB2312" w:cs="仿宋_GB2312"/>
          <w:kern w:val="0"/>
          <w:sz w:val="24"/>
        </w:rPr>
        <w:t>一、响应函………………………………………………………（页码）</w:t>
      </w:r>
    </w:p>
    <w:p>
      <w:pPr>
        <w:rPr>
          <w:rFonts w:hint="eastAsia" w:ascii="仿宋_GB2312" w:hAnsi="仿宋" w:eastAsia="仿宋_GB2312" w:cs="仿宋_GB2312"/>
          <w:kern w:val="0"/>
          <w:sz w:val="24"/>
        </w:rPr>
      </w:pPr>
      <w:r>
        <w:rPr>
          <w:rFonts w:hint="eastAsia" w:ascii="仿宋_GB2312" w:hAnsi="仿宋" w:eastAsia="仿宋_GB2312" w:cs="仿宋_GB2312"/>
          <w:kern w:val="0"/>
          <w:sz w:val="24"/>
        </w:rPr>
        <w:t>二、响应报价表…………………………………………………（页码）</w:t>
      </w:r>
    </w:p>
    <w:p>
      <w:pPr>
        <w:spacing w:line="360" w:lineRule="auto"/>
        <w:rPr>
          <w:rFonts w:hint="eastAsia" w:ascii="仿宋_GB2312" w:hAnsi="仿宋" w:eastAsia="仿宋_GB2312" w:cs="仿宋_GB2312"/>
          <w:sz w:val="24"/>
        </w:rPr>
      </w:pPr>
      <w:r>
        <w:rPr>
          <w:rFonts w:hint="eastAsia" w:ascii="仿宋_GB2312" w:hAnsi="仿宋" w:eastAsia="仿宋_GB2312" w:cs="仿宋_GB2312"/>
          <w:kern w:val="0"/>
          <w:sz w:val="24"/>
        </w:rPr>
        <w:t>三、中小企业声明函……………………………………………（页码）</w:t>
      </w:r>
    </w:p>
    <w:p>
      <w:pPr>
        <w:snapToGrid w:val="0"/>
        <w:spacing w:before="120" w:beforeLines="50" w:after="50" w:line="360" w:lineRule="auto"/>
        <w:ind w:left="142" w:firstLine="640" w:firstLineChars="200"/>
        <w:jc w:val="left"/>
        <w:rPr>
          <w:rFonts w:hint="eastAsia" w:ascii="仿宋_GB2312" w:hAnsi="仿宋_GB2312" w:eastAsia="仿宋_GB2312" w:cs="仿宋_GB2312"/>
          <w:sz w:val="32"/>
          <w:szCs w:val="32"/>
        </w:rPr>
      </w:pPr>
    </w:p>
    <w:p>
      <w:pPr>
        <w:pStyle w:val="14"/>
        <w:spacing w:line="500" w:lineRule="exact"/>
        <w:ind w:firstLine="480" w:firstLineChars="200"/>
        <w:rPr>
          <w:rFonts w:hAnsi="宋体" w:cs="仿宋_GB2312"/>
          <w:sz w:val="24"/>
        </w:rPr>
      </w:pPr>
      <w:r>
        <w:rPr>
          <w:rFonts w:hAnsi="宋体" w:cs="仿宋_GB2312"/>
          <w:sz w:val="24"/>
        </w:rPr>
        <w:br w:type="page"/>
      </w:r>
      <w:r>
        <w:rPr>
          <w:rFonts w:hint="eastAsia" w:ascii="仿宋" w:hAnsi="仿宋" w:eastAsia="仿宋" w:cs="仿宋_GB2312"/>
          <w:b/>
          <w:kern w:val="2"/>
          <w:sz w:val="30"/>
          <w:szCs w:val="30"/>
        </w:rPr>
        <w:t>一、响应函</w:t>
      </w:r>
    </w:p>
    <w:p>
      <w:pPr>
        <w:pStyle w:val="14"/>
        <w:spacing w:line="500" w:lineRule="exact"/>
        <w:jc w:val="center"/>
        <w:rPr>
          <w:rFonts w:ascii="Times New Roman" w:hAnsi="Times New Roman"/>
          <w:b/>
          <w:bCs/>
          <w:sz w:val="30"/>
          <w:szCs w:val="30"/>
        </w:rPr>
      </w:pPr>
      <w:r>
        <w:rPr>
          <w:rFonts w:hint="eastAsia" w:ascii="Times New Roman" w:hAnsi="Times New Roman"/>
          <w:b/>
          <w:bCs/>
          <w:sz w:val="30"/>
          <w:szCs w:val="30"/>
        </w:rPr>
        <w:t>响应函</w:t>
      </w:r>
    </w:p>
    <w:p>
      <w:pPr>
        <w:pStyle w:val="14"/>
        <w:spacing w:line="500" w:lineRule="exact"/>
        <w:rPr>
          <w:rFonts w:ascii="Times New Roman" w:hAnsi="Times New Roman"/>
          <w:sz w:val="32"/>
        </w:rPr>
      </w:pPr>
    </w:p>
    <w:p>
      <w:pPr>
        <w:spacing w:line="360" w:lineRule="auto"/>
        <w:contextualSpacing/>
        <w:rPr>
          <w:rFonts w:hint="eastAsia"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（采购人名称）</w:t>
      </w:r>
      <w:r>
        <w:rPr>
          <w:rFonts w:hint="eastAsia" w:ascii="宋体" w:hAnsi="宋体" w:cs="宋体"/>
          <w:color w:val="000000"/>
          <w:szCs w:val="21"/>
        </w:rPr>
        <w:t>：</w:t>
      </w:r>
    </w:p>
    <w:p>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我方</w:t>
      </w:r>
      <w:r>
        <w:rPr>
          <w:rFonts w:hint="eastAsia" w:ascii="宋体" w:hAnsi="宋体" w:cs="宋体"/>
          <w:color w:val="000000"/>
          <w:szCs w:val="21"/>
          <w:u w:val="single"/>
        </w:rPr>
        <w:t>（供应商名称）</w:t>
      </w:r>
      <w:r>
        <w:rPr>
          <w:rFonts w:hint="eastAsia" w:ascii="宋体" w:hAnsi="宋体" w:cs="宋体"/>
          <w:color w:val="000000"/>
          <w:szCs w:val="21"/>
        </w:rPr>
        <w:t>系中华人民共和国合法供应商，经营地址</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我方愿意参加贵方组织的</w:t>
      </w:r>
      <w:r>
        <w:rPr>
          <w:rFonts w:hint="eastAsia" w:ascii="宋体" w:hAnsi="宋体" w:cs="宋体"/>
          <w:color w:val="000000"/>
          <w:szCs w:val="21"/>
          <w:u w:val="single"/>
        </w:rPr>
        <w:t>（项目名称）</w:t>
      </w:r>
      <w:r>
        <w:rPr>
          <w:rFonts w:hint="eastAsia" w:ascii="宋体" w:hAnsi="宋体" w:cs="宋体"/>
          <w:color w:val="000000"/>
          <w:szCs w:val="21"/>
        </w:rPr>
        <w:t>项目的竞标，为便于贵方公正、择优地确定成交供应商及其竞标产品和货物，我方就本次竞标有关事项郑重声明如下：</w:t>
      </w:r>
    </w:p>
    <w:p>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1.我方向贵方提交的所有响应文件、资料都是准确的和真实的。</w:t>
      </w:r>
    </w:p>
    <w:p>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3.在此，我方宣布同意如下：</w:t>
      </w:r>
    </w:p>
    <w:p>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(1)将按谈判文件的约定履行合同责任和义务；</w:t>
      </w:r>
    </w:p>
    <w:p>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(2)已详细审查全部谈判文件，包括补遗文件（如有）；</w:t>
      </w:r>
    </w:p>
    <w:p>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(3)同意提供按照贵方可能要求的与谈判有关的一切数据或者资料；</w:t>
      </w:r>
    </w:p>
    <w:p>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(4)响应谈判文件规定的竞标有效期。</w:t>
      </w:r>
    </w:p>
    <w:p>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4.我方承诺符合《中华人民共和国政府采购法》第二十二条规定：</w:t>
      </w:r>
    </w:p>
    <w:p>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（1）具有独立承担民事责任的能力；</w:t>
      </w:r>
    </w:p>
    <w:p>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（2）具有良好的商业信誉和健全的财务会计制度；</w:t>
      </w:r>
    </w:p>
    <w:p>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（3）具有履行合同所必需的设备和专业技术能力；</w:t>
      </w:r>
    </w:p>
    <w:p>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（4）有依法缴纳税收和社会保障资金的良好记录；</w:t>
      </w:r>
    </w:p>
    <w:p>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（5）参加政府采购活动前三年内，在经营活动中没有重大违法记录；</w:t>
      </w:r>
    </w:p>
    <w:p>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（6）法律、行政法规规定的其他条件。</w:t>
      </w:r>
    </w:p>
    <w:p>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□我方本次响应文件</w:t>
      </w:r>
      <w:r>
        <w:rPr>
          <w:rFonts w:hint="eastAsia" w:ascii="宋体" w:hAnsi="宋体" w:cs="宋体"/>
          <w:color w:val="000000"/>
          <w:kern w:val="0"/>
          <w:szCs w:val="21"/>
        </w:rPr>
        <w:t>内容中</w:t>
      </w:r>
      <w:r>
        <w:rPr>
          <w:rFonts w:hint="eastAsia" w:ascii="宋体" w:hAnsi="宋体" w:cs="宋体"/>
          <w:color w:val="000000"/>
          <w:szCs w:val="21"/>
        </w:rPr>
        <w:t>未</w:t>
      </w:r>
      <w:r>
        <w:rPr>
          <w:rFonts w:hint="eastAsia" w:ascii="宋体" w:hAnsi="宋体" w:cs="宋体"/>
          <w:color w:val="000000"/>
          <w:kern w:val="0"/>
          <w:szCs w:val="21"/>
        </w:rPr>
        <w:t>涉及商业秘密；</w:t>
      </w:r>
    </w:p>
    <w:p>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□我方本次响应文件</w:t>
      </w:r>
      <w:r>
        <w:rPr>
          <w:rFonts w:hint="eastAsia" w:ascii="宋体" w:hAnsi="宋体" w:cs="宋体"/>
          <w:color w:val="000000"/>
          <w:kern w:val="0"/>
          <w:szCs w:val="21"/>
        </w:rPr>
        <w:t>涉及商业秘密的内容有：</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pPr>
        <w:pStyle w:val="14"/>
        <w:spacing w:line="360" w:lineRule="auto"/>
        <w:ind w:firstLine="400" w:firstLineChars="200"/>
        <w:contextualSpacing/>
        <w:rPr>
          <w:rFonts w:hint="eastAsia" w:hAnsi="宋体" w:cs="宋体"/>
          <w:color w:val="000000"/>
        </w:rPr>
      </w:pPr>
      <w:r>
        <w:rPr>
          <w:rFonts w:hint="eastAsia" w:hAnsi="宋体" w:cs="宋体"/>
          <w:color w:val="000000"/>
        </w:rPr>
        <w:t>7.以上事项如有虚假或者隐瞒，我方愿意承担一切后果，并不再寻求任何旨在减轻或者免除法律责任的辩解。</w:t>
      </w:r>
    </w:p>
    <w:p>
      <w:pPr>
        <w:pStyle w:val="14"/>
        <w:spacing w:line="360" w:lineRule="auto"/>
        <w:ind w:firstLine="420"/>
        <w:rPr>
          <w:rFonts w:hint="eastAsia"/>
          <w:color w:val="000000"/>
        </w:rPr>
      </w:pPr>
      <w:r>
        <w:rPr>
          <w:rFonts w:hint="eastAsia" w:hAnsi="宋体" w:cs="宋体"/>
          <w:color w:val="000000"/>
          <w:sz w:val="21"/>
        </w:rPr>
        <w:t>8.与本谈判有关的一切正式往来信函请寄</w:t>
      </w:r>
      <w:r>
        <w:rPr>
          <w:rFonts w:hint="eastAsia"/>
          <w:color w:val="000000"/>
        </w:rPr>
        <w:t>：</w:t>
      </w:r>
      <w:r>
        <w:rPr>
          <w:rFonts w:hint="eastAsia"/>
          <w:u w:val="single"/>
        </w:rPr>
        <w:t xml:space="preserve"> </w:t>
      </w:r>
    </w:p>
    <w:p>
      <w:pPr>
        <w:pStyle w:val="14"/>
        <w:spacing w:line="360" w:lineRule="auto"/>
        <w:ind w:firstLine="420"/>
        <w:rPr>
          <w:rFonts w:hint="eastAsia"/>
        </w:rPr>
      </w:pPr>
      <w:r>
        <w:rPr>
          <w:rFonts w:hint="eastAsia"/>
        </w:rPr>
        <w:t>地址：</w:t>
      </w:r>
      <w:r>
        <w:rPr>
          <w:rFonts w:hint="eastAsia"/>
          <w:u w:val="single"/>
        </w:rPr>
        <w:t xml:space="preserve">                                                        </w:t>
      </w:r>
      <w:r>
        <w:rPr>
          <w:rFonts w:hint="eastAsia"/>
        </w:rPr>
        <w:t xml:space="preserve"> </w:t>
      </w:r>
    </w:p>
    <w:p>
      <w:pPr>
        <w:pStyle w:val="14"/>
        <w:spacing w:line="360" w:lineRule="auto"/>
        <w:ind w:firstLine="420"/>
        <w:rPr>
          <w:rFonts w:hint="eastAsia"/>
          <w:u w:val="single"/>
        </w:rPr>
      </w:pPr>
      <w:r>
        <w:rPr>
          <w:rFonts w:hint="eastAsia"/>
        </w:rPr>
        <w:t>电话：</w:t>
      </w:r>
      <w:r>
        <w:rPr>
          <w:rFonts w:hint="eastAsia"/>
          <w:u w:val="single"/>
        </w:rPr>
        <w:t xml:space="preserve">                                      　　　　　　　　　</w:t>
      </w:r>
    </w:p>
    <w:p>
      <w:pPr>
        <w:pStyle w:val="14"/>
        <w:spacing w:line="360" w:lineRule="auto"/>
        <w:ind w:firstLine="420"/>
        <w:rPr>
          <w:rFonts w:hint="eastAsia"/>
        </w:rPr>
      </w:pPr>
      <w:r>
        <w:rPr>
          <w:rFonts w:hint="eastAsia"/>
        </w:rPr>
        <w:t>传真：</w:t>
      </w:r>
      <w:r>
        <w:rPr>
          <w:rFonts w:hint="eastAsia"/>
          <w:u w:val="single"/>
        </w:rPr>
        <w:t>　　　　　　　　　　　　　　　　　　　　　　　　　　　　</w:t>
      </w:r>
    </w:p>
    <w:p>
      <w:pPr>
        <w:pStyle w:val="14"/>
        <w:spacing w:line="360" w:lineRule="auto"/>
        <w:ind w:firstLine="420"/>
        <w:rPr>
          <w:rFonts w:hint="eastAsia"/>
          <w:u w:val="single"/>
        </w:rPr>
      </w:pPr>
      <w:r>
        <w:rPr>
          <w:rFonts w:hint="eastAsia"/>
        </w:rPr>
        <w:t>邮政编码：</w:t>
      </w:r>
      <w:r>
        <w:rPr>
          <w:rFonts w:hint="eastAsia"/>
          <w:u w:val="single"/>
        </w:rPr>
        <w:t xml:space="preserve">                                                    </w:t>
      </w:r>
    </w:p>
    <w:p>
      <w:pPr>
        <w:pStyle w:val="14"/>
        <w:spacing w:line="360" w:lineRule="auto"/>
        <w:ind w:firstLine="420"/>
        <w:rPr>
          <w:rFonts w:hint="eastAsia"/>
          <w:u w:val="single"/>
        </w:rPr>
      </w:pPr>
      <w:r>
        <w:rPr>
          <w:rFonts w:hint="eastAsia"/>
        </w:rPr>
        <w:t>开户名称：</w:t>
      </w:r>
      <w:r>
        <w:rPr>
          <w:rFonts w:hint="eastAsia"/>
          <w:u w:val="single"/>
        </w:rPr>
        <w:t xml:space="preserve">                                                    </w:t>
      </w:r>
    </w:p>
    <w:p>
      <w:pPr>
        <w:pStyle w:val="14"/>
        <w:spacing w:line="360" w:lineRule="auto"/>
        <w:ind w:firstLine="420"/>
        <w:rPr>
          <w:rFonts w:hint="eastAsia"/>
          <w:u w:val="single"/>
        </w:rPr>
      </w:pPr>
      <w:r>
        <w:rPr>
          <w:rFonts w:hint="eastAsia"/>
        </w:rPr>
        <w:t>开户银行：</w:t>
      </w:r>
      <w:r>
        <w:rPr>
          <w:rFonts w:hint="eastAsia"/>
          <w:u w:val="single"/>
        </w:rPr>
        <w:t xml:space="preserve">                                                    </w:t>
      </w:r>
    </w:p>
    <w:p>
      <w:pPr>
        <w:pStyle w:val="14"/>
        <w:spacing w:line="360" w:lineRule="auto"/>
        <w:ind w:firstLine="420"/>
        <w:rPr>
          <w:rFonts w:hint="eastAsia"/>
          <w:u w:val="single"/>
        </w:rPr>
      </w:pPr>
      <w:r>
        <w:rPr>
          <w:rFonts w:hint="eastAsia"/>
        </w:rPr>
        <w:t>银行账号：</w:t>
      </w:r>
      <w:r>
        <w:rPr>
          <w:rFonts w:hint="eastAsia"/>
          <w:u w:val="single"/>
        </w:rPr>
        <w:t xml:space="preserve">                                                    </w:t>
      </w:r>
    </w:p>
    <w:p>
      <w:pPr>
        <w:pStyle w:val="12"/>
        <w:tabs>
          <w:tab w:val="left" w:pos="939"/>
        </w:tabs>
        <w:spacing w:line="360" w:lineRule="auto"/>
        <w:ind w:left="141" w:leftChars="67" w:firstLine="315" w:firstLineChars="150"/>
        <w:rPr>
          <w:rFonts w:hint="eastAsia" w:ascii="宋体" w:hAnsi="宋体" w:cs="宋体"/>
          <w:color w:val="000000"/>
          <w:szCs w:val="21"/>
        </w:rPr>
      </w:pPr>
      <w:r>
        <w:rPr>
          <w:rFonts w:hint="eastAsia" w:ascii="宋体" w:hAnsi="宋体" w:cs="宋体"/>
          <w:color w:val="000000"/>
          <w:szCs w:val="21"/>
        </w:rPr>
        <w:t>特此承诺。</w:t>
      </w:r>
    </w:p>
    <w:p>
      <w:pPr>
        <w:spacing w:line="360" w:lineRule="auto"/>
        <w:contextualSpacing/>
        <w:jc w:val="left"/>
        <w:rPr>
          <w:rFonts w:hint="eastAsia" w:ascii="宋体" w:hAnsi="宋体" w:cs="宋体"/>
          <w:color w:val="000000"/>
          <w:szCs w:val="21"/>
        </w:rPr>
      </w:pP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pStyle w:val="14"/>
        <w:spacing w:line="360" w:lineRule="auto"/>
        <w:ind w:firstLine="420"/>
      </w:pPr>
    </w:p>
    <w:p>
      <w:pPr>
        <w:spacing w:line="520" w:lineRule="exact"/>
        <w:ind w:firstLine="420" w:firstLineChars="200"/>
        <w:sectPr>
          <w:pgSz w:w="11910" w:h="16840"/>
          <w:pgMar w:top="1340" w:right="1500" w:bottom="280" w:left="1680" w:header="720" w:footer="720" w:gutter="0"/>
          <w:cols w:space="720" w:num="1"/>
        </w:sectPr>
      </w:pPr>
    </w:p>
    <w:p>
      <w:pPr>
        <w:pStyle w:val="14"/>
        <w:spacing w:line="500" w:lineRule="exact"/>
        <w:ind w:firstLine="602" w:firstLineChars="200"/>
        <w:rPr>
          <w:rFonts w:hint="eastAsia" w:ascii="仿宋" w:hAnsi="仿宋" w:eastAsia="仿宋" w:cs="仿宋_GB2312"/>
          <w:b/>
          <w:kern w:val="2"/>
          <w:sz w:val="30"/>
          <w:szCs w:val="30"/>
        </w:rPr>
      </w:pPr>
      <w:r>
        <w:rPr>
          <w:rFonts w:hint="eastAsia" w:ascii="仿宋" w:hAnsi="仿宋" w:eastAsia="仿宋" w:cs="仿宋_GB2312"/>
          <w:b/>
          <w:kern w:val="2"/>
          <w:sz w:val="30"/>
          <w:szCs w:val="30"/>
        </w:rPr>
        <w:t xml:space="preserve">二、响应报价表 </w:t>
      </w:r>
    </w:p>
    <w:p>
      <w:pPr>
        <w:snapToGrid w:val="0"/>
        <w:spacing w:before="50" w:after="50"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分标：</w:t>
      </w:r>
      <w:r>
        <w:rPr>
          <w:rFonts w:hint="eastAsia" w:ascii="宋体" w:hAnsi="宋体"/>
          <w:sz w:val="24"/>
          <w:u w:val="single"/>
        </w:rPr>
        <w:t xml:space="preserve">           </w:t>
      </w:r>
    </w:p>
    <w:p>
      <w:pPr>
        <w:snapToGrid w:val="0"/>
        <w:spacing w:before="50" w:after="50" w:line="360" w:lineRule="auto"/>
        <w:rPr>
          <w:rFonts w:hint="eastAsia" w:ascii="宋体" w:hAnsi="宋体"/>
          <w:sz w:val="24"/>
          <w:u w:val="single"/>
        </w:rPr>
      </w:pPr>
      <w:r>
        <w:rPr>
          <w:rFonts w:hint="eastAsia" w:hAnsi="宋体"/>
          <w:sz w:val="24"/>
        </w:rPr>
        <w:t>供应商名称：</w:t>
      </w:r>
      <w:r>
        <w:rPr>
          <w:rFonts w:hint="eastAsia" w:hAnsi="宋体"/>
          <w:sz w:val="24"/>
          <w:u w:val="single"/>
        </w:rPr>
        <w:t xml:space="preserve">                     </w:t>
      </w:r>
      <w:r>
        <w:rPr>
          <w:rFonts w:hint="eastAsia" w:hAnsi="宋体"/>
          <w:sz w:val="24"/>
        </w:rPr>
        <w:t xml:space="preserve">  </w:t>
      </w:r>
      <w:r>
        <w:rPr>
          <w:rFonts w:hint="eastAsia" w:ascii="宋体" w:hAnsi="宋体" w:cs="仿宋_GB2312"/>
          <w:color w:val="000000"/>
          <w:sz w:val="24"/>
        </w:rPr>
        <w:t xml:space="preserve">                    </w:t>
      </w:r>
    </w:p>
    <w:tbl>
      <w:tblPr>
        <w:tblStyle w:val="21"/>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货物名称</w:t>
            </w:r>
          </w:p>
        </w:tc>
        <w:tc>
          <w:tcPr>
            <w:tcW w:w="20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2"/>
              </w:rPr>
            </w:pPr>
            <w:r>
              <w:rPr>
                <w:rFonts w:hint="eastAsia" w:ascii="宋体" w:hAnsi="宋体"/>
                <w:szCs w:val="22"/>
              </w:rPr>
              <w:t>具体货物内容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2"/>
              </w:rPr>
            </w:pPr>
            <w:r>
              <w:rPr>
                <w:rFonts w:hint="eastAsia" w:ascii="宋体" w:hAnsi="宋体"/>
                <w:szCs w:val="22"/>
              </w:rPr>
              <w:t>数量</w:t>
            </w:r>
            <w:r>
              <w:rPr>
                <w:rFonts w:ascii="宋体" w:hAnsi="宋体"/>
                <w:szCs w:val="22"/>
              </w:rPr>
              <w:t>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单价</w:t>
            </w:r>
            <w:r>
              <w:rPr>
                <w:rFonts w:ascii="宋体" w:hAnsi="宋体"/>
                <w:szCs w:val="22"/>
              </w:rPr>
              <w:t>(</w:t>
            </w:r>
            <w:r>
              <w:rPr>
                <w:rFonts w:hint="eastAsia" w:ascii="宋体" w:hAnsi="宋体"/>
                <w:szCs w:val="22"/>
              </w:rPr>
              <w:t>元</w:t>
            </w:r>
            <w:r>
              <w:rPr>
                <w:rFonts w:ascii="宋体" w:hAnsi="宋体"/>
                <w:szCs w:val="22"/>
              </w:rPr>
              <w:t>)②</w:t>
            </w: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单项合价（元）</w:t>
            </w:r>
          </w:p>
          <w:p>
            <w:pPr>
              <w:rPr>
                <w:rFonts w:ascii="宋体" w:hAnsi="宋体"/>
                <w:szCs w:val="22"/>
              </w:rPr>
            </w:pPr>
            <w:r>
              <w:rPr>
                <w:rFonts w:ascii="宋体" w:hAnsi="宋体"/>
                <w:szCs w:val="22"/>
              </w:rPr>
              <w:t>③</w:t>
            </w:r>
            <w:r>
              <w:rPr>
                <w:rFonts w:hint="eastAsia" w:ascii="宋体" w:hAnsi="宋体"/>
                <w:szCs w:val="22"/>
              </w:rPr>
              <w:t>＝</w:t>
            </w:r>
            <w:r>
              <w:rPr>
                <w:rFonts w:ascii="宋体" w:hAnsi="宋体"/>
                <w:szCs w:val="22"/>
              </w:rPr>
              <w:t>①×②</w:t>
            </w:r>
            <w:r>
              <w:rPr>
                <w:rFonts w:hint="eastAsia" w:ascii="宋体" w:hAnsi="宋体"/>
                <w:szCs w:val="22"/>
              </w:rPr>
              <w:t>/费率</w:t>
            </w:r>
          </w:p>
        </w:tc>
        <w:tc>
          <w:tcPr>
            <w:tcW w:w="95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szCs w:val="22"/>
              </w:rPr>
            </w:pPr>
            <w:r>
              <w:rPr>
                <w:rFonts w:hint="eastAsia" w:ascii="宋体" w:hAnsi="宋体"/>
                <w:szCs w:val="22"/>
              </w:rPr>
              <w:t>货物要求（年限）</w:t>
            </w: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ascii="宋体" w:hAnsi="宋体"/>
                <w:szCs w:val="22"/>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957" w:type="dxa"/>
            <w:tcBorders>
              <w:top w:val="single" w:color="auto" w:sz="4" w:space="0"/>
              <w:left w:val="single" w:color="auto" w:sz="4" w:space="0"/>
              <w:bottom w:val="single" w:color="auto" w:sz="4" w:space="0"/>
              <w:right w:val="single" w:color="auto" w:sz="4" w:space="0"/>
            </w:tcBorders>
            <w:vAlign w:val="top"/>
          </w:tcPr>
          <w:p>
            <w:pPr>
              <w:rPr>
                <w:rFonts w:ascii="宋体" w:hAnsi="宋体"/>
                <w:szCs w:val="2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ascii="宋体" w:hAnsi="宋体"/>
                <w:szCs w:val="22"/>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957" w:type="dxa"/>
            <w:tcBorders>
              <w:top w:val="single" w:color="auto" w:sz="4" w:space="0"/>
              <w:left w:val="single" w:color="auto" w:sz="4" w:space="0"/>
              <w:bottom w:val="single" w:color="auto" w:sz="4" w:space="0"/>
              <w:right w:val="single" w:color="auto" w:sz="4" w:space="0"/>
            </w:tcBorders>
            <w:vAlign w:val="top"/>
          </w:tcPr>
          <w:p>
            <w:pPr>
              <w:rPr>
                <w:rFonts w:ascii="宋体" w:hAnsi="宋体"/>
                <w:szCs w:val="2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ascii="宋体" w:hAnsi="宋体"/>
                <w:szCs w:val="22"/>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957" w:type="dxa"/>
            <w:tcBorders>
              <w:top w:val="single" w:color="auto" w:sz="4" w:space="0"/>
              <w:left w:val="single" w:color="auto" w:sz="4" w:space="0"/>
              <w:bottom w:val="single" w:color="auto" w:sz="4" w:space="0"/>
              <w:right w:val="single" w:color="auto" w:sz="4" w:space="0"/>
            </w:tcBorders>
            <w:vAlign w:val="top"/>
          </w:tcPr>
          <w:p>
            <w:pPr>
              <w:rPr>
                <w:rFonts w:ascii="宋体" w:hAnsi="宋体"/>
                <w:szCs w:val="2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top"/>
          </w:tcPr>
          <w:p>
            <w:pPr>
              <w:rPr>
                <w:rFonts w:ascii="宋体" w:hAnsi="宋体"/>
                <w:szCs w:val="22"/>
              </w:rPr>
            </w:pPr>
            <w:r>
              <w:rPr>
                <w:rFonts w:hint="eastAsia" w:ascii="宋体" w:hAnsi="宋体"/>
                <w:szCs w:val="22"/>
              </w:rPr>
              <w:t>报价合计（包含税费等所有费用）：（大写）人民币</w:t>
            </w:r>
            <w:r>
              <w:rPr>
                <w:rFonts w:ascii="宋体" w:hAnsi="宋体"/>
                <w:szCs w:val="22"/>
              </w:rPr>
              <w:t xml:space="preserve">                                       </w:t>
            </w:r>
            <w:r>
              <w:rPr>
                <w:rFonts w:hint="eastAsia" w:ascii="宋体" w:hAnsi="宋体"/>
                <w:szCs w:val="22"/>
              </w:rPr>
              <w:t>（￥</w:t>
            </w:r>
            <w:r>
              <w:rPr>
                <w:rFonts w:ascii="宋体" w:hAnsi="宋体"/>
                <w:szCs w:val="22"/>
              </w:rPr>
              <w:t xml:space="preserve">                </w:t>
            </w:r>
            <w:r>
              <w:rPr>
                <w:rFonts w:hint="eastAsia" w:ascii="宋体" w:hAnsi="宋体"/>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top"/>
          </w:tcPr>
          <w:p>
            <w:pPr>
              <w:rPr>
                <w:rFonts w:ascii="宋体" w:hAnsi="宋体"/>
                <w:szCs w:val="22"/>
              </w:rPr>
            </w:pPr>
            <w:r>
              <w:rPr>
                <w:rFonts w:hint="eastAsia" w:ascii="宋体" w:hAnsi="宋体"/>
                <w:szCs w:val="21"/>
                <w:u w:val="single"/>
              </w:rPr>
              <w:t>　　</w:t>
            </w:r>
            <w:r>
              <w:rPr>
                <w:rFonts w:hint="eastAsia" w:ascii="宋体" w:hAnsi="宋体"/>
                <w:szCs w:val="21"/>
              </w:rPr>
              <w:t>分标（此处有分标时填写具体分标号，无分标时填写</w:t>
            </w:r>
            <w:r>
              <w:rPr>
                <w:rFonts w:ascii="宋体" w:hAnsi="宋体"/>
                <w:szCs w:val="21"/>
              </w:rPr>
              <w:t>“</w:t>
            </w:r>
            <w:r>
              <w:rPr>
                <w:rFonts w:hint="eastAsia" w:ascii="宋体" w:hAnsi="宋体"/>
                <w:szCs w:val="21"/>
              </w:rPr>
              <w:t>无</w:t>
            </w:r>
            <w:r>
              <w:rPr>
                <w:rFonts w:ascii="宋体" w:hAnsi="宋体"/>
                <w:szCs w:val="21"/>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top"/>
          </w:tcPr>
          <w:p>
            <w:pPr>
              <w:rPr>
                <w:rFonts w:ascii="宋体" w:hAnsi="宋体"/>
                <w:szCs w:val="22"/>
              </w:rPr>
            </w:pPr>
            <w:r>
              <w:rPr>
                <w:rFonts w:hint="eastAsia" w:ascii="宋体" w:hAnsi="宋体"/>
                <w:szCs w:val="22"/>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2"/>
              </w:rPr>
            </w:pPr>
            <w:r>
              <w:rPr>
                <w:rFonts w:hint="eastAsia" w:ascii="宋体" w:hAnsi="宋体"/>
                <w:szCs w:val="22"/>
              </w:rPr>
              <w:t>优惠及其它：</w:t>
            </w:r>
          </w:p>
        </w:tc>
      </w:tr>
    </w:tbl>
    <w:p>
      <w:pPr>
        <w:snapToGrid w:val="0"/>
        <w:spacing w:before="50" w:after="50"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注： </w:t>
      </w:r>
    </w:p>
    <w:p>
      <w:pPr>
        <w:snapToGrid w:val="0"/>
        <w:spacing w:before="50" w:after="50"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 供应商需按本表格式填写，不得自行更改，也不得留空, 如有多分标，按分标分别提供响应报价表</w:t>
      </w:r>
      <w:r>
        <w:rPr>
          <w:rFonts w:hint="eastAsia" w:ascii="仿宋_GB2312" w:hAnsi="仿宋" w:eastAsia="仿宋_GB2312" w:cs="仿宋_GB2312"/>
          <w:b/>
          <w:kern w:val="0"/>
          <w:sz w:val="24"/>
          <w:lang w:val="zh-CN"/>
        </w:rPr>
        <w:t>。</w:t>
      </w:r>
    </w:p>
    <w:p>
      <w:pPr>
        <w:snapToGrid w:val="0"/>
        <w:spacing w:before="50" w:after="50"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kern w:val="0"/>
          <w:sz w:val="24"/>
          <w:lang w:val="zh-CN"/>
        </w:rPr>
        <w:t>否则其响应作无效响应处理。</w:t>
      </w:r>
    </w:p>
    <w:p>
      <w:pPr>
        <w:snapToGrid w:val="0"/>
        <w:spacing w:before="50" w:after="50"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3、以上表格要求细分项目及报价，在“具体货物内容”一栏中，填写具体货物，，</w:t>
      </w:r>
      <w:r>
        <w:rPr>
          <w:rFonts w:hint="eastAsia" w:ascii="仿宋_GB2312" w:hAnsi="仿宋" w:eastAsia="仿宋_GB2312" w:cs="仿宋_GB2312"/>
          <w:b/>
          <w:kern w:val="0"/>
          <w:sz w:val="24"/>
          <w:lang w:val="zh-CN"/>
        </w:rPr>
        <w:t>否则其响应作无效响应处理。</w:t>
      </w:r>
    </w:p>
    <w:p>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4、特别提示：采购机构将对项目名称和项目编号，成交供应商名称、地址和成交金额，主要成交标的的名称、规格型号、数量、单价、货物要求等予以公示。</w:t>
      </w:r>
    </w:p>
    <w:p>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符合采购文件中列明的可享受中小企业扶持政策的供应商，请填写中小企业声明函。注：供应商</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spacing w:line="360" w:lineRule="auto"/>
        <w:ind w:right="-817" w:rightChars="-389" w:firstLine="5461" w:firstLineChars="1700"/>
        <w:contextualSpacing/>
        <w:rPr>
          <w:rFonts w:hint="eastAsia" w:ascii="仿宋_GB2312" w:hAnsi="仿宋_GB2312" w:eastAsia="仿宋_GB2312" w:cs="仿宋_GB2312"/>
          <w:b/>
          <w:color w:val="000000"/>
          <w:sz w:val="32"/>
          <w:szCs w:val="32"/>
        </w:rPr>
      </w:pPr>
    </w:p>
    <w:p>
      <w:pPr>
        <w:pStyle w:val="14"/>
        <w:spacing w:line="500" w:lineRule="exact"/>
        <w:ind w:firstLine="602" w:firstLineChars="200"/>
        <w:rPr>
          <w:rFonts w:hint="eastAsia" w:ascii="仿宋" w:hAnsi="仿宋" w:eastAsia="仿宋" w:cs="仿宋_GB2312"/>
          <w:b/>
          <w:kern w:val="2"/>
          <w:sz w:val="30"/>
          <w:szCs w:val="30"/>
        </w:rPr>
      </w:pPr>
      <w:r>
        <w:rPr>
          <w:rFonts w:hint="eastAsia" w:ascii="仿宋" w:hAnsi="仿宋" w:eastAsia="仿宋" w:cs="仿宋_GB2312"/>
          <w:b/>
          <w:kern w:val="2"/>
          <w:sz w:val="30"/>
          <w:szCs w:val="30"/>
        </w:rPr>
        <w:t>三、中小企业声明函</w:t>
      </w:r>
    </w:p>
    <w:p>
      <w:pPr>
        <w:spacing w:line="300" w:lineRule="auto"/>
        <w:ind w:firstLine="2200" w:firstLineChars="500"/>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中小企业声明函（</w:t>
      </w:r>
      <w:r>
        <w:rPr>
          <w:rFonts w:hint="eastAsia" w:ascii="方正小标宋简体" w:hAnsi="方正小标宋简体" w:eastAsia="方正小标宋简体" w:cs="方正小标宋简体"/>
          <w:sz w:val="44"/>
          <w:szCs w:val="44"/>
        </w:rPr>
        <w:t>货物</w:t>
      </w:r>
      <w:r>
        <w:rPr>
          <w:rFonts w:ascii="方正小标宋简体" w:hAnsi="方正小标宋简体" w:eastAsia="方正小标宋简体" w:cs="方正小标宋简体"/>
          <w:sz w:val="44"/>
          <w:szCs w:val="44"/>
        </w:rPr>
        <w:t>）</w:t>
      </w:r>
    </w:p>
    <w:p>
      <w:pPr>
        <w:pStyle w:val="10"/>
        <w:spacing w:after="0" w:line="360" w:lineRule="auto"/>
        <w:ind w:left="-426" w:right="142" w:firstLine="640"/>
        <w:contextualSpacing/>
        <w:rPr>
          <w:rFonts w:ascii="宋体" w:hAnsi="宋体"/>
          <w:sz w:val="24"/>
        </w:rPr>
      </w:pPr>
      <w:r>
        <w:rPr>
          <w:rFonts w:ascii="宋体" w:hAnsi="宋体"/>
          <w:sz w:val="24"/>
        </w:rPr>
        <w:t>本公司（联合体）郑重声明，根据《政府采购促进中小企业发展管理办法》（财库﹝2020﹞46号）的规定，本公司（联合体）参加</w:t>
      </w:r>
      <w:r>
        <w:rPr>
          <w:rFonts w:ascii="宋体" w:hAnsi="宋体"/>
          <w:sz w:val="24"/>
          <w:u w:val="single"/>
        </w:rPr>
        <w:t>（单位名称）</w:t>
      </w:r>
      <w:r>
        <w:rPr>
          <w:rFonts w:ascii="宋体" w:hAnsi="宋体"/>
          <w:sz w:val="24"/>
        </w:rPr>
        <w:t>的</w:t>
      </w:r>
      <w:r>
        <w:rPr>
          <w:rFonts w:ascii="宋体" w:hAnsi="宋体"/>
          <w:sz w:val="24"/>
          <w:u w:val="single"/>
        </w:rPr>
        <w:t>（项目名称）</w:t>
      </w:r>
      <w:r>
        <w:rPr>
          <w:rFonts w:ascii="宋体" w:hAnsi="宋体"/>
          <w:sz w:val="24"/>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sz w:val="24"/>
        </w:rPr>
        <w:t>行业；制造商为</w:t>
      </w:r>
      <w:r>
        <w:rPr>
          <w:rFonts w:ascii="宋体" w:hAnsi="宋体"/>
          <w:sz w:val="24"/>
          <w:u w:val="single"/>
        </w:rPr>
        <w:t>（企业名称）</w:t>
      </w:r>
      <w:r>
        <w:rPr>
          <w:rFonts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万元，属于</w:t>
      </w:r>
      <w:r>
        <w:rPr>
          <w:rFonts w:ascii="宋体" w:hAnsi="宋体"/>
          <w:sz w:val="24"/>
          <w:u w:val="single"/>
        </w:rPr>
        <w:t>（中型企业、小型企业、微型企业）</w:t>
      </w:r>
      <w:r>
        <w:rPr>
          <w:rFonts w:ascii="宋体" w:hAnsi="宋体"/>
          <w:sz w:val="24"/>
        </w:rPr>
        <w:t>；</w:t>
      </w:r>
    </w:p>
    <w:p>
      <w:pPr>
        <w:tabs>
          <w:tab w:val="left" w:pos="1065"/>
          <w:tab w:val="left" w:pos="6477"/>
        </w:tabs>
        <w:spacing w:line="360" w:lineRule="auto"/>
        <w:ind w:left="-426" w:right="-58" w:firstLine="655"/>
        <w:contextualSpacing/>
        <w:rPr>
          <w:rFonts w:ascii="宋体" w:hAnsi="宋体"/>
          <w:sz w:val="24"/>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sz w:val="24"/>
        </w:rPr>
        <w:t>行业；制造商为</w:t>
      </w:r>
      <w:r>
        <w:rPr>
          <w:rFonts w:ascii="宋体" w:hAnsi="宋体"/>
          <w:sz w:val="24"/>
          <w:u w:val="single"/>
        </w:rPr>
        <w:t>（企业名称）</w:t>
      </w:r>
      <w:r>
        <w:rPr>
          <w:rFonts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万元，属于</w:t>
      </w:r>
      <w:r>
        <w:rPr>
          <w:rFonts w:ascii="宋体" w:hAnsi="宋体"/>
          <w:sz w:val="24"/>
          <w:u w:val="single"/>
        </w:rPr>
        <w:t>（中型企业、小型企业、微型企业）</w:t>
      </w:r>
      <w:r>
        <w:rPr>
          <w:rFonts w:ascii="宋体" w:hAnsi="宋体"/>
          <w:sz w:val="24"/>
        </w:rPr>
        <w:t>；</w:t>
      </w:r>
    </w:p>
    <w:p>
      <w:pPr>
        <w:pStyle w:val="10"/>
        <w:spacing w:after="0" w:line="360" w:lineRule="auto"/>
        <w:ind w:left="142" w:right="142"/>
        <w:contextualSpacing/>
        <w:rPr>
          <w:rFonts w:ascii="宋体" w:hAnsi="宋体"/>
          <w:sz w:val="24"/>
        </w:rPr>
      </w:pPr>
      <w:r>
        <w:rPr>
          <w:rFonts w:ascii="宋体" w:hAnsi="宋体"/>
          <w:sz w:val="24"/>
        </w:rPr>
        <w:t xml:space="preserve">…… </w:t>
      </w:r>
    </w:p>
    <w:p>
      <w:pPr>
        <w:pStyle w:val="10"/>
        <w:spacing w:after="0" w:line="360" w:lineRule="auto"/>
        <w:ind w:left="-405" w:leftChars="-193" w:right="142" w:firstLine="453" w:firstLineChars="189"/>
        <w:contextualSpacing/>
        <w:rPr>
          <w:rFonts w:ascii="宋体" w:hAnsi="宋体"/>
          <w:sz w:val="24"/>
        </w:rPr>
      </w:pPr>
      <w:r>
        <w:rPr>
          <w:rFonts w:ascii="宋体" w:hAnsi="宋体"/>
          <w:sz w:val="24"/>
        </w:rPr>
        <w:t>以上企业，不属于大企业的分支机构，不存在控股股东为大企业的情形，也不存在与大企业的负责人为同一人的情形。</w:t>
      </w:r>
    </w:p>
    <w:p>
      <w:pPr>
        <w:pStyle w:val="10"/>
        <w:spacing w:after="0" w:line="360" w:lineRule="auto"/>
        <w:ind w:left="-426" w:right="142" w:firstLine="567"/>
        <w:contextualSpacing/>
        <w:rPr>
          <w:rFonts w:ascii="宋体" w:hAnsi="宋体"/>
          <w:sz w:val="24"/>
        </w:rPr>
      </w:pPr>
      <w:r>
        <w:rPr>
          <w:rFonts w:ascii="宋体" w:hAnsi="宋体"/>
          <w:sz w:val="24"/>
        </w:rPr>
        <w:t>本企业对上述声明内容的真实性负责。如有虚假，将依法承担相应责任。</w:t>
      </w:r>
    </w:p>
    <w:p>
      <w:pPr>
        <w:pStyle w:val="10"/>
        <w:spacing w:after="0" w:line="360" w:lineRule="auto"/>
        <w:ind w:left="3960" w:right="1808"/>
        <w:contextualSpacing/>
        <w:rPr>
          <w:rFonts w:hint="eastAsia" w:ascii="宋体" w:hAnsi="宋体"/>
          <w:sz w:val="24"/>
        </w:rPr>
      </w:pP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pStyle w:val="10"/>
        <w:spacing w:after="0" w:line="360" w:lineRule="auto"/>
        <w:ind w:left="3960" w:right="1808"/>
        <w:contextualSpacing/>
      </w:pPr>
    </w:p>
    <w:p>
      <w:pPr>
        <w:spacing w:line="360" w:lineRule="auto"/>
        <w:contextualSpacing/>
        <w:jc w:val="left"/>
        <w:rPr>
          <w:rFonts w:hint="eastAsia" w:ascii="宋体" w:hAnsi="宋体" w:cs="仿宋_GB2312"/>
          <w:color w:val="000000"/>
          <w:sz w:val="24"/>
        </w:rPr>
      </w:pPr>
      <w:r>
        <w:rPr>
          <w:rFonts w:hint="eastAsia" w:ascii="宋体" w:hAnsi="宋体" w:cs="仿宋_GB2312"/>
          <w:color w:val="000000"/>
          <w:sz w:val="24"/>
        </w:rPr>
        <w:t>注：享受《政府采购促进中小企业发展管理办法》（财库〔2020〕46号）规定的中小企业扶持政策的，</w:t>
      </w:r>
      <w:r>
        <w:rPr>
          <w:rFonts w:hint="eastAsia" w:ascii="宋体" w:hAnsi="宋体" w:cs="仿宋_GB2312"/>
          <w:color w:val="000000"/>
          <w:sz w:val="24"/>
          <w:highlight w:val="none"/>
        </w:rPr>
        <w:t>采购人、采购代理机构应当随成交结果公开成交供应商的《中小企业声明函》</w:t>
      </w:r>
      <w:r>
        <w:rPr>
          <w:rFonts w:hint="eastAsia" w:ascii="宋体" w:hAnsi="宋体" w:cs="仿宋_GB2312"/>
          <w:color w:val="000000"/>
          <w:sz w:val="24"/>
        </w:rPr>
        <w:t>。从业人员、营业收入、资产总额填报上一年度数据，无上一年度数据的新成立企业可不填报。</w:t>
      </w:r>
    </w:p>
    <w:p>
      <w:pPr>
        <w:snapToGrid w:val="0"/>
        <w:spacing w:before="50" w:after="50" w:line="360" w:lineRule="auto"/>
        <w:ind w:right="-817" w:rightChars="-389"/>
        <w:rPr>
          <w:rFonts w:hint="eastAsia" w:ascii="仿宋_GB2312" w:hAnsi="仿宋_GB2312" w:eastAsia="仿宋_GB2312" w:cs="仿宋_GB2312"/>
          <w:b/>
          <w:sz w:val="32"/>
          <w:szCs w:val="32"/>
        </w:rPr>
      </w:pPr>
    </w:p>
    <w:p>
      <w:pPr>
        <w:pStyle w:val="4"/>
        <w:jc w:val="center"/>
        <w:rPr>
          <w:rFonts w:ascii="宋体" w:hAnsi="宋体"/>
          <w:b w:val="0"/>
        </w:rPr>
      </w:pPr>
      <w:r>
        <w:rPr>
          <w:rFonts w:ascii="宋体" w:hAnsi="宋体"/>
          <w:b w:val="0"/>
          <w:bCs w:val="0"/>
          <w:sz w:val="24"/>
        </w:rPr>
        <w:br w:type="page"/>
      </w:r>
      <w:bookmarkStart w:id="97" w:name="_Toc80205942"/>
      <w:r>
        <w:rPr>
          <w:rFonts w:hint="eastAsia" w:ascii="宋体" w:hAnsi="宋体"/>
        </w:rPr>
        <w:t>第四节 其他文书、文件格式</w:t>
      </w:r>
      <w:bookmarkEnd w:id="97"/>
    </w:p>
    <w:p>
      <w:pPr>
        <w:spacing w:line="520" w:lineRule="exact"/>
        <w:rPr>
          <w:rFonts w:ascii="宋体" w:hAnsi="宋体" w:cs="仿宋_GB2312"/>
          <w:sz w:val="24"/>
        </w:rPr>
      </w:pPr>
    </w:p>
    <w:p>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残疾人福利性单位声明函</w:t>
      </w:r>
    </w:p>
    <w:p>
      <w:pPr>
        <w:spacing w:line="520" w:lineRule="exact"/>
        <w:rPr>
          <w:rFonts w:hint="eastAsia" w:ascii="仿宋_GB2312" w:hAnsi="仿宋_GB2312" w:eastAsia="仿宋_GB2312" w:cs="仿宋_GB2312"/>
          <w:color w:val="000000"/>
          <w:sz w:val="32"/>
          <w:szCs w:val="32"/>
        </w:rPr>
      </w:pP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sz w:val="24"/>
          <w:u w:val="single"/>
        </w:rPr>
        <w:t xml:space="preserve">       </w:t>
      </w:r>
      <w:r>
        <w:rPr>
          <w:rFonts w:hint="eastAsia" w:ascii="宋体" w:hAnsi="宋体" w:cs="仿宋_GB2312"/>
          <w:sz w:val="24"/>
        </w:rPr>
        <w:t>单位的</w:t>
      </w:r>
      <w:r>
        <w:rPr>
          <w:rFonts w:hint="eastAsia" w:ascii="宋体" w:hAnsi="宋体" w:cs="仿宋_GB2312"/>
          <w:sz w:val="24"/>
          <w:u w:val="single"/>
        </w:rPr>
        <w:t xml:space="preserve">        </w:t>
      </w:r>
      <w:r>
        <w:rPr>
          <w:rFonts w:hint="eastAsia" w:ascii="宋体" w:hAnsi="宋体" w:cs="仿宋_GB2312"/>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本单位对上述声明的真实性负责。如有虚假，将依法承担相应责任。</w:t>
      </w:r>
    </w:p>
    <w:p>
      <w:pPr>
        <w:spacing w:line="360" w:lineRule="auto"/>
        <w:contextualSpacing/>
        <w:rPr>
          <w:rFonts w:hint="eastAsia" w:ascii="宋体" w:hAnsi="宋体" w:cs="仿宋_GB2312"/>
          <w:color w:val="000000"/>
          <w:sz w:val="24"/>
        </w:rPr>
      </w:pPr>
    </w:p>
    <w:p>
      <w:pPr>
        <w:spacing w:line="360" w:lineRule="auto"/>
        <w:contextualSpacing/>
        <w:rPr>
          <w:rFonts w:hint="eastAsia" w:ascii="宋体" w:hAnsi="宋体" w:cs="仿宋_GB2312"/>
          <w:color w:val="000000"/>
          <w:sz w:val="24"/>
        </w:rPr>
      </w:pPr>
    </w:p>
    <w:p>
      <w:pPr>
        <w:spacing w:line="360" w:lineRule="auto"/>
        <w:contextualSpacing/>
        <w:rPr>
          <w:rFonts w:hint="eastAsia" w:ascii="宋体" w:hAnsi="宋体" w:cs="仿宋_GB2312"/>
          <w:color w:val="000000"/>
          <w:sz w:val="24"/>
        </w:rPr>
      </w:pPr>
    </w:p>
    <w:p>
      <w:pPr>
        <w:spacing w:line="360" w:lineRule="auto"/>
        <w:ind w:firstLine="2400" w:firstLineChars="1000"/>
        <w:contextualSpacing/>
        <w:rPr>
          <w:rFonts w:hint="eastAsia" w:ascii="宋体" w:hAnsi="宋体" w:cs="仿宋_GB2312"/>
          <w:color w:val="000000"/>
          <w:sz w:val="24"/>
        </w:rPr>
      </w:pPr>
      <w:r>
        <w:rPr>
          <w:rFonts w:hint="eastAsia" w:ascii="宋体" w:hAnsi="宋体" w:cs="仿宋_GB2312"/>
          <w:color w:val="000000"/>
          <w:sz w:val="24"/>
        </w:rPr>
        <w:t>供应商名称（电子签章）：</w:t>
      </w:r>
    </w:p>
    <w:p>
      <w:pPr>
        <w:spacing w:line="360" w:lineRule="auto"/>
        <w:ind w:firstLine="4320" w:firstLineChars="1800"/>
        <w:contextualSpacing/>
        <w:rPr>
          <w:rFonts w:hint="eastAsia" w:ascii="宋体" w:hAnsi="宋体" w:cs="仿宋_GB2312"/>
          <w:color w:val="000000"/>
          <w:sz w:val="24"/>
        </w:rPr>
      </w:pPr>
      <w:r>
        <w:rPr>
          <w:rFonts w:hint="eastAsia" w:ascii="宋体" w:hAnsi="宋体" w:cs="仿宋_GB2312"/>
          <w:color w:val="000000"/>
          <w:sz w:val="24"/>
        </w:rPr>
        <w:t>日  期：     年   月   日</w:t>
      </w:r>
    </w:p>
    <w:p>
      <w:pPr>
        <w:spacing w:line="360" w:lineRule="auto"/>
        <w:contextualSpacing/>
        <w:rPr>
          <w:rFonts w:hint="eastAsia" w:ascii="宋体" w:hAnsi="宋体" w:cs="仿宋_GB2312"/>
          <w:color w:val="000000"/>
          <w:sz w:val="24"/>
        </w:rPr>
      </w:pPr>
    </w:p>
    <w:p>
      <w:pPr>
        <w:spacing w:line="360" w:lineRule="auto"/>
        <w:contextualSpacing/>
        <w:rPr>
          <w:rFonts w:hint="eastAsia" w:ascii="宋体" w:hAnsi="宋体" w:cs="仿宋_GB2312"/>
          <w:color w:val="000000"/>
          <w:sz w:val="24"/>
        </w:rPr>
      </w:pPr>
    </w:p>
    <w:p>
      <w:pPr>
        <w:spacing w:line="360" w:lineRule="auto"/>
        <w:contextualSpacing/>
        <w:rPr>
          <w:rFonts w:hint="eastAsia" w:ascii="宋体" w:hAnsi="宋体" w:cs="仿宋_GB2312"/>
          <w:color w:val="000000"/>
          <w:sz w:val="24"/>
        </w:rPr>
      </w:pPr>
    </w:p>
    <w:p>
      <w:pPr>
        <w:spacing w:line="360" w:lineRule="auto"/>
        <w:contextualSpacing/>
        <w:rPr>
          <w:rFonts w:ascii="宋体" w:hAnsi="宋体" w:cs="仿宋_GB2312"/>
          <w:color w:val="000000"/>
          <w:sz w:val="24"/>
        </w:rPr>
      </w:pPr>
      <w:r>
        <w:rPr>
          <w:rFonts w:hint="eastAsia" w:ascii="宋体" w:hAnsi="宋体" w:cs="仿宋_GB2312"/>
          <w:color w:val="000000"/>
          <w:sz w:val="24"/>
        </w:rPr>
        <w:t>注：请根据自己的真实情况出具《残疾人福利性单位声明函》。依法享受中小企业优惠政策的，采购人或者采购代理机构在公告中标结果时，同时公告其《残疾人福利性单位声明函》，接受社会监督。</w:t>
      </w:r>
    </w:p>
    <w:p>
      <w:pPr>
        <w:spacing w:line="520" w:lineRule="exact"/>
        <w:jc w:val="center"/>
        <w:rPr>
          <w:rFonts w:ascii="宋体" w:hAnsi="宋体"/>
          <w:sz w:val="24"/>
        </w:rPr>
      </w:pPr>
    </w:p>
    <w:p>
      <w:pPr>
        <w:spacing w:line="520" w:lineRule="exact"/>
        <w:jc w:val="center"/>
        <w:rPr>
          <w:rFonts w:ascii="宋体" w:hAnsi="宋体"/>
          <w:sz w:val="24"/>
        </w:rPr>
      </w:pPr>
    </w:p>
    <w:p>
      <w:pPr>
        <w:spacing w:line="520" w:lineRule="exact"/>
        <w:jc w:val="center"/>
        <w:rPr>
          <w:rFonts w:ascii="宋体" w:hAnsi="宋体"/>
          <w:sz w:val="24"/>
        </w:rPr>
      </w:pPr>
    </w:p>
    <w:p>
      <w:pPr>
        <w:spacing w:line="520" w:lineRule="exact"/>
        <w:jc w:val="center"/>
        <w:rPr>
          <w:rFonts w:ascii="宋体" w:hAnsi="宋体"/>
          <w:sz w:val="24"/>
        </w:rPr>
      </w:pPr>
    </w:p>
    <w:p>
      <w:pPr>
        <w:spacing w:line="520" w:lineRule="exact"/>
        <w:jc w:val="center"/>
        <w:rPr>
          <w:rFonts w:ascii="宋体" w:hAnsi="宋体"/>
          <w:sz w:val="24"/>
        </w:rPr>
      </w:pPr>
    </w:p>
    <w:p>
      <w:pPr>
        <w:spacing w:line="520" w:lineRule="exact"/>
        <w:jc w:val="center"/>
        <w:rPr>
          <w:rFonts w:ascii="宋体" w:hAnsi="宋体"/>
          <w:sz w:val="24"/>
        </w:rPr>
      </w:pPr>
    </w:p>
    <w:p>
      <w:pPr>
        <w:spacing w:line="520" w:lineRule="exact"/>
        <w:jc w:val="center"/>
        <w:rPr>
          <w:rFonts w:ascii="宋体" w:hAnsi="宋体"/>
          <w:sz w:val="24"/>
        </w:rPr>
      </w:pPr>
    </w:p>
    <w:p>
      <w:pPr>
        <w:spacing w:line="520" w:lineRule="exact"/>
        <w:jc w:val="center"/>
        <w:rPr>
          <w:rFonts w:ascii="宋体" w:hAnsi="宋体"/>
          <w:sz w:val="24"/>
        </w:rPr>
      </w:pPr>
    </w:p>
    <w:p>
      <w:pPr>
        <w:spacing w:line="520" w:lineRule="exact"/>
        <w:jc w:val="center"/>
        <w:rPr>
          <w:rFonts w:ascii="宋体" w:hAnsi="宋体"/>
          <w:sz w:val="2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pStyle w:val="3"/>
        <w:jc w:val="center"/>
        <w:rPr>
          <w:rFonts w:hint="eastAsia" w:ascii="仿宋_GB2312" w:hAnsi="楷体" w:eastAsia="仿宋_GB2312"/>
          <w:sz w:val="24"/>
          <w:u w:val="single"/>
        </w:rPr>
      </w:pPr>
      <w:bookmarkStart w:id="98" w:name="_Toc80205943"/>
      <w:r>
        <w:rPr>
          <w:rFonts w:hint="eastAsia" w:ascii="宋体" w:hAnsi="宋体"/>
          <w:b w:val="0"/>
          <w:bCs w:val="0"/>
        </w:rPr>
        <w:t xml:space="preserve">第六章 </w:t>
      </w:r>
      <w:r>
        <w:rPr>
          <w:rFonts w:ascii="宋体" w:hAnsi="宋体"/>
          <w:b w:val="0"/>
          <w:bCs w:val="0"/>
        </w:rPr>
        <w:t xml:space="preserve"> </w:t>
      </w:r>
      <w:r>
        <w:rPr>
          <w:rFonts w:hint="eastAsia" w:ascii="宋体" w:hAnsi="宋体"/>
          <w:b w:val="0"/>
          <w:bCs w:val="0"/>
        </w:rPr>
        <w:t>合同文本</w:t>
      </w:r>
      <w:bookmarkEnd w:id="98"/>
      <w:r>
        <w:rPr>
          <w:rFonts w:ascii="宋体" w:hAnsi="宋体"/>
          <w:b w:val="0"/>
          <w:bCs w:val="0"/>
        </w:rPr>
        <w:br w:type="page"/>
      </w:r>
    </w:p>
    <w:p>
      <w:pPr>
        <w:spacing w:line="360" w:lineRule="auto"/>
        <w:rPr>
          <w:rFonts w:hint="eastAsia" w:ascii="宋体" w:hAnsi="宋体"/>
          <w:b/>
          <w:bCs/>
        </w:rPr>
      </w:pPr>
      <w:r>
        <w:rPr>
          <w:rFonts w:hint="eastAsia" w:ascii="仿宋_GB2312" w:hAnsi="楷体" w:eastAsia="仿宋_GB2312"/>
          <w:sz w:val="24"/>
        </w:rPr>
        <w:t>“政采云”平台合同编号：</w:t>
      </w:r>
    </w:p>
    <w:p>
      <w:pPr>
        <w:spacing w:line="360" w:lineRule="auto"/>
        <w:jc w:val="center"/>
        <w:rPr>
          <w:rFonts w:hint="eastAsia" w:ascii="宋体"/>
          <w:b/>
          <w:bCs/>
          <w:sz w:val="52"/>
        </w:rPr>
      </w:pPr>
      <w:r>
        <w:rPr>
          <w:rFonts w:hint="eastAsia" w:ascii="宋体"/>
          <w:b/>
          <w:bCs/>
          <w:sz w:val="52"/>
        </w:rPr>
        <w:t>南 宁 市 政 府 采 购</w:t>
      </w:r>
    </w:p>
    <w:p>
      <w:pPr>
        <w:spacing w:line="360" w:lineRule="auto"/>
        <w:ind w:firstLine="420" w:firstLineChars="200"/>
        <w:rPr>
          <w:rFonts w:hint="eastAsia" w:ascii="宋体"/>
        </w:rPr>
      </w:pPr>
    </w:p>
    <w:p>
      <w:pPr>
        <w:spacing w:line="360" w:lineRule="auto"/>
        <w:ind w:firstLine="420" w:firstLineChars="200"/>
        <w:rPr>
          <w:rFonts w:hint="eastAsia" w:ascii="宋体"/>
        </w:rPr>
      </w:pPr>
      <w:r>
        <w:rPr>
          <w:rFonts w:hint="eastAsia" w:ascii="宋体"/>
        </w:rPr>
        <w:t xml:space="preserve">                                                 </w:t>
      </w:r>
    </w:p>
    <w:p>
      <w:pPr>
        <w:spacing w:line="360" w:lineRule="auto"/>
        <w:jc w:val="center"/>
        <w:rPr>
          <w:rFonts w:hint="eastAsia" w:ascii="宋体"/>
          <w:b/>
          <w:bCs/>
          <w:sz w:val="44"/>
        </w:rPr>
      </w:pPr>
      <w:r>
        <w:rPr>
          <w:rFonts w:hint="eastAsia" w:ascii="宋体"/>
          <w:b/>
          <w:bCs/>
          <w:sz w:val="44"/>
          <w:u w:val="single"/>
        </w:rPr>
        <w:t xml:space="preserve">         （项目名称）         </w:t>
      </w:r>
      <w:r>
        <w:rPr>
          <w:rFonts w:hint="eastAsia" w:ascii="宋体"/>
          <w:b/>
          <w:bCs/>
          <w:sz w:val="44"/>
        </w:rPr>
        <w:t>合同</w:t>
      </w:r>
    </w:p>
    <w:p>
      <w:pPr>
        <w:spacing w:line="360" w:lineRule="auto"/>
        <w:jc w:val="center"/>
        <w:rPr>
          <w:rFonts w:hint="eastAsia" w:ascii="宋体"/>
          <w:b/>
          <w:bCs/>
          <w:sz w:val="44"/>
        </w:rPr>
      </w:pPr>
    </w:p>
    <w:p>
      <w:pPr>
        <w:spacing w:line="360" w:lineRule="auto"/>
        <w:ind w:firstLine="3507" w:firstLineChars="794"/>
        <w:rPr>
          <w:rFonts w:hint="eastAsia" w:ascii="宋体"/>
          <w:b/>
          <w:bCs/>
          <w:sz w:val="44"/>
        </w:rPr>
      </w:pPr>
    </w:p>
    <w:p>
      <w:pPr>
        <w:spacing w:line="360" w:lineRule="auto"/>
        <w:ind w:firstLine="3507" w:firstLineChars="794"/>
        <w:rPr>
          <w:rFonts w:hint="eastAsia" w:ascii="宋体"/>
          <w:b/>
          <w:bCs/>
          <w:sz w:val="44"/>
        </w:rPr>
      </w:pPr>
    </w:p>
    <w:p>
      <w:pPr>
        <w:ind w:firstLine="1995" w:firstLineChars="552"/>
        <w:rPr>
          <w:rFonts w:hint="eastAsia" w:ascii="宋体" w:hAnsi="宋体"/>
          <w:b/>
          <w:sz w:val="36"/>
          <w:szCs w:val="36"/>
        </w:rPr>
      </w:pPr>
      <w:r>
        <w:rPr>
          <w:rFonts w:hint="eastAsia" w:ascii="宋体" w:hAnsi="宋体"/>
          <w:b/>
          <w:sz w:val="36"/>
          <w:szCs w:val="36"/>
        </w:rPr>
        <w:t>采购项目编号：</w:t>
      </w:r>
      <w:r>
        <w:rPr>
          <w:rFonts w:hint="eastAsia" w:ascii="宋体" w:hAnsi="宋体"/>
          <w:b/>
          <w:sz w:val="36"/>
          <w:szCs w:val="36"/>
          <w:u w:val="single"/>
        </w:rPr>
        <w:t xml:space="preserve">                     </w:t>
      </w:r>
    </w:p>
    <w:p>
      <w:pPr>
        <w:ind w:firstLine="1995" w:firstLineChars="552"/>
        <w:rPr>
          <w:rFonts w:hint="eastAsia" w:ascii="宋体" w:hAnsi="宋体"/>
          <w:b/>
          <w:sz w:val="36"/>
          <w:szCs w:val="36"/>
        </w:rPr>
      </w:pPr>
      <w:r>
        <w:rPr>
          <w:rFonts w:hint="eastAsia" w:ascii="宋体" w:hAnsi="宋体"/>
          <w:b/>
          <w:sz w:val="36"/>
          <w:szCs w:val="36"/>
        </w:rPr>
        <w:t>采购计划编号：</w:t>
      </w:r>
      <w:r>
        <w:rPr>
          <w:rFonts w:hint="eastAsia" w:ascii="宋体" w:hAnsi="宋体"/>
          <w:b/>
          <w:sz w:val="36"/>
          <w:szCs w:val="36"/>
          <w:u w:val="single"/>
        </w:rPr>
        <w:t xml:space="preserve">                     </w:t>
      </w:r>
    </w:p>
    <w:p>
      <w:pPr>
        <w:ind w:firstLine="1308" w:firstLineChars="545"/>
        <w:rPr>
          <w:rFonts w:hint="eastAsia" w:ascii="宋体" w:hAnsi="宋体" w:cs="宋体"/>
          <w:color w:val="000000"/>
          <w:sz w:val="24"/>
          <w:highlight w:val="yellow"/>
        </w:rPr>
      </w:pPr>
    </w:p>
    <w:p>
      <w:pPr>
        <w:ind w:firstLine="1995" w:firstLineChars="552"/>
        <w:rPr>
          <w:rFonts w:hint="eastAsia" w:ascii="宋体" w:hAnsi="宋体"/>
          <w:b/>
          <w:sz w:val="36"/>
          <w:szCs w:val="36"/>
          <w:u w:val="single"/>
        </w:rPr>
      </w:pPr>
    </w:p>
    <w:p>
      <w:pPr>
        <w:ind w:firstLine="1995" w:firstLineChars="552"/>
        <w:rPr>
          <w:rFonts w:hint="eastAsia" w:ascii="宋体" w:hAnsi="宋体"/>
          <w:b/>
          <w:sz w:val="36"/>
          <w:szCs w:val="36"/>
          <w:u w:val="single"/>
        </w:rPr>
      </w:pPr>
    </w:p>
    <w:p>
      <w:pPr>
        <w:tabs>
          <w:tab w:val="left" w:pos="7200"/>
        </w:tabs>
        <w:spacing w:line="360" w:lineRule="auto"/>
        <w:ind w:firstLine="1995" w:firstLineChars="552"/>
        <w:rPr>
          <w:rFonts w:hint="eastAsia" w:ascii="宋体" w:hAnsi="宋体"/>
          <w:b/>
          <w:sz w:val="36"/>
          <w:szCs w:val="36"/>
          <w:u w:val="single"/>
        </w:rPr>
      </w:pPr>
      <w:r>
        <w:rPr>
          <w:rFonts w:hint="eastAsia" w:ascii="宋体" w:hAnsi="宋体"/>
          <w:b/>
          <w:sz w:val="36"/>
          <w:szCs w:val="36"/>
        </w:rPr>
        <w:t>采购人：</w:t>
      </w:r>
      <w:r>
        <w:rPr>
          <w:rFonts w:hint="eastAsia" w:ascii="宋体" w:hAnsi="宋体"/>
          <w:b/>
          <w:sz w:val="36"/>
          <w:szCs w:val="36"/>
          <w:u w:val="single"/>
        </w:rPr>
        <w:t xml:space="preserve">                       </w:t>
      </w:r>
    </w:p>
    <w:p>
      <w:pPr>
        <w:tabs>
          <w:tab w:val="left" w:pos="7380"/>
        </w:tabs>
        <w:spacing w:line="360" w:lineRule="auto"/>
        <w:ind w:firstLine="1995" w:firstLineChars="552"/>
        <w:rPr>
          <w:rFonts w:hint="eastAsia" w:ascii="宋体"/>
          <w:b/>
          <w:bCs/>
          <w:sz w:val="44"/>
        </w:rPr>
      </w:pPr>
      <w:r>
        <w:rPr>
          <w:rFonts w:hint="eastAsia" w:ascii="宋体" w:hAnsi="宋体"/>
          <w:b/>
          <w:sz w:val="36"/>
          <w:szCs w:val="36"/>
        </w:rPr>
        <w:t>中标供应商：</w:t>
      </w:r>
      <w:r>
        <w:rPr>
          <w:rFonts w:hint="eastAsia" w:ascii="宋体" w:hAnsi="宋体"/>
          <w:b/>
          <w:sz w:val="36"/>
          <w:szCs w:val="36"/>
          <w:u w:val="single"/>
        </w:rPr>
        <w:t xml:space="preserve">                   </w:t>
      </w:r>
    </w:p>
    <w:p>
      <w:pPr>
        <w:tabs>
          <w:tab w:val="left" w:pos="7380"/>
        </w:tabs>
        <w:spacing w:line="360" w:lineRule="auto"/>
        <w:rPr>
          <w:rFonts w:hint="eastAsia" w:ascii="宋体"/>
          <w:b/>
          <w:bCs/>
          <w:sz w:val="44"/>
        </w:rPr>
      </w:pPr>
    </w:p>
    <w:p>
      <w:pPr>
        <w:snapToGrid w:val="0"/>
        <w:spacing w:line="360" w:lineRule="auto"/>
        <w:jc w:val="center"/>
        <w:rPr>
          <w:rFonts w:hint="eastAsia" w:ascii="仿宋_GB2312" w:hAnsi="楷体" w:eastAsia="仿宋_GB2312"/>
          <w:b/>
          <w:sz w:val="24"/>
        </w:rPr>
      </w:pPr>
      <w:r>
        <w:rPr>
          <w:rFonts w:hint="eastAsia" w:ascii="宋体"/>
          <w:b/>
          <w:bCs/>
          <w:sz w:val="44"/>
        </w:rPr>
        <w:br w:type="page"/>
      </w:r>
      <w:r>
        <w:rPr>
          <w:rFonts w:hint="eastAsia" w:ascii="仿宋_GB2312" w:hAnsi="楷体" w:eastAsia="仿宋_GB2312"/>
          <w:b/>
          <w:sz w:val="24"/>
        </w:rPr>
        <w:t>合同目录</w:t>
      </w:r>
    </w:p>
    <w:p>
      <w:pPr>
        <w:snapToGrid w:val="0"/>
        <w:spacing w:line="360" w:lineRule="auto"/>
        <w:jc w:val="center"/>
        <w:rPr>
          <w:rFonts w:hint="eastAsia" w:ascii="宋体"/>
          <w:b/>
          <w:bCs/>
          <w:sz w:val="44"/>
        </w:rPr>
      </w:pP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三、第三部分 合同专用条款……………………………………………………（页码）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四、</w:t>
      </w:r>
      <w:r>
        <w:rPr>
          <w:rFonts w:hint="eastAsia" w:ascii="仿宋_GB2312" w:hAnsi="仿宋" w:eastAsia="仿宋_GB2312"/>
          <w:sz w:val="24"/>
        </w:rPr>
        <w:t>第四部分 合同附件</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4.1成交通知书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4.2采购文件货物需求一览表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4.3采购文件的更改通知（如有）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4.4响应函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4.5响应报价表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4.6响应货物技术资料表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4.7商务条款偏离表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4.8成交供应商澄清函（如有请提供）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4.9其他与本合同相关的资料（如有请提供） ………………………………（页码）</w:t>
      </w:r>
    </w:p>
    <w:p>
      <w:pPr>
        <w:snapToGrid w:val="0"/>
        <w:spacing w:line="360" w:lineRule="auto"/>
        <w:rPr>
          <w:rFonts w:hint="eastAsia" w:ascii="仿宋_GB2312" w:hAnsi="仿宋" w:eastAsia="仿宋_GB2312" w:cs="仿宋_GB2312"/>
          <w:kern w:val="0"/>
          <w:sz w:val="24"/>
        </w:rPr>
      </w:pPr>
    </w:p>
    <w:p>
      <w:pPr>
        <w:pStyle w:val="11"/>
        <w:ind w:firstLine="1126"/>
        <w:sectPr>
          <w:pgSz w:w="11906" w:h="16838"/>
          <w:pgMar w:top="1134" w:right="1134" w:bottom="1134" w:left="1134" w:header="720" w:footer="720" w:gutter="0"/>
          <w:cols w:space="720" w:num="1"/>
          <w:docGrid w:type="lines" w:linePitch="331" w:charSpace="0"/>
        </w:sectPr>
      </w:pPr>
    </w:p>
    <w:p>
      <w:pPr>
        <w:pStyle w:val="31"/>
        <w:spacing w:after="0"/>
        <w:ind w:firstLine="562"/>
        <w:jc w:val="center"/>
        <w:outlineLvl w:val="1"/>
        <w:rPr>
          <w:rFonts w:hint="eastAsia" w:ascii="仿宋_GB2312" w:hAnsi="楷体" w:eastAsia="仿宋_GB2312"/>
          <w:b/>
          <w:sz w:val="28"/>
          <w:szCs w:val="28"/>
        </w:rPr>
      </w:pPr>
      <w:bookmarkStart w:id="99" w:name="_Toc80205944"/>
      <w:r>
        <w:rPr>
          <w:rFonts w:hint="eastAsia" w:ascii="仿宋_GB2312" w:hAnsi="楷体" w:eastAsia="仿宋_GB2312"/>
          <w:b/>
          <w:sz w:val="28"/>
          <w:szCs w:val="28"/>
        </w:rPr>
        <w:t>第一部分 合同书</w:t>
      </w:r>
      <w:bookmarkEnd w:id="9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仿宋" w:eastAsia="仿宋_GB2312"/>
          <w:sz w:val="24"/>
          <w:u w:val="single"/>
        </w:rPr>
        <w:t xml:space="preserve">  （采购人名称）  </w:t>
      </w:r>
      <w:r>
        <w:rPr>
          <w:rFonts w:ascii="仿宋_GB2312" w:hAnsi="仿宋" w:eastAsia="仿宋_GB2312"/>
          <w:sz w:val="24"/>
          <w:u w:val="single"/>
        </w:rPr>
        <w:t xml:space="preserve"> </w:t>
      </w:r>
      <w:r>
        <w:rPr>
          <w:rFonts w:hint="eastAsia" w:ascii="仿宋_GB2312" w:hAnsi="仿宋" w:eastAsia="仿宋_GB2312"/>
          <w:sz w:val="24"/>
        </w:rPr>
        <w:t>以</w:t>
      </w:r>
      <w:r>
        <w:rPr>
          <w:rFonts w:hint="eastAsia" w:ascii="仿宋_GB2312" w:hAnsi="仿宋" w:eastAsia="仿宋_GB2312"/>
          <w:sz w:val="24"/>
          <w:u w:val="single"/>
        </w:rPr>
        <w:t xml:space="preserve">   竞争性谈判方式  </w:t>
      </w:r>
      <w:r>
        <w:rPr>
          <w:rFonts w:hint="eastAsia" w:ascii="仿宋_GB2312" w:hAnsi="仿宋" w:eastAsia="仿宋_GB2312"/>
          <w:sz w:val="24"/>
        </w:rPr>
        <w:t>对</w:t>
      </w:r>
      <w:r>
        <w:rPr>
          <w:rFonts w:hint="eastAsia" w:ascii="仿宋_GB2312" w:hAnsi="仿宋" w:eastAsia="仿宋_GB2312"/>
          <w:sz w:val="24"/>
          <w:u w:val="single"/>
        </w:rPr>
        <w:t xml:space="preserve">        </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（供应商名称）</w:t>
      </w:r>
      <w:r>
        <w:rPr>
          <w:rFonts w:hint="eastAsia" w:ascii="仿宋_GB2312" w:hAnsi="楷体" w:eastAsia="仿宋_GB2312"/>
          <w:sz w:val="24"/>
        </w:rPr>
        <w:t>为该项目成交供应商。现于成交通知书发出之日起</w:t>
      </w:r>
      <w:r>
        <w:rPr>
          <w:rFonts w:hint="eastAsia" w:ascii="仿宋_GB2312" w:hAnsi="楷体" w:eastAsia="仿宋_GB2312"/>
          <w:sz w:val="24"/>
          <w:u w:val="single"/>
        </w:rPr>
        <w:t xml:space="preserve">    </w:t>
      </w:r>
      <w:r>
        <w:rPr>
          <w:rFonts w:hint="eastAsia" w:ascii="仿宋_GB2312" w:hAnsi="楷体" w:eastAsia="仿宋_GB2312"/>
          <w:sz w:val="24"/>
        </w:rPr>
        <w:t>日</w:t>
      </w:r>
      <w:r>
        <w:rPr>
          <w:rFonts w:hint="eastAsia" w:ascii="仿宋_GB2312" w:hAnsi="楷体" w:eastAsia="仿宋_GB2312"/>
          <w:color w:val="FF0000"/>
          <w:sz w:val="24"/>
        </w:rPr>
        <w:t>（时限根据项目情况而定，不得超过25日）</w:t>
      </w:r>
      <w:r>
        <w:rPr>
          <w:rFonts w:hint="eastAsia" w:ascii="仿宋_GB2312" w:hAnsi="楷体" w:eastAsia="仿宋_GB2312"/>
          <w:sz w:val="24"/>
        </w:rPr>
        <w:t>内，按照采购文件确定的事项签订本合同。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（采购人名称）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（中标人名称）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pPr>
        <w:spacing w:line="360" w:lineRule="auto"/>
        <w:ind w:firstLine="482" w:firstLineChars="200"/>
        <w:rPr>
          <w:rFonts w:hint="eastAsia" w:ascii="仿宋_GB2312" w:hAnsi="楷体" w:eastAsia="仿宋_GB2312"/>
          <w:b/>
          <w:sz w:val="24"/>
        </w:rPr>
      </w:pPr>
      <w:bookmarkStart w:id="100" w:name="_Toc24059"/>
      <w:bookmarkStart w:id="101" w:name="_Toc3029"/>
      <w:bookmarkStart w:id="102" w:name="_Toc2232"/>
      <w:r>
        <w:rPr>
          <w:rFonts w:hint="eastAsia" w:ascii="仿宋_GB2312" w:hAnsi="楷体" w:eastAsia="仿宋_GB2312"/>
          <w:b/>
          <w:sz w:val="24"/>
        </w:rPr>
        <w:t>1.1 合同组成部分</w:t>
      </w:r>
      <w:bookmarkEnd w:id="100"/>
      <w:bookmarkEnd w:id="101"/>
      <w:bookmarkEnd w:id="102"/>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下列文件为本合同的组成部分，并构成一个整体，需综合解释、相互补充。如果下列文件内容出现不一致的情形，在保证按照采购文件确定的事项的前提下，组成本合同的多个文件的优先适用顺序如下：</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1.1.1 本合同及其补充合同、变更协议；</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1.1.2 成交通知书；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1.1.3 采购文件及“响应报价”（含澄清或者说明文件）；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1.1.4 采购文件（含澄清或者修改文件）；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1.1.5 其他相关采购文件。</w:t>
      </w:r>
    </w:p>
    <w:p>
      <w:pPr>
        <w:spacing w:line="360" w:lineRule="auto"/>
        <w:ind w:firstLine="482" w:firstLineChars="200"/>
        <w:rPr>
          <w:rFonts w:hint="eastAsia" w:ascii="仿宋_GB2312" w:hAnsi="楷体" w:eastAsia="仿宋_GB2312"/>
          <w:b/>
          <w:sz w:val="24"/>
        </w:rPr>
      </w:pPr>
      <w:bookmarkStart w:id="103" w:name="_Toc24300"/>
      <w:bookmarkStart w:id="104" w:name="_Toc27126"/>
      <w:bookmarkStart w:id="105" w:name="_Toc21295"/>
      <w:r>
        <w:rPr>
          <w:rFonts w:hint="eastAsia" w:ascii="仿宋_GB2312" w:hAnsi="楷体" w:eastAsia="仿宋_GB2312"/>
          <w:b/>
          <w:sz w:val="24"/>
        </w:rPr>
        <w:t>1.2 标的物</w:t>
      </w:r>
      <w:bookmarkEnd w:id="103"/>
      <w:bookmarkEnd w:id="104"/>
      <w:bookmarkEnd w:id="10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 标的物1信息</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1.2.1.1名称：</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1.2.1.2数量：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1.2.1.3质量：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106" w:name="_Toc23292"/>
      <w:bookmarkStart w:id="107" w:name="_Toc21551"/>
      <w:bookmarkStart w:id="108" w:name="_Toc21631"/>
      <w:r>
        <w:rPr>
          <w:rFonts w:hint="eastAsia" w:ascii="仿宋_GB2312" w:hAnsi="楷体" w:eastAsia="仿宋_GB2312"/>
          <w:b/>
          <w:sz w:val="24"/>
        </w:rPr>
        <w:t>1.3 价款</w:t>
      </w:r>
      <w:bookmarkEnd w:id="106"/>
      <w:bookmarkEnd w:id="107"/>
      <w:bookmarkEnd w:id="108"/>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元人民币，含税）。</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分项价格：</w:t>
      </w:r>
    </w:p>
    <w:tbl>
      <w:tblPr>
        <w:tblStyle w:val="2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序号</w:t>
            </w:r>
          </w:p>
        </w:tc>
        <w:tc>
          <w:tcPr>
            <w:tcW w:w="3402" w:type="dxa"/>
            <w:vAlign w:val="center"/>
          </w:tcPr>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分项名称</w:t>
            </w:r>
          </w:p>
        </w:tc>
        <w:tc>
          <w:tcPr>
            <w:tcW w:w="2552" w:type="dxa"/>
            <w:vAlign w:val="center"/>
          </w:tcPr>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480" w:firstLineChars="200"/>
              <w:rPr>
                <w:rFonts w:hint="eastAsia" w:ascii="仿宋_GB2312" w:hAnsi="楷体" w:eastAsia="仿宋_GB2312"/>
                <w:sz w:val="24"/>
              </w:rPr>
            </w:pPr>
          </w:p>
        </w:tc>
        <w:tc>
          <w:tcPr>
            <w:tcW w:w="3402" w:type="dxa"/>
            <w:vAlign w:val="center"/>
          </w:tcPr>
          <w:p>
            <w:pPr>
              <w:spacing w:line="360" w:lineRule="auto"/>
              <w:ind w:firstLine="480" w:firstLineChars="200"/>
              <w:rPr>
                <w:rFonts w:hint="eastAsia" w:ascii="仿宋_GB2312" w:hAnsi="楷体" w:eastAsia="仿宋_GB2312"/>
                <w:sz w:val="24"/>
              </w:rPr>
            </w:pPr>
          </w:p>
        </w:tc>
        <w:tc>
          <w:tcPr>
            <w:tcW w:w="2552" w:type="dxa"/>
            <w:vAlign w:val="center"/>
          </w:tcPr>
          <w:p>
            <w:pPr>
              <w:spacing w:line="360" w:lineRule="auto"/>
              <w:ind w:firstLine="480" w:firstLineChars="200"/>
              <w:rPr>
                <w:rFonts w:hint="eastAsia"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480" w:firstLineChars="200"/>
              <w:rPr>
                <w:rFonts w:hint="eastAsia" w:ascii="仿宋_GB2312" w:hAnsi="楷体" w:eastAsia="仿宋_GB2312"/>
                <w:sz w:val="24"/>
              </w:rPr>
            </w:pPr>
          </w:p>
        </w:tc>
        <w:tc>
          <w:tcPr>
            <w:tcW w:w="3402" w:type="dxa"/>
            <w:vAlign w:val="center"/>
          </w:tcPr>
          <w:p>
            <w:pPr>
              <w:spacing w:line="360" w:lineRule="auto"/>
              <w:ind w:firstLine="480" w:firstLineChars="200"/>
              <w:rPr>
                <w:rFonts w:hint="eastAsia" w:ascii="仿宋_GB2312" w:hAnsi="楷体" w:eastAsia="仿宋_GB2312"/>
                <w:sz w:val="24"/>
              </w:rPr>
            </w:pPr>
          </w:p>
        </w:tc>
        <w:tc>
          <w:tcPr>
            <w:tcW w:w="2552" w:type="dxa"/>
            <w:vAlign w:val="center"/>
          </w:tcPr>
          <w:p>
            <w:pPr>
              <w:spacing w:line="360" w:lineRule="auto"/>
              <w:ind w:firstLine="480" w:firstLineChars="200"/>
              <w:rPr>
                <w:rFonts w:hint="eastAsia"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480" w:firstLineChars="200"/>
              <w:rPr>
                <w:rFonts w:hint="eastAsia" w:ascii="仿宋_GB2312" w:hAnsi="楷体" w:eastAsia="仿宋_GB2312"/>
                <w:sz w:val="24"/>
              </w:rPr>
            </w:pPr>
          </w:p>
        </w:tc>
        <w:tc>
          <w:tcPr>
            <w:tcW w:w="3402" w:type="dxa"/>
            <w:vAlign w:val="center"/>
          </w:tcPr>
          <w:p>
            <w:pPr>
              <w:spacing w:line="360" w:lineRule="auto"/>
              <w:ind w:firstLine="480" w:firstLineChars="200"/>
              <w:rPr>
                <w:rFonts w:hint="eastAsia" w:ascii="仿宋_GB2312" w:hAnsi="楷体" w:eastAsia="仿宋_GB2312"/>
                <w:sz w:val="24"/>
              </w:rPr>
            </w:pPr>
          </w:p>
        </w:tc>
        <w:tc>
          <w:tcPr>
            <w:tcW w:w="2552" w:type="dxa"/>
            <w:vAlign w:val="center"/>
          </w:tcPr>
          <w:p>
            <w:pPr>
              <w:spacing w:line="360" w:lineRule="auto"/>
              <w:ind w:firstLine="480" w:firstLineChars="200"/>
              <w:rPr>
                <w:rFonts w:hint="eastAsia"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总价</w:t>
            </w:r>
          </w:p>
        </w:tc>
        <w:tc>
          <w:tcPr>
            <w:tcW w:w="2552" w:type="dxa"/>
            <w:vAlign w:val="center"/>
          </w:tcPr>
          <w:p>
            <w:pPr>
              <w:spacing w:line="360" w:lineRule="auto"/>
              <w:ind w:firstLine="480" w:firstLineChars="200"/>
              <w:rPr>
                <w:rFonts w:hint="eastAsia" w:ascii="仿宋_GB2312" w:hAnsi="楷体" w:eastAsia="仿宋_GB2312"/>
                <w:sz w:val="24"/>
              </w:rPr>
            </w:pPr>
          </w:p>
        </w:tc>
      </w:tr>
    </w:tbl>
    <w:p>
      <w:pPr>
        <w:spacing w:line="360" w:lineRule="auto"/>
        <w:ind w:firstLine="482" w:firstLineChars="200"/>
        <w:rPr>
          <w:rFonts w:hint="eastAsia" w:ascii="仿宋_GB2312" w:hAnsi="楷体" w:eastAsia="仿宋_GB2312"/>
          <w:b/>
          <w:sz w:val="24"/>
        </w:rPr>
      </w:pPr>
      <w:bookmarkStart w:id="109" w:name="_Toc22618"/>
      <w:bookmarkStart w:id="110" w:name="_Toc10340"/>
      <w:bookmarkStart w:id="111" w:name="_Toc1814"/>
      <w:r>
        <w:rPr>
          <w:rFonts w:hint="eastAsia" w:ascii="仿宋_GB2312" w:hAnsi="楷体" w:eastAsia="仿宋_GB2312"/>
          <w:b/>
          <w:sz w:val="24"/>
        </w:rPr>
        <w:t>1.4 付款方式和发票开具方式</w:t>
      </w:r>
      <w:bookmarkEnd w:id="109"/>
      <w:bookmarkEnd w:id="110"/>
      <w:bookmarkEnd w:id="111"/>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112" w:name="_Toc19304"/>
      <w:bookmarkStart w:id="113" w:name="_Toc2846"/>
      <w:bookmarkStart w:id="114" w:name="_Toc32071"/>
      <w:r>
        <w:rPr>
          <w:rFonts w:hint="eastAsia" w:ascii="仿宋_GB2312" w:hAnsi="楷体" w:eastAsia="仿宋_GB2312"/>
          <w:b/>
          <w:sz w:val="24"/>
        </w:rPr>
        <w:t>1.5 标的物交付期限、地点、方式</w:t>
      </w:r>
      <w:bookmarkEnd w:id="112"/>
      <w:bookmarkEnd w:id="113"/>
      <w:bookmarkEnd w:id="114"/>
      <w:r>
        <w:rPr>
          <w:rFonts w:hint="eastAsia" w:ascii="仿宋_GB2312" w:hAnsi="楷体" w:eastAsia="仿宋_GB2312"/>
          <w:b/>
          <w:sz w:val="24"/>
        </w:rPr>
        <w:t>和货物期限</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w:t>
      </w:r>
      <w:r>
        <w:rPr>
          <w:rFonts w:ascii="仿宋_GB2312" w:hAnsi="楷体" w:eastAsia="仿宋_GB2312"/>
          <w:sz w:val="24"/>
        </w:rPr>
        <w:t>4</w:t>
      </w:r>
      <w:r>
        <w:rPr>
          <w:rFonts w:hint="eastAsia" w:ascii="仿宋_GB2312" w:hAnsi="楷体" w:eastAsia="仿宋_GB2312"/>
          <w:sz w:val="24"/>
        </w:rPr>
        <w:t xml:space="preserve"> 货物及质保期限：</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115" w:name="_Toc21423"/>
      <w:bookmarkStart w:id="116" w:name="_Toc19554"/>
      <w:bookmarkStart w:id="117" w:name="_Toc27250"/>
      <w:r>
        <w:rPr>
          <w:rFonts w:hint="eastAsia" w:ascii="仿宋_GB2312" w:hAnsi="楷体" w:eastAsia="仿宋_GB2312"/>
          <w:b/>
          <w:sz w:val="24"/>
        </w:rPr>
        <w:t>1.6 违约责任</w:t>
      </w:r>
      <w:bookmarkEnd w:id="115"/>
      <w:bookmarkEnd w:id="116"/>
      <w:bookmarkEnd w:id="117"/>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 xml:space="preserve">；迟延超过【 </w:t>
      </w:r>
      <w:r>
        <w:rPr>
          <w:rFonts w:ascii="仿宋_GB2312" w:hAnsi="楷体" w:eastAsia="仿宋_GB2312"/>
          <w:sz w:val="24"/>
        </w:rPr>
        <w:t xml:space="preserve"> </w:t>
      </w:r>
      <w:r>
        <w:rPr>
          <w:rFonts w:hint="eastAsia" w:ascii="仿宋_GB2312" w:hAnsi="楷体" w:eastAsia="仿宋_GB2312"/>
          <w:sz w:val="24"/>
        </w:rPr>
        <w:t>】日的，甲方有权在要求乙方支付违约金的同时，书面通知乙方解除本合同，乙方应退回全部已收取的合同价款并按合同总金额的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向甲方支付违约金；</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计算，最高限额为欠付金额的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left="239" w:leftChars="114" w:firstLine="240" w:firstLineChars="100"/>
        <w:rPr>
          <w:rFonts w:hint="eastAsia" w:ascii="仿宋" w:hAnsi="仿宋" w:eastAsia="仿宋" w:cs="仿宋"/>
          <w:sz w:val="24"/>
        </w:rPr>
      </w:pPr>
      <w:r>
        <w:rPr>
          <w:rFonts w:hint="eastAsia" w:ascii="仿宋_GB2312" w:hAnsi="楷体" w:eastAsia="仿宋_GB2312"/>
          <w:sz w:val="24"/>
        </w:rPr>
        <w:t>1.6.4</w:t>
      </w:r>
      <w:r>
        <w:rPr>
          <w:rFonts w:hint="eastAsia" w:ascii="仿宋" w:hAnsi="仿宋" w:eastAsia="仿宋" w:cs="仿宋"/>
          <w:sz w:val="24"/>
        </w:rPr>
        <w:t>乙方在质保期内未按承诺提供售后等货物的，每发生一次向甲方支付</w:t>
      </w:r>
      <w:r>
        <w:rPr>
          <w:rFonts w:hint="eastAsia" w:ascii="仿宋" w:hAnsi="仿宋" w:eastAsia="仿宋" w:cs="仿宋"/>
          <w:sz w:val="24"/>
          <w:u w:val="single"/>
        </w:rPr>
        <w:t xml:space="preserve">  </w:t>
      </w:r>
      <w:r>
        <w:rPr>
          <w:rFonts w:hint="eastAsia" w:ascii="仿宋" w:hAnsi="仿宋" w:eastAsia="仿宋" w:cs="仿宋"/>
          <w:sz w:val="24"/>
        </w:rPr>
        <w:t>元</w:t>
      </w:r>
      <w:r>
        <w:rPr>
          <w:rFonts w:hint="eastAsia" w:ascii="仿宋_GB2312" w:hAnsi="楷体" w:eastAsia="仿宋_GB2312"/>
          <w:color w:val="FF0000"/>
          <w:sz w:val="24"/>
        </w:rPr>
        <w:t>（根据项目实际填写，一般为2000元）</w:t>
      </w:r>
      <w:r>
        <w:rPr>
          <w:rFonts w:hint="eastAsia" w:ascii="仿宋" w:hAnsi="仿宋" w:eastAsia="仿宋" w:cs="仿宋"/>
          <w:sz w:val="24"/>
        </w:rPr>
        <w:t>的违约金。</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1.6.7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hint="eastAsia" w:ascii="仿宋_GB2312" w:hAnsi="楷体" w:eastAsia="仿宋_GB2312"/>
          <w:b/>
          <w:sz w:val="24"/>
        </w:rPr>
      </w:pPr>
      <w:bookmarkStart w:id="118" w:name="_Toc28375"/>
      <w:bookmarkStart w:id="119" w:name="_Toc16021"/>
      <w:bookmarkStart w:id="120" w:name="_Toc15583"/>
      <w:r>
        <w:rPr>
          <w:rFonts w:hint="eastAsia" w:ascii="仿宋_GB2312" w:hAnsi="楷体" w:eastAsia="仿宋_GB2312"/>
          <w:b/>
          <w:sz w:val="24"/>
        </w:rPr>
        <w:t>1.7 合同争议的解决</w:t>
      </w:r>
      <w:bookmarkEnd w:id="118"/>
      <w:bookmarkEnd w:id="119"/>
      <w:bookmarkEnd w:id="12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南宁</w:t>
      </w:r>
      <w:r>
        <w:rPr>
          <w:rFonts w:hint="eastAsia" w:ascii="仿宋_GB2312" w:hAnsi="楷体" w:eastAsia="仿宋_GB2312"/>
          <w:sz w:val="24"/>
        </w:rPr>
        <w:t>仲裁委员会依申请仲裁时其现行有效的仲裁规则裁决；</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w:t>
      </w:r>
      <w:r>
        <w:rPr>
          <w:rFonts w:hint="eastAsia" w:ascii="仿宋_GB2312" w:hAnsi="楷体" w:eastAsia="仿宋_GB2312"/>
          <w:sz w:val="24"/>
        </w:rPr>
        <w:t>人民法院起诉。</w:t>
      </w:r>
    </w:p>
    <w:p>
      <w:pPr>
        <w:spacing w:line="360" w:lineRule="auto"/>
        <w:ind w:firstLine="482" w:firstLineChars="200"/>
        <w:rPr>
          <w:rFonts w:hint="eastAsia" w:ascii="仿宋_GB2312" w:hAnsi="楷体" w:eastAsia="仿宋_GB2312"/>
          <w:b/>
          <w:sz w:val="24"/>
        </w:rPr>
      </w:pPr>
      <w:bookmarkStart w:id="121" w:name="_Toc11173"/>
      <w:bookmarkStart w:id="122" w:name="_Toc7245"/>
      <w:bookmarkStart w:id="123" w:name="_Toc15322"/>
      <w:r>
        <w:rPr>
          <w:rFonts w:hint="eastAsia" w:ascii="仿宋_GB2312" w:hAnsi="楷体" w:eastAsia="仿宋_GB2312"/>
          <w:b/>
          <w:sz w:val="24"/>
        </w:rPr>
        <w:t>1.8 合同生效</w:t>
      </w:r>
      <w:bookmarkEnd w:id="121"/>
      <w:bookmarkEnd w:id="122"/>
      <w:bookmarkEnd w:id="123"/>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本合同自双方当事人加盖有效电子公章时生效。</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甲方：                                   乙方：</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pPr>
        <w:spacing w:line="360" w:lineRule="auto"/>
        <w:ind w:firstLine="200"/>
        <w:rPr>
          <w:rFonts w:hint="eastAsia" w:ascii="仿宋_GB2312" w:hAnsi="楷体" w:eastAsia="仿宋_GB2312"/>
          <w:sz w:val="24"/>
          <w:lang w:val="zh-CN"/>
        </w:rPr>
      </w:pP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住所：                                   住所：</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法定代表人或                             法定代表人</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联系人：                                 联系人：</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约定送达地址：                           约定送达地址：</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邮政编码：                               邮政编码：</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电话:                                    电话: </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传真:                                    传真:</w:t>
      </w:r>
    </w:p>
    <w:p>
      <w:pPr>
        <w:spacing w:line="360" w:lineRule="auto"/>
        <w:ind w:firstLine="200"/>
        <w:rPr>
          <w:rFonts w:hint="eastAsia" w:ascii="仿宋_GB2312" w:hAnsi="楷体" w:eastAsia="仿宋_GB2312"/>
          <w:sz w:val="24"/>
        </w:rPr>
      </w:pPr>
      <w:r>
        <w:rPr>
          <w:rFonts w:hint="eastAsia" w:ascii="仿宋_GB2312" w:hAnsi="楷体" w:eastAsia="仿宋_GB2312"/>
          <w:sz w:val="24"/>
          <w:lang w:val="zh-CN"/>
        </w:rPr>
        <w:t>电子邮箱：                               电子邮箱：</w:t>
      </w:r>
    </w:p>
    <w:p>
      <w:pPr>
        <w:spacing w:line="360" w:lineRule="auto"/>
        <w:ind w:firstLine="200"/>
        <w:rPr>
          <w:rFonts w:hint="eastAsia" w:ascii="仿宋_GB2312" w:hAnsi="楷体" w:eastAsia="仿宋_GB2312"/>
          <w:sz w:val="24"/>
        </w:rPr>
      </w:pPr>
      <w:r>
        <w:rPr>
          <w:rFonts w:hint="eastAsia" w:ascii="仿宋_GB2312" w:hAnsi="楷体" w:eastAsia="仿宋_GB2312"/>
          <w:sz w:val="24"/>
        </w:rPr>
        <w:t xml:space="preserve">开户银行：                               开户银行： </w:t>
      </w:r>
    </w:p>
    <w:p>
      <w:pPr>
        <w:spacing w:line="360" w:lineRule="auto"/>
        <w:ind w:firstLine="200"/>
        <w:rPr>
          <w:rFonts w:hint="eastAsia" w:ascii="仿宋_GB2312" w:hAnsi="楷体" w:eastAsia="仿宋_GB2312"/>
          <w:sz w:val="24"/>
        </w:rPr>
      </w:pPr>
      <w:r>
        <w:rPr>
          <w:rFonts w:hint="eastAsia" w:ascii="仿宋_GB2312" w:hAnsi="楷体" w:eastAsia="仿宋_GB2312"/>
          <w:sz w:val="24"/>
        </w:rPr>
        <w:t xml:space="preserve">开户名称：                               开户名称： </w:t>
      </w:r>
    </w:p>
    <w:p>
      <w:pPr>
        <w:spacing w:line="360" w:lineRule="auto"/>
        <w:ind w:firstLine="200"/>
        <w:rPr>
          <w:rFonts w:hint="eastAsia"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pPr>
        <w:pStyle w:val="31"/>
        <w:spacing w:after="0"/>
        <w:ind w:firstLine="482"/>
        <w:jc w:val="center"/>
        <w:outlineLvl w:val="1"/>
        <w:rPr>
          <w:rFonts w:hint="eastAsia" w:ascii="仿宋_GB2312" w:hAnsi="楷体" w:eastAsia="仿宋_GB2312"/>
          <w:b/>
          <w:sz w:val="28"/>
          <w:szCs w:val="28"/>
        </w:rPr>
      </w:pPr>
      <w:bookmarkStart w:id="124" w:name="_Toc331685783"/>
      <w:r>
        <w:rPr>
          <w:rFonts w:hint="eastAsia" w:ascii="仿宋_GB2312" w:hAnsi="楷体" w:eastAsia="仿宋_GB2312"/>
          <w:b/>
        </w:rPr>
        <w:br w:type="page"/>
      </w:r>
      <w:bookmarkStart w:id="125" w:name="_Toc80205945"/>
      <w:r>
        <w:rPr>
          <w:rFonts w:hint="eastAsia" w:ascii="仿宋_GB2312" w:hAnsi="楷体" w:eastAsia="仿宋_GB2312"/>
          <w:b/>
          <w:sz w:val="28"/>
          <w:szCs w:val="28"/>
        </w:rPr>
        <w:t>第二部分 合同一般条款</w:t>
      </w:r>
      <w:bookmarkEnd w:id="124"/>
      <w:bookmarkEnd w:id="125"/>
    </w:p>
    <w:p>
      <w:pPr>
        <w:spacing w:line="360" w:lineRule="auto"/>
        <w:ind w:firstLine="482" w:firstLineChars="200"/>
        <w:rPr>
          <w:rFonts w:hint="eastAsia" w:ascii="仿宋_GB2312" w:hAnsi="楷体" w:eastAsia="仿宋_GB2312"/>
          <w:b/>
          <w:sz w:val="24"/>
        </w:rPr>
      </w:pPr>
      <w:bookmarkStart w:id="126" w:name="_Ref467378463"/>
      <w:bookmarkStart w:id="127" w:name="_Ref467379101"/>
      <w:bookmarkStart w:id="128" w:name="_Toc28763"/>
      <w:bookmarkStart w:id="129" w:name="_Ref467379225"/>
      <w:bookmarkStart w:id="130" w:name="_Ref467379214"/>
      <w:bookmarkStart w:id="131" w:name="_Toc279701240"/>
      <w:bookmarkStart w:id="132" w:name="_Ref467379094"/>
      <w:bookmarkStart w:id="133" w:name="_Ref467379205"/>
      <w:bookmarkStart w:id="134" w:name="_Ref467379109"/>
      <w:bookmarkStart w:id="135" w:name="_Ref467378499"/>
      <w:bookmarkStart w:id="136" w:name="_Toc259093669"/>
      <w:bookmarkStart w:id="137" w:name="_Toc16917"/>
      <w:bookmarkStart w:id="138" w:name="_Toc19614"/>
      <w:bookmarkStart w:id="139" w:name="_Ref467379195"/>
      <w:bookmarkStart w:id="140" w:name="_Toc487900349"/>
      <w:bookmarkStart w:id="141" w:name="_Ref467378404"/>
      <w:r>
        <w:rPr>
          <w:rFonts w:hint="eastAsia" w:ascii="仿宋_GB2312" w:hAnsi="楷体" w:eastAsia="仿宋_GB2312"/>
          <w:b/>
          <w:sz w:val="24"/>
        </w:rPr>
        <w:t>2.1 定义</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本合同中的下列词语应按以下内容进行解释：</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 “合同”系指采购人和中标人签订的载明双方当事人所达成的协议，并包括所有的附件、附录和构成合同的其他文件。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2.1.2 “合同价”系指根据合同约定，中标人在完全履行合同义务后，采购人应支付给中标人的价格。</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pPr>
        <w:spacing w:line="360" w:lineRule="auto"/>
        <w:ind w:firstLine="480" w:firstLineChars="200"/>
        <w:rPr>
          <w:rFonts w:hint="eastAsia" w:ascii="仿宋_GB2312" w:hAnsi="楷体" w:eastAsia="仿宋_GB2312"/>
          <w:sz w:val="24"/>
        </w:rPr>
      </w:pPr>
      <w:bookmarkStart w:id="142" w:name="_Ref467378840"/>
      <w:r>
        <w:rPr>
          <w:rFonts w:hint="eastAsia" w:ascii="仿宋_GB2312" w:hAnsi="楷体" w:eastAsia="仿宋_GB2312"/>
          <w:sz w:val="24"/>
        </w:rPr>
        <w:t>2.1.4 “甲方”系指与中标人签署合同的采购人</w:t>
      </w:r>
      <w:bookmarkEnd w:id="142"/>
      <w:r>
        <w:rPr>
          <w:rFonts w:hint="eastAsia" w:ascii="仿宋_GB2312" w:hAnsi="楷体" w:eastAsia="仿宋_GB2312"/>
          <w:sz w:val="24"/>
        </w:rPr>
        <w:t>；采购人委托采购机构代表其与乙方签订合同的，采购人的授权委托书作为合同附件。</w:t>
      </w:r>
    </w:p>
    <w:p>
      <w:pPr>
        <w:spacing w:line="360" w:lineRule="auto"/>
        <w:ind w:firstLine="480" w:firstLineChars="200"/>
        <w:rPr>
          <w:rFonts w:hint="eastAsia" w:ascii="仿宋_GB2312" w:hAnsi="楷体" w:eastAsia="仿宋_GB2312"/>
          <w:sz w:val="24"/>
        </w:rPr>
      </w:pPr>
      <w:bookmarkStart w:id="143" w:name="_Ref467379400"/>
      <w:r>
        <w:rPr>
          <w:rFonts w:hint="eastAsia" w:ascii="仿宋_GB2312" w:hAnsi="楷体" w:eastAsia="仿宋_GB2312"/>
          <w:sz w:val="24"/>
        </w:rPr>
        <w:t>2.1.5 “乙方”系指根据合同约定交付标的物的</w:t>
      </w:r>
      <w:bookmarkEnd w:id="143"/>
      <w:r>
        <w:rPr>
          <w:rFonts w:hint="eastAsia" w:ascii="仿宋_GB2312" w:hAnsi="楷体" w:eastAsia="仿宋_GB2312"/>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_GB2312" w:hAnsi="楷体" w:eastAsia="仿宋_GB2312"/>
          <w:sz w:val="24"/>
        </w:rPr>
      </w:pPr>
      <w:bookmarkStart w:id="144" w:name="_Ref467379436"/>
      <w:r>
        <w:rPr>
          <w:rFonts w:hint="eastAsia" w:ascii="仿宋_GB2312" w:hAnsi="楷体" w:eastAsia="仿宋_GB2312"/>
          <w:sz w:val="24"/>
        </w:rPr>
        <w:t>2.1.6 “现场”系指合同约定标的物将要运至或者实施或者安装的地点。</w:t>
      </w:r>
      <w:bookmarkEnd w:id="144"/>
    </w:p>
    <w:p>
      <w:pPr>
        <w:spacing w:line="360" w:lineRule="auto"/>
        <w:ind w:firstLine="482" w:firstLineChars="200"/>
        <w:rPr>
          <w:rFonts w:hint="eastAsia" w:ascii="仿宋_GB2312" w:hAnsi="楷体" w:eastAsia="仿宋_GB2312"/>
          <w:b/>
          <w:sz w:val="24"/>
        </w:rPr>
      </w:pPr>
      <w:bookmarkStart w:id="145" w:name="_Toc279701241"/>
      <w:bookmarkStart w:id="146" w:name="_Toc32504"/>
      <w:bookmarkStart w:id="147" w:name="_Toc13336"/>
      <w:bookmarkStart w:id="148" w:name="_Toc487900350"/>
      <w:bookmarkStart w:id="149" w:name="_Toc259093670"/>
      <w:bookmarkStart w:id="150" w:name="_Toc27635"/>
      <w:r>
        <w:rPr>
          <w:rFonts w:hint="eastAsia" w:ascii="仿宋_GB2312" w:hAnsi="楷体" w:eastAsia="仿宋_GB2312"/>
          <w:b/>
          <w:sz w:val="24"/>
        </w:rPr>
        <w:t>2.2 技术规范</w:t>
      </w:r>
      <w:bookmarkEnd w:id="145"/>
      <w:bookmarkEnd w:id="146"/>
      <w:bookmarkEnd w:id="147"/>
      <w:bookmarkEnd w:id="148"/>
      <w:bookmarkEnd w:id="149"/>
      <w:bookmarkEnd w:id="15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pPr>
        <w:spacing w:line="360" w:lineRule="auto"/>
        <w:ind w:firstLine="482" w:firstLineChars="200"/>
        <w:rPr>
          <w:rFonts w:hint="eastAsia" w:ascii="仿宋_GB2312" w:hAnsi="楷体" w:eastAsia="仿宋_GB2312"/>
          <w:b/>
          <w:sz w:val="24"/>
        </w:rPr>
      </w:pPr>
      <w:bookmarkStart w:id="151" w:name="_Toc487900351"/>
      <w:bookmarkStart w:id="152" w:name="_Toc279701242"/>
      <w:bookmarkStart w:id="153" w:name="_Toc259093671"/>
      <w:bookmarkStart w:id="154" w:name="_Toc9829"/>
      <w:bookmarkStart w:id="155" w:name="_Toc31634"/>
      <w:bookmarkStart w:id="156" w:name="_Toc27853"/>
      <w:r>
        <w:rPr>
          <w:rFonts w:hint="eastAsia" w:ascii="仿宋_GB2312" w:hAnsi="楷体" w:eastAsia="仿宋_GB2312"/>
          <w:b/>
          <w:sz w:val="24"/>
        </w:rPr>
        <w:t>2.3 知识产权</w:t>
      </w:r>
      <w:bookmarkEnd w:id="151"/>
      <w:bookmarkEnd w:id="152"/>
      <w:bookmarkEnd w:id="153"/>
      <w:bookmarkEnd w:id="154"/>
      <w:bookmarkEnd w:id="155"/>
      <w:bookmarkEnd w:id="156"/>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157" w:name="_Toc11932"/>
      <w:bookmarkStart w:id="158" w:name="_Toc4194"/>
      <w:bookmarkStart w:id="159" w:name="_Toc29149"/>
      <w:r>
        <w:rPr>
          <w:rFonts w:hint="eastAsia" w:ascii="仿宋_GB2312" w:hAnsi="楷体" w:eastAsia="仿宋_GB2312"/>
          <w:b/>
          <w:sz w:val="24"/>
        </w:rPr>
        <w:t>2.4 包装和装运</w:t>
      </w:r>
      <w:bookmarkEnd w:id="157"/>
      <w:bookmarkEnd w:id="158"/>
      <w:bookmarkEnd w:id="15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160" w:name="_Ref467378591"/>
      <w:bookmarkStart w:id="161" w:name="_Ref467379527"/>
      <w:bookmarkStart w:id="162" w:name="_Ref467379536"/>
      <w:bookmarkStart w:id="163" w:name="_Toc279701245"/>
      <w:bookmarkStart w:id="164" w:name="_Ref467379542"/>
      <w:bookmarkStart w:id="165" w:name="_Toc487900354"/>
      <w:bookmarkStart w:id="166" w:name="_Toc259093674"/>
      <w:bookmarkStart w:id="167" w:name="_Ref467378541"/>
      <w:bookmarkStart w:id="168" w:name="_Toc30272"/>
      <w:bookmarkStart w:id="169" w:name="_Toc19074"/>
      <w:bookmarkStart w:id="170" w:name="_Toc26182"/>
      <w:r>
        <w:rPr>
          <w:rFonts w:hint="eastAsia" w:ascii="仿宋_GB2312" w:hAnsi="楷体" w:eastAsia="仿宋_GB2312"/>
          <w:b/>
          <w:sz w:val="24"/>
        </w:rPr>
        <w:t>2.</w:t>
      </w:r>
      <w:bookmarkEnd w:id="160"/>
      <w:bookmarkEnd w:id="161"/>
      <w:bookmarkEnd w:id="162"/>
      <w:bookmarkEnd w:id="163"/>
      <w:bookmarkEnd w:id="164"/>
      <w:bookmarkEnd w:id="165"/>
      <w:bookmarkEnd w:id="166"/>
      <w:bookmarkEnd w:id="167"/>
      <w:r>
        <w:rPr>
          <w:rFonts w:hint="eastAsia" w:ascii="仿宋_GB2312" w:hAnsi="楷体" w:eastAsia="仿宋_GB2312"/>
          <w:b/>
          <w:sz w:val="24"/>
        </w:rPr>
        <w:t>5 履约检查和问题反馈</w:t>
      </w:r>
      <w:bookmarkEnd w:id="168"/>
      <w:bookmarkEnd w:id="169"/>
      <w:bookmarkEnd w:id="170"/>
    </w:p>
    <w:p>
      <w:pPr>
        <w:spacing w:line="360" w:lineRule="auto"/>
        <w:ind w:firstLine="480" w:firstLineChars="200"/>
        <w:rPr>
          <w:rFonts w:hint="eastAsia" w:ascii="仿宋_GB2312" w:hAnsi="楷体" w:eastAsia="仿宋_GB2312"/>
          <w:sz w:val="24"/>
        </w:rPr>
      </w:pPr>
      <w:bookmarkStart w:id="171" w:name="_Ref467379657"/>
      <w:r>
        <w:rPr>
          <w:rFonts w:hint="eastAsia" w:ascii="仿宋_GB2312" w:hAnsi="楷体" w:eastAsia="仿宋_GB2312"/>
          <w:sz w:val="24"/>
        </w:rPr>
        <w:t>2.5.1</w:t>
      </w:r>
      <w:bookmarkEnd w:id="171"/>
      <w:bookmarkStart w:id="172" w:name="_Toc186431854"/>
      <w:bookmarkStart w:id="173" w:name="_Ref467379807"/>
      <w:bookmarkStart w:id="174" w:name="_Toc487900357"/>
      <w:bookmarkStart w:id="175" w:name="_Ref467379793"/>
      <w:bookmarkStart w:id="176" w:name="_Toc279701247"/>
      <w:bookmarkStart w:id="177" w:name="_Toc259093676"/>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172"/>
      <w:bookmarkStart w:id="178" w:name="_Toc186431855"/>
      <w:r>
        <w:rPr>
          <w:rFonts w:hint="eastAsia" w:ascii="仿宋_GB2312" w:hAnsi="楷体" w:eastAsia="仿宋_GB2312"/>
          <w:sz w:val="24"/>
        </w:rPr>
        <w:t>。</w:t>
      </w:r>
    </w:p>
    <w:bookmarkEnd w:id="178"/>
    <w:p>
      <w:pPr>
        <w:spacing w:line="360" w:lineRule="auto"/>
        <w:ind w:firstLine="482" w:firstLineChars="200"/>
        <w:rPr>
          <w:rFonts w:hint="eastAsia" w:ascii="仿宋_GB2312" w:hAnsi="楷体" w:eastAsia="仿宋_GB2312"/>
          <w:b/>
          <w:sz w:val="24"/>
        </w:rPr>
      </w:pPr>
      <w:bookmarkStart w:id="179" w:name="_Toc28451"/>
      <w:bookmarkStart w:id="180" w:name="_Toc19219"/>
      <w:bookmarkStart w:id="181" w:name="_Toc7836"/>
      <w:r>
        <w:rPr>
          <w:rFonts w:hint="eastAsia" w:ascii="仿宋_GB2312" w:hAnsi="楷体" w:eastAsia="仿宋_GB2312"/>
          <w:b/>
          <w:sz w:val="24"/>
        </w:rPr>
        <w:t>2.6 结算方式和付款条件</w:t>
      </w:r>
      <w:bookmarkEnd w:id="173"/>
      <w:bookmarkEnd w:id="174"/>
      <w:bookmarkEnd w:id="175"/>
      <w:bookmarkEnd w:id="176"/>
      <w:bookmarkEnd w:id="177"/>
      <w:bookmarkEnd w:id="179"/>
      <w:bookmarkEnd w:id="180"/>
      <w:bookmarkEnd w:id="181"/>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182" w:name="_Ref467379923"/>
      <w:bookmarkStart w:id="183" w:name="_Toc279701248"/>
      <w:bookmarkStart w:id="184" w:name="_Ref467379863"/>
      <w:bookmarkStart w:id="185" w:name="_Toc259093677"/>
      <w:bookmarkStart w:id="186" w:name="_Toc487900358"/>
      <w:bookmarkStart w:id="187" w:name="_Ref467379852"/>
      <w:bookmarkStart w:id="188" w:name="_Toc774"/>
      <w:bookmarkStart w:id="189" w:name="_Toc16110"/>
      <w:bookmarkStart w:id="190" w:name="_Toc3225"/>
      <w:r>
        <w:rPr>
          <w:rFonts w:hint="eastAsia" w:ascii="仿宋_GB2312" w:hAnsi="楷体" w:eastAsia="仿宋_GB2312"/>
          <w:b/>
          <w:sz w:val="24"/>
        </w:rPr>
        <w:t>2.7 技术资料</w:t>
      </w:r>
      <w:bookmarkEnd w:id="182"/>
      <w:bookmarkEnd w:id="183"/>
      <w:bookmarkEnd w:id="184"/>
      <w:bookmarkEnd w:id="185"/>
      <w:bookmarkEnd w:id="186"/>
      <w:bookmarkEnd w:id="187"/>
      <w:r>
        <w:rPr>
          <w:rFonts w:hint="eastAsia" w:ascii="仿宋_GB2312" w:hAnsi="楷体" w:eastAsia="仿宋_GB2312"/>
          <w:b/>
          <w:sz w:val="24"/>
        </w:rPr>
        <w:t>和保密义务</w:t>
      </w:r>
      <w:bookmarkEnd w:id="188"/>
      <w:bookmarkEnd w:id="189"/>
      <w:bookmarkEnd w:id="19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2.7.2 乙方有义务妥善保管和保护由甲方提供的前款信息和资料等；</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rPr>
          <w:rFonts w:hint="eastAsia" w:ascii="仿宋_GB2312" w:hAnsi="楷体" w:eastAsia="仿宋_GB2312"/>
          <w:b/>
          <w:sz w:val="24"/>
        </w:rPr>
      </w:pPr>
      <w:bookmarkStart w:id="191" w:name="_Toc7860"/>
      <w:r>
        <w:rPr>
          <w:rFonts w:hint="eastAsia" w:ascii="仿宋_GB2312" w:hAnsi="楷体" w:eastAsia="仿宋_GB2312"/>
          <w:b/>
          <w:sz w:val="24"/>
        </w:rPr>
        <w:t>2.8 质量保证</w:t>
      </w:r>
      <w:bookmarkEnd w:id="191"/>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pPr>
        <w:spacing w:line="360" w:lineRule="auto"/>
        <w:ind w:firstLine="480" w:firstLineChars="200"/>
        <w:rPr>
          <w:rFonts w:hint="eastAsia" w:ascii="仿宋_GB2312" w:hAnsi="仿宋" w:eastAsia="仿宋_GB2312" w:cs="仿宋_GB2312"/>
          <w:kern w:val="0"/>
          <w:sz w:val="24"/>
        </w:rPr>
      </w:pPr>
      <w:r>
        <w:rPr>
          <w:rFonts w:hint="eastAsia" w:ascii="仿宋_GB2312" w:hAnsi="仿宋" w:eastAsia="仿宋_GB2312"/>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rPr>
        <w:t>甲方有权放弃或终止合同。</w:t>
      </w:r>
    </w:p>
    <w:p>
      <w:pPr>
        <w:spacing w:line="360" w:lineRule="auto"/>
        <w:ind w:firstLine="480" w:firstLineChars="200"/>
        <w:rPr>
          <w:rFonts w:hint="eastAsia" w:ascii="仿宋_GB2312" w:hAnsi="楷体" w:eastAsia="仿宋_GB2312"/>
          <w:sz w:val="24"/>
        </w:rPr>
      </w:pPr>
      <w:r>
        <w:rPr>
          <w:rFonts w:hint="eastAsia" w:ascii="仿宋_GB2312" w:hAnsi="仿宋" w:eastAsia="仿宋_GB2312"/>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sz w:val="24"/>
          <w:u w:val="single"/>
        </w:rPr>
        <w:t>30%</w:t>
      </w:r>
      <w:r>
        <w:rPr>
          <w:rFonts w:hint="eastAsia" w:ascii="仿宋_GB2312" w:hAnsi="仿宋" w:eastAsia="仿宋_GB2312"/>
          <w:color w:val="FF0000"/>
          <w:sz w:val="24"/>
        </w:rPr>
        <w:t>（根据项目实际情况填写，一般为30%）</w:t>
      </w:r>
      <w:r>
        <w:rPr>
          <w:rFonts w:hint="eastAsia" w:ascii="仿宋_GB2312" w:hAnsi="仿宋" w:eastAsia="仿宋_GB2312"/>
          <w:sz w:val="24"/>
        </w:rPr>
        <w:t>。</w:t>
      </w:r>
    </w:p>
    <w:p>
      <w:pPr>
        <w:spacing w:line="360" w:lineRule="auto"/>
        <w:ind w:firstLine="482" w:firstLineChars="200"/>
        <w:rPr>
          <w:rFonts w:hint="eastAsia" w:ascii="仿宋_GB2312" w:hAnsi="楷体" w:eastAsia="仿宋_GB2312"/>
          <w:b/>
          <w:sz w:val="24"/>
        </w:rPr>
      </w:pPr>
      <w:bookmarkStart w:id="192" w:name="_Toc17244"/>
      <w:bookmarkStart w:id="193" w:name="_Toc259093681"/>
      <w:bookmarkStart w:id="194" w:name="_Toc487900362"/>
      <w:bookmarkStart w:id="195" w:name="_Toc279701252"/>
      <w:r>
        <w:rPr>
          <w:rFonts w:hint="eastAsia" w:ascii="仿宋_GB2312" w:hAnsi="楷体" w:eastAsia="仿宋_GB2312"/>
          <w:b/>
          <w:sz w:val="24"/>
        </w:rPr>
        <w:t>2.9 标的物的风险负担</w:t>
      </w:r>
      <w:bookmarkEnd w:id="192"/>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196" w:name="_Toc14055"/>
      <w:r>
        <w:rPr>
          <w:rFonts w:hint="eastAsia" w:ascii="仿宋_GB2312" w:hAnsi="楷体" w:eastAsia="仿宋_GB2312"/>
          <w:b/>
          <w:sz w:val="24"/>
        </w:rPr>
        <w:t>2.10 延迟交货</w:t>
      </w:r>
      <w:bookmarkEnd w:id="193"/>
      <w:bookmarkEnd w:id="194"/>
      <w:bookmarkEnd w:id="195"/>
      <w:bookmarkEnd w:id="196"/>
      <w:r>
        <w:rPr>
          <w:rFonts w:hint="eastAsia" w:ascii="仿宋_GB2312" w:hAnsi="楷体" w:eastAsia="仿宋_GB2312"/>
          <w:b/>
          <w:sz w:val="24"/>
        </w:rPr>
        <w:t>/交付</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rPr>
          <w:rFonts w:hint="eastAsia" w:ascii="仿宋_GB2312" w:hAnsi="楷体" w:eastAsia="仿宋_GB2312"/>
          <w:b/>
          <w:sz w:val="24"/>
        </w:rPr>
      </w:pPr>
      <w:bookmarkStart w:id="197" w:name="_Toc7502"/>
      <w:bookmarkStart w:id="198" w:name="_Toc279701254"/>
      <w:bookmarkStart w:id="199" w:name="_Toc259093683"/>
      <w:bookmarkStart w:id="200" w:name="_Ref467378121"/>
      <w:bookmarkStart w:id="201" w:name="_Toc487900364"/>
      <w:r>
        <w:rPr>
          <w:rFonts w:hint="eastAsia" w:ascii="仿宋_GB2312" w:hAnsi="楷体" w:eastAsia="仿宋_GB2312"/>
          <w:b/>
          <w:sz w:val="24"/>
        </w:rPr>
        <w:t>2.11 合同变更</w:t>
      </w:r>
      <w:bookmarkEnd w:id="197"/>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202" w:name="_Toc487900369"/>
      <w:bookmarkStart w:id="203" w:name="_Toc259093688"/>
      <w:bookmarkStart w:id="204" w:name="_Toc279701259"/>
    </w:p>
    <w:p>
      <w:pPr>
        <w:spacing w:line="360" w:lineRule="auto"/>
        <w:ind w:firstLine="482" w:firstLineChars="200"/>
        <w:rPr>
          <w:rFonts w:hint="eastAsia" w:ascii="仿宋_GB2312" w:hAnsi="楷体" w:eastAsia="仿宋_GB2312"/>
          <w:b/>
          <w:sz w:val="24"/>
        </w:rPr>
      </w:pPr>
      <w:bookmarkStart w:id="205" w:name="_Toc15237"/>
      <w:bookmarkStart w:id="206" w:name="_Toc22955"/>
      <w:bookmarkStart w:id="207" w:name="_Toc10366"/>
      <w:r>
        <w:rPr>
          <w:rFonts w:hint="eastAsia" w:ascii="仿宋_GB2312" w:hAnsi="楷体" w:eastAsia="仿宋_GB2312"/>
          <w:b/>
          <w:sz w:val="24"/>
        </w:rPr>
        <w:t>2.12 合同转让</w:t>
      </w:r>
      <w:bookmarkEnd w:id="202"/>
      <w:bookmarkEnd w:id="203"/>
      <w:bookmarkEnd w:id="204"/>
      <w:r>
        <w:rPr>
          <w:rFonts w:hint="eastAsia" w:ascii="仿宋_GB2312" w:hAnsi="楷体" w:eastAsia="仿宋_GB2312"/>
          <w:b/>
          <w:sz w:val="24"/>
        </w:rPr>
        <w:t>和分包</w:t>
      </w:r>
      <w:bookmarkEnd w:id="205"/>
      <w:bookmarkEnd w:id="206"/>
      <w:bookmarkEnd w:id="207"/>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rPr>
          <w:rFonts w:hint="eastAsia" w:ascii="仿宋_GB2312" w:hAnsi="楷体" w:eastAsia="仿宋_GB2312"/>
          <w:b/>
          <w:sz w:val="24"/>
        </w:rPr>
      </w:pPr>
      <w:bookmarkStart w:id="208" w:name="_Toc16508"/>
      <w:bookmarkStart w:id="209" w:name="_Toc13566"/>
      <w:bookmarkStart w:id="210" w:name="_Toc14066"/>
      <w:r>
        <w:rPr>
          <w:rFonts w:hint="eastAsia" w:ascii="仿宋_GB2312" w:hAnsi="楷体" w:eastAsia="仿宋_GB2312"/>
          <w:b/>
          <w:sz w:val="24"/>
        </w:rPr>
        <w:t>2.13 不可抗力</w:t>
      </w:r>
      <w:bookmarkEnd w:id="208"/>
      <w:bookmarkEnd w:id="209"/>
      <w:bookmarkEnd w:id="21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2.13.3 因不可抗力致使不能实现合同目的的，当事人可以解除合同；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pPr>
        <w:spacing w:line="360" w:lineRule="auto"/>
        <w:ind w:firstLine="482" w:firstLineChars="200"/>
        <w:rPr>
          <w:rFonts w:hint="eastAsia" w:ascii="仿宋_GB2312" w:hAnsi="楷体" w:eastAsia="仿宋_GB2312"/>
          <w:b/>
          <w:sz w:val="24"/>
        </w:rPr>
      </w:pPr>
      <w:bookmarkStart w:id="211" w:name="_Toc6969"/>
      <w:bookmarkStart w:id="212" w:name="_Toc30676"/>
      <w:bookmarkStart w:id="213" w:name="_Toc279701255"/>
      <w:bookmarkStart w:id="214" w:name="_Toc487900365"/>
      <w:bookmarkStart w:id="215" w:name="_Toc259093684"/>
      <w:bookmarkStart w:id="216" w:name="_Toc689"/>
      <w:r>
        <w:rPr>
          <w:rFonts w:hint="eastAsia" w:ascii="仿宋_GB2312" w:hAnsi="楷体" w:eastAsia="仿宋_GB2312"/>
          <w:b/>
          <w:sz w:val="24"/>
        </w:rPr>
        <w:t>2.14 税费</w:t>
      </w:r>
      <w:bookmarkEnd w:id="211"/>
      <w:bookmarkEnd w:id="212"/>
      <w:bookmarkEnd w:id="213"/>
      <w:bookmarkEnd w:id="214"/>
      <w:bookmarkEnd w:id="215"/>
      <w:bookmarkEnd w:id="216"/>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pPr>
        <w:spacing w:line="360" w:lineRule="auto"/>
        <w:ind w:firstLine="482" w:firstLineChars="200"/>
        <w:rPr>
          <w:rFonts w:hint="eastAsia" w:ascii="仿宋_GB2312" w:hAnsi="楷体" w:eastAsia="仿宋_GB2312"/>
          <w:b/>
          <w:sz w:val="24"/>
        </w:rPr>
      </w:pPr>
      <w:bookmarkStart w:id="217" w:name="_Toc487900368"/>
      <w:bookmarkStart w:id="218" w:name="_Toc8298"/>
      <w:bookmarkStart w:id="219" w:name="_Toc259093687"/>
      <w:bookmarkStart w:id="220" w:name="_Toc279701258"/>
      <w:bookmarkStart w:id="221" w:name="_Toc7102"/>
      <w:bookmarkStart w:id="222" w:name="_Toc16959"/>
      <w:r>
        <w:rPr>
          <w:rFonts w:hint="eastAsia" w:ascii="仿宋_GB2312" w:hAnsi="楷体" w:eastAsia="仿宋_GB2312"/>
          <w:b/>
          <w:sz w:val="24"/>
        </w:rPr>
        <w:t>2.15 乙方破产</w:t>
      </w:r>
      <w:bookmarkEnd w:id="217"/>
      <w:bookmarkEnd w:id="218"/>
      <w:bookmarkEnd w:id="219"/>
      <w:bookmarkEnd w:id="220"/>
      <w:bookmarkEnd w:id="221"/>
      <w:bookmarkEnd w:id="222"/>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hint="eastAsia" w:ascii="仿宋_GB2312" w:hAnsi="楷体" w:eastAsia="仿宋_GB2312"/>
          <w:b/>
          <w:sz w:val="24"/>
        </w:rPr>
      </w:pPr>
      <w:bookmarkStart w:id="223" w:name="_Toc6134"/>
      <w:bookmarkStart w:id="224" w:name="_Toc15387"/>
      <w:bookmarkStart w:id="225" w:name="_Toc29333"/>
      <w:r>
        <w:rPr>
          <w:rFonts w:hint="eastAsia" w:ascii="仿宋_GB2312" w:hAnsi="楷体" w:eastAsia="仿宋_GB2312"/>
          <w:b/>
          <w:sz w:val="24"/>
        </w:rPr>
        <w:t>2.16 合同中止、终止</w:t>
      </w:r>
      <w:bookmarkEnd w:id="223"/>
      <w:bookmarkEnd w:id="224"/>
      <w:bookmarkEnd w:id="22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2.16.1 双方当事人不得擅自中止或者终止合同；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hint="eastAsia" w:ascii="仿宋_GB2312" w:hAnsi="楷体" w:eastAsia="仿宋_GB2312"/>
          <w:b/>
          <w:sz w:val="24"/>
        </w:rPr>
      </w:pPr>
      <w:bookmarkStart w:id="226" w:name="_Toc6596"/>
      <w:bookmarkStart w:id="227" w:name="_Toc14563"/>
      <w:bookmarkStart w:id="228" w:name="_Toc1125"/>
      <w:r>
        <w:rPr>
          <w:rFonts w:hint="eastAsia" w:ascii="仿宋_GB2312" w:hAnsi="楷体" w:eastAsia="仿宋_GB2312"/>
          <w:b/>
          <w:sz w:val="24"/>
        </w:rPr>
        <w:t>2.17 检验和验收</w:t>
      </w:r>
      <w:bookmarkEnd w:id="226"/>
      <w:bookmarkEnd w:id="227"/>
      <w:bookmarkEnd w:id="228"/>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198"/>
    <w:bookmarkEnd w:id="199"/>
    <w:bookmarkEnd w:id="200"/>
    <w:bookmarkEnd w:id="201"/>
    <w:p>
      <w:pPr>
        <w:spacing w:line="360" w:lineRule="auto"/>
        <w:ind w:firstLine="482" w:firstLineChars="200"/>
        <w:rPr>
          <w:rFonts w:hint="eastAsia" w:ascii="仿宋_GB2312" w:hAnsi="楷体" w:eastAsia="仿宋_GB2312"/>
          <w:b/>
          <w:sz w:val="24"/>
        </w:rPr>
      </w:pPr>
      <w:bookmarkStart w:id="229" w:name="_Toc259093690"/>
      <w:bookmarkStart w:id="230" w:name="_Toc487900371"/>
      <w:bookmarkStart w:id="231" w:name="_Toc279701261"/>
      <w:bookmarkStart w:id="232" w:name="_Toc25182"/>
      <w:bookmarkStart w:id="233" w:name="_Toc19604"/>
      <w:bookmarkStart w:id="234" w:name="_Toc11284"/>
      <w:r>
        <w:rPr>
          <w:rFonts w:hint="eastAsia" w:ascii="仿宋_GB2312" w:hAnsi="楷体" w:eastAsia="仿宋_GB2312"/>
          <w:b/>
          <w:sz w:val="24"/>
        </w:rPr>
        <w:t>2.18 通知</w:t>
      </w:r>
      <w:bookmarkEnd w:id="229"/>
      <w:bookmarkEnd w:id="230"/>
      <w:bookmarkEnd w:id="231"/>
      <w:r>
        <w:rPr>
          <w:rFonts w:hint="eastAsia" w:ascii="仿宋_GB2312" w:hAnsi="楷体" w:eastAsia="仿宋_GB2312"/>
          <w:b/>
          <w:sz w:val="24"/>
        </w:rPr>
        <w:t>和送达</w:t>
      </w:r>
      <w:bookmarkEnd w:id="232"/>
      <w:bookmarkEnd w:id="233"/>
      <w:bookmarkEnd w:id="234"/>
    </w:p>
    <w:p>
      <w:pPr>
        <w:spacing w:line="360" w:lineRule="auto"/>
        <w:ind w:firstLine="480" w:firstLineChars="200"/>
        <w:rPr>
          <w:rFonts w:hint="eastAsia" w:ascii="仿宋_GB2312" w:hAnsi="楷体" w:eastAsia="仿宋_GB2312"/>
          <w:sz w:val="24"/>
        </w:rPr>
      </w:pPr>
      <w:bookmarkStart w:id="235" w:name="_Toc3135"/>
      <w:bookmarkStart w:id="236" w:name="_Toc6698"/>
      <w:bookmarkStart w:id="237" w:name="_Toc487900372"/>
      <w:bookmarkStart w:id="238" w:name="_Toc279701262"/>
      <w:bookmarkStart w:id="239" w:name="_Toc259093691"/>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hint="eastAsia" w:ascii="仿宋_GB2312" w:hAnsi="楷体" w:eastAsia="仿宋_GB2312"/>
          <w:sz w:val="24"/>
        </w:rPr>
        <w:t>个工作日内书面通知对方当事人，在对方当事人收到有关变更通知之前，变更前的约定送达方式或者地址仍视为有效。</w:t>
      </w:r>
      <w:bookmarkEnd w:id="235"/>
      <w:bookmarkEnd w:id="236"/>
    </w:p>
    <w:p>
      <w:pPr>
        <w:spacing w:line="360" w:lineRule="auto"/>
        <w:ind w:firstLine="480" w:firstLineChars="200"/>
        <w:rPr>
          <w:rFonts w:hint="eastAsia" w:ascii="仿宋_GB2312" w:hAnsi="楷体" w:eastAsia="仿宋_GB2312"/>
          <w:sz w:val="24"/>
        </w:rPr>
      </w:pPr>
      <w:bookmarkStart w:id="240" w:name="_Toc23128"/>
      <w:bookmarkStart w:id="241" w:name="_Toc23294"/>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40"/>
      <w:bookmarkEnd w:id="241"/>
    </w:p>
    <w:p>
      <w:pPr>
        <w:spacing w:line="360" w:lineRule="auto"/>
        <w:ind w:firstLine="482" w:firstLineChars="200"/>
        <w:rPr>
          <w:rFonts w:hint="eastAsia" w:ascii="仿宋_GB2312" w:hAnsi="楷体" w:eastAsia="仿宋_GB2312"/>
          <w:b/>
          <w:sz w:val="24"/>
        </w:rPr>
      </w:pPr>
      <w:bookmarkStart w:id="242" w:name="_Toc4355"/>
      <w:bookmarkStart w:id="243" w:name="_Toc18540"/>
      <w:bookmarkStart w:id="244" w:name="_Toc30599"/>
      <w:r>
        <w:rPr>
          <w:rFonts w:hint="eastAsia" w:ascii="仿宋_GB2312" w:hAnsi="楷体" w:eastAsia="仿宋_GB2312"/>
          <w:b/>
          <w:sz w:val="24"/>
        </w:rPr>
        <w:t>2.19 计量单位</w:t>
      </w:r>
      <w:bookmarkEnd w:id="237"/>
      <w:bookmarkEnd w:id="238"/>
      <w:bookmarkEnd w:id="239"/>
      <w:bookmarkEnd w:id="242"/>
      <w:bookmarkEnd w:id="243"/>
      <w:bookmarkEnd w:id="24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pPr>
        <w:spacing w:line="360" w:lineRule="auto"/>
        <w:ind w:firstLine="482" w:firstLineChars="200"/>
        <w:rPr>
          <w:rFonts w:hint="eastAsia" w:ascii="仿宋_GB2312" w:hAnsi="楷体" w:eastAsia="仿宋_GB2312"/>
          <w:b/>
          <w:sz w:val="24"/>
        </w:rPr>
      </w:pPr>
      <w:bookmarkStart w:id="245" w:name="_Toc259093692"/>
      <w:bookmarkStart w:id="246" w:name="_Toc279701263"/>
      <w:bookmarkStart w:id="247" w:name="_Toc12773"/>
      <w:bookmarkStart w:id="248" w:name="_Toc487900373"/>
      <w:bookmarkStart w:id="249" w:name="_Toc18567"/>
      <w:bookmarkStart w:id="250" w:name="_Toc10330"/>
      <w:r>
        <w:rPr>
          <w:rFonts w:hint="eastAsia" w:ascii="仿宋_GB2312" w:hAnsi="楷体" w:eastAsia="仿宋_GB2312"/>
          <w:b/>
          <w:sz w:val="24"/>
        </w:rPr>
        <w:t>2.20 合同使用的文字和适用的法律</w:t>
      </w:r>
      <w:bookmarkEnd w:id="245"/>
      <w:bookmarkEnd w:id="246"/>
      <w:bookmarkEnd w:id="247"/>
      <w:bookmarkEnd w:id="248"/>
      <w:bookmarkEnd w:id="249"/>
      <w:bookmarkEnd w:id="25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2.20.1 合同使用汉语书就、变更和解释；</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2.20.2 合同适用中华人民共和国法律。</w:t>
      </w:r>
    </w:p>
    <w:p>
      <w:pPr>
        <w:spacing w:line="360" w:lineRule="auto"/>
        <w:ind w:firstLine="482" w:firstLineChars="200"/>
        <w:rPr>
          <w:rFonts w:hint="eastAsia" w:ascii="仿宋_GB2312" w:hAnsi="楷体" w:eastAsia="仿宋_GB2312"/>
          <w:b/>
          <w:sz w:val="24"/>
        </w:rPr>
      </w:pPr>
      <w:bookmarkStart w:id="251" w:name="_Toc3148"/>
      <w:bookmarkStart w:id="252" w:name="_Toc259093693"/>
      <w:bookmarkStart w:id="253" w:name="_Toc16673"/>
      <w:bookmarkStart w:id="254" w:name="_Toc12004"/>
      <w:bookmarkStart w:id="255" w:name="_Toc279701264"/>
      <w:bookmarkStart w:id="256" w:name="_Toc487900374"/>
      <w:r>
        <w:rPr>
          <w:rFonts w:hint="eastAsia" w:ascii="仿宋_GB2312" w:hAnsi="楷体" w:eastAsia="仿宋_GB2312"/>
          <w:b/>
          <w:sz w:val="24"/>
        </w:rPr>
        <w:t>2.21 履约保证金</w:t>
      </w:r>
      <w:bookmarkEnd w:id="251"/>
      <w:bookmarkEnd w:id="252"/>
      <w:bookmarkEnd w:id="253"/>
      <w:bookmarkEnd w:id="254"/>
      <w:bookmarkEnd w:id="255"/>
    </w:p>
    <w:p>
      <w:pPr>
        <w:spacing w:line="360" w:lineRule="auto"/>
        <w:ind w:firstLine="480" w:firstLineChars="200"/>
        <w:rPr>
          <w:rFonts w:ascii="仿宋_GB2312" w:hAnsi="仿宋" w:eastAsia="仿宋_GB2312" w:cs="Arial"/>
          <w:snapToGrid w:val="0"/>
          <w:kern w:val="0"/>
          <w:sz w:val="24"/>
        </w:rPr>
      </w:pPr>
      <w:r>
        <w:rPr>
          <w:rFonts w:hint="eastAsia" w:ascii="仿宋_GB2312" w:hAnsi="楷体" w:eastAsia="仿宋_GB2312"/>
          <w:sz w:val="24"/>
        </w:rPr>
        <w:t>本项目不收取履约保证金</w:t>
      </w:r>
    </w:p>
    <w:p>
      <w:pPr>
        <w:spacing w:line="360" w:lineRule="auto"/>
        <w:ind w:firstLine="482" w:firstLineChars="200"/>
        <w:rPr>
          <w:rFonts w:hint="eastAsia" w:ascii="仿宋_GB2312" w:hAnsi="仿宋" w:eastAsia="仿宋_GB2312"/>
          <w:kern w:val="0"/>
          <w:sz w:val="24"/>
          <w:lang w:val="zh-CN"/>
        </w:rPr>
      </w:pPr>
      <w:r>
        <w:rPr>
          <w:rFonts w:hint="eastAsia" w:ascii="仿宋_GB2312" w:hAnsi="楷体" w:eastAsia="仿宋_GB2312"/>
          <w:b/>
          <w:sz w:val="24"/>
        </w:rPr>
        <w:t>2.22 中小企业政策</w:t>
      </w:r>
    </w:p>
    <w:p>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2.22.1本合同（□是  □否）为可融资合同，关于中小企业信用融资事项见采购文件“供应商须知正文”。</w:t>
      </w:r>
    </w:p>
    <w:p>
      <w:pPr>
        <w:spacing w:line="360" w:lineRule="auto"/>
        <w:ind w:firstLine="480" w:firstLineChars="200"/>
        <w:rPr>
          <w:rFonts w:ascii="仿宋_GB2312" w:hAnsi="仿宋" w:eastAsia="仿宋_GB2312"/>
          <w:kern w:val="0"/>
          <w:sz w:val="24"/>
          <w:lang w:val="zh-CN"/>
        </w:rPr>
      </w:pPr>
      <w:r>
        <w:rPr>
          <w:rFonts w:hint="eastAsia" w:ascii="仿宋_GB2312" w:hAnsi="仿宋" w:eastAsia="仿宋_GB2312"/>
          <w:kern w:val="0"/>
          <w:sz w:val="24"/>
          <w:lang w:val="zh-CN"/>
        </w:rPr>
        <w:t>2.22.2</w:t>
      </w:r>
      <w:r>
        <w:rPr>
          <w:rFonts w:ascii="仿宋_GB2312" w:hAnsi="仿宋" w:eastAsia="仿宋_GB2312"/>
          <w:kern w:val="0"/>
          <w:sz w:val="24"/>
          <w:lang w:val="zh-CN"/>
        </w:rPr>
        <w:t xml:space="preserve">本合同（□是  </w:t>
      </w:r>
      <w:r>
        <w:rPr>
          <w:rFonts w:hint="eastAsia" w:ascii="仿宋_GB2312" w:hAnsi="仿宋" w:eastAsia="仿宋_GB2312"/>
          <w:kern w:val="0"/>
          <w:sz w:val="24"/>
          <w:lang w:val="zh-CN"/>
        </w:rPr>
        <w:t>□否）为中小企业预留合同。</w:t>
      </w:r>
    </w:p>
    <w:bookmarkEnd w:id="256"/>
    <w:p>
      <w:pPr>
        <w:spacing w:line="360" w:lineRule="auto"/>
        <w:ind w:firstLine="482" w:firstLineChars="200"/>
        <w:rPr>
          <w:rFonts w:hint="eastAsia" w:ascii="仿宋_GB2312" w:hAnsi="楷体" w:eastAsia="仿宋_GB2312"/>
          <w:b/>
          <w:sz w:val="24"/>
        </w:rPr>
      </w:pPr>
      <w:bookmarkStart w:id="257" w:name="_Toc6885"/>
      <w:bookmarkStart w:id="258" w:name="_Toc19890"/>
      <w:bookmarkStart w:id="259" w:name="_Toc14001"/>
      <w:r>
        <w:rPr>
          <w:rFonts w:hint="eastAsia" w:ascii="仿宋_GB2312" w:hAnsi="楷体" w:eastAsia="仿宋_GB2312"/>
          <w:b/>
          <w:sz w:val="24"/>
        </w:rPr>
        <w:t>2.23 合同份数</w:t>
      </w:r>
      <w:bookmarkEnd w:id="257"/>
      <w:bookmarkEnd w:id="258"/>
      <w:bookmarkEnd w:id="259"/>
    </w:p>
    <w:p>
      <w:pPr>
        <w:spacing w:line="360" w:lineRule="auto"/>
        <w:ind w:firstLine="480" w:firstLineChars="200"/>
        <w:rPr>
          <w:rFonts w:hint="eastAsia" w:ascii="仿宋_GB2312" w:hAnsi="楷体" w:eastAsia="仿宋_GB2312"/>
          <w:sz w:val="24"/>
        </w:rPr>
      </w:pPr>
      <w:r>
        <w:rPr>
          <w:rFonts w:hint="eastAsia" w:ascii="仿宋_GB2312" w:hAnsi="宋体" w:eastAsia="仿宋_GB2312"/>
          <w:sz w:val="24"/>
        </w:rPr>
        <w:t>本合同壹式</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份，乙方执</w:t>
      </w:r>
      <w:r>
        <w:rPr>
          <w:rFonts w:hint="eastAsia" w:ascii="仿宋_GB2312" w:hAnsi="仿宋"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pPr>
        <w:pStyle w:val="31"/>
        <w:spacing w:after="0"/>
        <w:jc w:val="center"/>
        <w:outlineLvl w:val="1"/>
        <w:rPr>
          <w:rFonts w:hint="eastAsia" w:ascii="仿宋_GB2312" w:hAnsi="楷体" w:eastAsia="仿宋_GB2312"/>
          <w:b/>
          <w:sz w:val="28"/>
          <w:szCs w:val="28"/>
        </w:rPr>
      </w:pPr>
      <w:r>
        <w:rPr>
          <w:rFonts w:hint="eastAsia" w:ascii="仿宋_GB2312" w:hAnsi="楷体" w:eastAsia="仿宋_GB2312"/>
        </w:rPr>
        <w:br w:type="page"/>
      </w:r>
      <w:bookmarkStart w:id="260" w:name="_Toc80205946"/>
      <w:bookmarkStart w:id="261" w:name="_Toc331685784"/>
      <w:r>
        <w:rPr>
          <w:rFonts w:hint="eastAsia" w:ascii="仿宋_GB2312" w:hAnsi="楷体" w:eastAsia="仿宋_GB2312"/>
          <w:b/>
          <w:sz w:val="28"/>
          <w:szCs w:val="28"/>
        </w:rPr>
        <w:t>第三部分  合同专用条款</w:t>
      </w:r>
      <w:bookmarkEnd w:id="260"/>
      <w:bookmarkEnd w:id="261"/>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2.3.2具有知识产权的标的物知识产权归属：</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u w:val="single"/>
        </w:rPr>
        <w:t xml:space="preserve">                                                                 </w:t>
      </w:r>
      <w:r>
        <w:rPr>
          <w:rFonts w:hint="eastAsia" w:ascii="仿宋_GB2312" w:hAnsi="楷体" w:eastAsia="仿宋_GB2312"/>
          <w:sz w:val="24"/>
        </w:rPr>
        <w:t xml:space="preserve">           </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2.4.1包装和装运专用条款（如果有）：</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                                                                     </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2.4.2装运标的物的要求和通知：</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                                                                     </w:t>
      </w:r>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2.6</w:t>
      </w:r>
      <w:r>
        <w:rPr>
          <w:rFonts w:hint="eastAsia" w:ascii="仿宋_GB2312" w:hAnsi="楷体" w:eastAsia="仿宋_GB2312"/>
          <w:b/>
          <w:sz w:val="24"/>
        </w:rPr>
        <w:t>结算方式和付款条件</w:t>
      </w:r>
    </w:p>
    <w:p>
      <w:pPr>
        <w:spacing w:line="360" w:lineRule="auto"/>
        <w:ind w:firstLine="480" w:firstLineChars="200"/>
        <w:rPr>
          <w:rFonts w:hint="eastAsia" w:ascii="仿宋_GB2312" w:eastAsia="仿宋_GB2312" w:cs="仿宋_GB2312"/>
          <w:kern w:val="0"/>
          <w:sz w:val="24"/>
          <w:lang w:val="zh-CN"/>
        </w:rPr>
      </w:pPr>
      <w:r>
        <w:rPr>
          <w:rFonts w:hint="eastAsia" w:ascii="仿宋_GB2312" w:eastAsia="仿宋_GB2312" w:cs="仿宋_GB2312"/>
          <w:kern w:val="0"/>
          <w:sz w:val="24"/>
          <w:lang w:val="zh-CN"/>
        </w:rPr>
        <w:t>本次项目合同总价为大写人民币</w:t>
      </w:r>
      <w:r>
        <w:rPr>
          <w:rFonts w:hint="eastAsia" w:ascii="仿宋_GB2312" w:eastAsia="仿宋_GB2312" w:cs="仿宋_GB2312"/>
          <w:kern w:val="0"/>
          <w:sz w:val="24"/>
          <w:u w:val="single"/>
          <w:lang w:val="zh-CN"/>
        </w:rPr>
        <w:t xml:space="preserve">            （</w:t>
      </w:r>
      <w:r>
        <w:rPr>
          <w:rFonts w:hint="eastAsia" w:ascii="仿宋_GB2312" w:eastAsia="仿宋_GB2312" w:cs="仿宋_GB2312"/>
          <w:kern w:val="0"/>
          <w:sz w:val="24"/>
          <w:lang w:val="zh-CN"/>
        </w:rPr>
        <w:t>￥    元）。本项目采用以下勾选结算方式进行支付：</w:t>
      </w:r>
    </w:p>
    <w:p>
      <w:pPr>
        <w:spacing w:line="360" w:lineRule="auto"/>
        <w:ind w:firstLine="480" w:firstLineChars="200"/>
        <w:rPr>
          <w:rFonts w:hint="eastAsia" w:ascii="仿宋_GB2312" w:eastAsia="仿宋_GB2312" w:cs="仿宋_GB2312"/>
          <w:kern w:val="0"/>
          <w:sz w:val="24"/>
          <w:lang w:val="zh-CN"/>
        </w:rPr>
      </w:pPr>
      <w:r>
        <w:rPr>
          <w:rFonts w:hint="eastAsia" w:ascii="仿宋_GB2312" w:eastAsia="仿宋_GB2312" w:cs="仿宋_GB2312"/>
          <w:kern w:val="0"/>
          <w:sz w:val="24"/>
          <w:lang w:val="zh-CN"/>
        </w:rPr>
        <w:t>□采用一次性支付方式，付款条件为：</w:t>
      </w:r>
      <w:r>
        <w:rPr>
          <w:rFonts w:hint="eastAsia" w:ascii="仿宋_GB2312" w:eastAsia="仿宋_GB2312" w:cs="仿宋_GB2312"/>
          <w:kern w:val="0"/>
          <w:sz w:val="24"/>
          <w:u w:val="single"/>
        </w:rPr>
        <w:t xml:space="preserve">           </w:t>
      </w:r>
    </w:p>
    <w:p>
      <w:pPr>
        <w:spacing w:line="360" w:lineRule="auto"/>
        <w:ind w:firstLine="480" w:firstLineChars="200"/>
        <w:rPr>
          <w:rFonts w:hint="eastAsia" w:ascii="仿宋_GB2312" w:eastAsia="仿宋_GB2312" w:cs="仿宋_GB2312"/>
          <w:kern w:val="0"/>
          <w:sz w:val="24"/>
        </w:rPr>
      </w:pPr>
      <w:r>
        <w:rPr>
          <w:rFonts w:hint="eastAsia" w:ascii="仿宋_GB2312" w:eastAsia="仿宋_GB2312" w:cs="仿宋_GB2312"/>
          <w:kern w:val="0"/>
          <w:sz w:val="24"/>
          <w:lang w:val="zh-CN"/>
        </w:rPr>
        <w:t>□采用分期付款方式，付款条件为</w:t>
      </w:r>
      <w:r>
        <w:rPr>
          <w:rFonts w:hint="eastAsia" w:ascii="仿宋_GB2312" w:eastAsia="仿宋_GB2312" w:cs="仿宋_GB2312"/>
          <w:kern w:val="0"/>
          <w:sz w:val="24"/>
        </w:rPr>
        <w:t>：</w:t>
      </w:r>
    </w:p>
    <w:p>
      <w:pPr>
        <w:spacing w:line="360" w:lineRule="auto"/>
        <w:ind w:firstLine="480" w:firstLineChars="200"/>
        <w:rPr>
          <w:rFonts w:hint="eastAsia" w:ascii="仿宋_GB2312" w:eastAsia="仿宋_GB2312" w:cs="仿宋_GB2312"/>
          <w:kern w:val="0"/>
          <w:sz w:val="24"/>
        </w:rPr>
      </w:pPr>
      <w:r>
        <w:rPr>
          <w:rFonts w:hint="eastAsia" w:ascii="仿宋_GB2312" w:eastAsia="仿宋_GB2312" w:cs="仿宋_GB2312"/>
          <w:kern w:val="0"/>
          <w:sz w:val="24"/>
          <w:lang w:val="zh-CN"/>
        </w:rPr>
        <w:t>第一期付款</w:t>
      </w:r>
      <w:r>
        <w:rPr>
          <w:rFonts w:hint="eastAsia" w:ascii="仿宋_GB2312" w:eastAsia="仿宋_GB2312" w:cs="仿宋_GB2312"/>
          <w:kern w:val="0"/>
          <w:sz w:val="24"/>
        </w:rPr>
        <w:t>：</w:t>
      </w:r>
      <w:r>
        <w:rPr>
          <w:rFonts w:hint="eastAsia" w:ascii="仿宋_GB2312" w:eastAsia="仿宋_GB2312" w:cs="仿宋_GB2312"/>
          <w:kern w:val="0"/>
          <w:sz w:val="24"/>
          <w:u w:val="single"/>
        </w:rPr>
        <w:t xml:space="preserve">                                        </w:t>
      </w:r>
    </w:p>
    <w:p>
      <w:pPr>
        <w:spacing w:line="360" w:lineRule="auto"/>
        <w:ind w:firstLine="480" w:firstLineChars="200"/>
        <w:rPr>
          <w:rFonts w:hint="eastAsia" w:ascii="仿宋_GB2312" w:eastAsia="仿宋_GB2312" w:cs="仿宋_GB2312"/>
          <w:kern w:val="0"/>
          <w:sz w:val="24"/>
          <w:u w:val="single"/>
        </w:rPr>
      </w:pPr>
      <w:r>
        <w:rPr>
          <w:rFonts w:hint="eastAsia" w:ascii="仿宋_GB2312" w:eastAsia="仿宋_GB2312" w:cs="仿宋_GB2312"/>
          <w:kern w:val="0"/>
          <w:sz w:val="24"/>
          <w:lang w:val="zh-CN"/>
        </w:rPr>
        <w:t>第</w:t>
      </w:r>
      <w:r>
        <w:rPr>
          <w:rFonts w:hint="eastAsia" w:ascii="仿宋_GB2312" w:eastAsia="仿宋_GB2312" w:cs="仿宋_GB2312"/>
          <w:kern w:val="0"/>
          <w:sz w:val="24"/>
        </w:rPr>
        <w:t>二</w:t>
      </w:r>
      <w:r>
        <w:rPr>
          <w:rFonts w:hint="eastAsia" w:ascii="仿宋_GB2312" w:eastAsia="仿宋_GB2312" w:cs="仿宋_GB2312"/>
          <w:kern w:val="0"/>
          <w:sz w:val="24"/>
          <w:lang w:val="zh-CN"/>
        </w:rPr>
        <w:t>期付款</w:t>
      </w:r>
      <w:r>
        <w:rPr>
          <w:rFonts w:hint="eastAsia" w:ascii="仿宋_GB2312" w:eastAsia="仿宋_GB2312" w:cs="仿宋_GB2312"/>
          <w:kern w:val="0"/>
          <w:sz w:val="24"/>
        </w:rPr>
        <w:t>：</w:t>
      </w:r>
      <w:r>
        <w:rPr>
          <w:rFonts w:hint="eastAsia" w:ascii="仿宋_GB2312" w:eastAsia="仿宋_GB2312" w:cs="仿宋_GB2312"/>
          <w:kern w:val="0"/>
          <w:sz w:val="24"/>
          <w:u w:val="single"/>
        </w:rPr>
        <w:t xml:space="preserve">                                        </w:t>
      </w:r>
    </w:p>
    <w:p>
      <w:pPr>
        <w:spacing w:line="360" w:lineRule="auto"/>
        <w:ind w:firstLine="480" w:firstLineChars="200"/>
        <w:rPr>
          <w:rFonts w:hint="eastAsia" w:ascii="仿宋_GB2312" w:eastAsia="仿宋_GB2312" w:cs="仿宋_GB2312"/>
          <w:kern w:val="0"/>
          <w:sz w:val="24"/>
        </w:rPr>
      </w:pPr>
      <w:r>
        <w:rPr>
          <w:rFonts w:hint="eastAsia" w:ascii="仿宋_GB2312" w:eastAsia="仿宋_GB2312" w:cs="仿宋_GB2312"/>
          <w:kern w:val="0"/>
          <w:sz w:val="24"/>
        </w:rPr>
        <w:t>……</w:t>
      </w:r>
    </w:p>
    <w:p>
      <w:pPr>
        <w:spacing w:line="360" w:lineRule="auto"/>
        <w:ind w:firstLine="480" w:firstLineChars="200"/>
        <w:rPr>
          <w:rFonts w:hint="eastAsia" w:ascii="仿宋_GB2312" w:eastAsia="仿宋_GB2312" w:cs="仿宋_GB2312"/>
          <w:kern w:val="0"/>
          <w:sz w:val="24"/>
          <w:lang w:val="zh-CN"/>
        </w:rPr>
      </w:pPr>
      <w:r>
        <w:rPr>
          <w:rFonts w:hint="eastAsia" w:ascii="仿宋_GB2312" w:hAnsi="仿宋" w:eastAsia="仿宋_GB2312"/>
          <w:sz w:val="24"/>
        </w:rPr>
        <w:t>甲方无故逾期支付货物费用的，按照每逾期一日支付欠付货物费额度的</w:t>
      </w:r>
      <w:r>
        <w:rPr>
          <w:rFonts w:hint="eastAsia" w:ascii="仿宋_GB2312" w:hAnsi="仿宋" w:eastAsia="仿宋_GB2312"/>
          <w:sz w:val="24"/>
          <w:u w:val="single"/>
        </w:rPr>
        <w:t>万分之五</w:t>
      </w:r>
      <w:r>
        <w:rPr>
          <w:rFonts w:hint="eastAsia" w:ascii="仿宋_GB2312" w:hAnsi="仿宋" w:eastAsia="仿宋_GB2312"/>
          <w:color w:val="FF0000"/>
          <w:sz w:val="24"/>
        </w:rPr>
        <w:t>（</w:t>
      </w:r>
      <w:r>
        <w:rPr>
          <w:rFonts w:hint="eastAsia" w:ascii="仿宋_GB2312" w:hAnsi="楷体" w:eastAsia="仿宋_GB2312"/>
          <w:color w:val="FF0000"/>
          <w:sz w:val="24"/>
        </w:rPr>
        <w:t>根据项目实际填写，一般为万分之五</w:t>
      </w:r>
      <w:r>
        <w:rPr>
          <w:rFonts w:hint="eastAsia" w:ascii="仿宋_GB2312" w:hAnsi="仿宋" w:eastAsia="仿宋_GB2312"/>
          <w:color w:val="FF0000"/>
          <w:sz w:val="24"/>
        </w:rPr>
        <w:t>）</w:t>
      </w:r>
      <w:r>
        <w:rPr>
          <w:rFonts w:hint="eastAsia" w:ascii="仿宋_GB2312" w:hAnsi="仿宋" w:eastAsia="仿宋_GB2312"/>
          <w:sz w:val="24"/>
        </w:rPr>
        <w:t>承担违约责任，违约金上限按照《合同书》约定执行。</w:t>
      </w:r>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2.9</w:t>
      </w:r>
      <w:r>
        <w:rPr>
          <w:rFonts w:hint="eastAsia" w:ascii="仿宋_GB2312" w:hAnsi="楷体" w:eastAsia="仿宋_GB2312"/>
          <w:b/>
          <w:sz w:val="24"/>
        </w:rPr>
        <w:t>标的物的风险负担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标的物或者在途标的物或者交付给第一承运人后的标的物毁损、灭失的风险负担：</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乙方                                                                       </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sz w:val="24"/>
          <w:u w:val="single"/>
        </w:rPr>
        <w:t xml:space="preserve">    </w:t>
      </w:r>
      <w:r>
        <w:rPr>
          <w:rFonts w:hint="eastAsia" w:ascii="仿宋_GB2312" w:hAnsi="楷体" w:eastAsia="仿宋_GB2312"/>
          <w:sz w:val="24"/>
        </w:rPr>
        <w:t>日内以书面形式通知对方当事人，并在</w:t>
      </w:r>
      <w:r>
        <w:rPr>
          <w:rFonts w:hint="eastAsia" w:ascii="仿宋_GB2312" w:hAnsi="楷体" w:eastAsia="仿宋_GB2312"/>
          <w:sz w:val="24"/>
          <w:u w:val="single"/>
        </w:rPr>
        <w:t xml:space="preserve">   </w:t>
      </w:r>
      <w:r>
        <w:rPr>
          <w:rFonts w:hint="eastAsia" w:ascii="仿宋_GB2312" w:hAnsi="楷体" w:eastAsia="仿宋_GB2312"/>
          <w:sz w:val="24"/>
        </w:rPr>
        <w:t>日内，将有关部门出具的证明文件送达对方当事人。</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2.13.4因不可抗力致使合同有变更必要的，双方当事人应在</w:t>
      </w:r>
      <w:r>
        <w:rPr>
          <w:rFonts w:hint="eastAsia" w:ascii="仿宋_GB2312" w:hAnsi="楷体" w:eastAsia="仿宋_GB2312"/>
          <w:sz w:val="24"/>
          <w:u w:val="single"/>
        </w:rPr>
        <w:t xml:space="preserve">    </w:t>
      </w:r>
      <w:r>
        <w:rPr>
          <w:rFonts w:hint="eastAsia" w:ascii="仿宋_GB2312" w:hAnsi="楷体" w:eastAsia="仿宋_GB2312"/>
          <w:sz w:val="24"/>
        </w:rPr>
        <w:t>日内以书面形式变更合同；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sz w:val="24"/>
          <w:u w:val="single"/>
        </w:rPr>
        <w:t xml:space="preserve">     </w:t>
      </w:r>
      <w:r>
        <w:rPr>
          <w:rFonts w:hint="eastAsia" w:ascii="仿宋_GB2312" w:hAnsi="楷体" w:eastAsia="仿宋_GB2312"/>
          <w:sz w:val="24"/>
        </w:rPr>
        <w:t>日内发起验收，并可依法邀请相关方参加，验收应出具验收书。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                                                                       </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3.1 其他：</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项目验收：</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4、验收产生的费用首次验收费用由甲方承担，如首次验收不合格，后续验收费用由乙方支付。</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5、验收内容及资料要求：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根</w:t>
      </w:r>
      <w:r>
        <w:rPr>
          <w:rFonts w:hint="eastAsia" w:ascii="仿宋" w:hAnsi="仿宋" w:eastAsia="仿宋" w:cs="仿宋"/>
          <w:sz w:val="24"/>
        </w:rPr>
        <w:t>据采购文件确定的技术指标或者货物要求确定验收指标和标准。未进行相应约定的，应当符合国家强制性规定、政策要求、安全标准、行业或企业有关标准等。</w:t>
      </w:r>
    </w:p>
    <w:p>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5.1验收内容</w:t>
      </w:r>
    </w:p>
    <w:tbl>
      <w:tblPr>
        <w:tblStyle w:val="21"/>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序号</w:t>
            </w:r>
          </w:p>
        </w:tc>
        <w:tc>
          <w:tcPr>
            <w:tcW w:w="1914" w:type="dxa"/>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验收内容</w:t>
            </w:r>
          </w:p>
        </w:tc>
        <w:tc>
          <w:tcPr>
            <w:tcW w:w="5930" w:type="dxa"/>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1</w:t>
            </w:r>
          </w:p>
        </w:tc>
        <w:tc>
          <w:tcPr>
            <w:tcW w:w="1914" w:type="dxa"/>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交货产品数量</w:t>
            </w:r>
          </w:p>
        </w:tc>
        <w:tc>
          <w:tcPr>
            <w:tcW w:w="5930" w:type="dxa"/>
            <w:vAlign w:val="center"/>
          </w:tcPr>
          <w:p>
            <w:pPr>
              <w:widowControl/>
              <w:spacing w:line="360" w:lineRule="auto"/>
              <w:ind w:firstLine="20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2</w:t>
            </w:r>
          </w:p>
        </w:tc>
        <w:tc>
          <w:tcPr>
            <w:tcW w:w="1914" w:type="dxa"/>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交货产品的质量文件</w:t>
            </w:r>
          </w:p>
        </w:tc>
        <w:tc>
          <w:tcPr>
            <w:tcW w:w="5930" w:type="dxa"/>
            <w:vAlign w:val="center"/>
          </w:tcPr>
          <w:p>
            <w:pPr>
              <w:widowControl/>
              <w:spacing w:line="360" w:lineRule="auto"/>
              <w:ind w:firstLine="20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4</w:t>
            </w:r>
          </w:p>
        </w:tc>
        <w:tc>
          <w:tcPr>
            <w:tcW w:w="1914" w:type="dxa"/>
            <w:vAlign w:val="center"/>
          </w:tcPr>
          <w:p>
            <w:pPr>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 xml:space="preserve">交货产品技术、性能指标 </w:t>
            </w:r>
          </w:p>
        </w:tc>
        <w:tc>
          <w:tcPr>
            <w:tcW w:w="5930" w:type="dxa"/>
            <w:vAlign w:val="center"/>
          </w:tcPr>
          <w:p>
            <w:pPr>
              <w:pStyle w:val="10"/>
              <w:spacing w:after="0" w:line="360" w:lineRule="auto"/>
              <w:ind w:firstLine="200"/>
              <w:jc w:val="left"/>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vAlign w:val="center"/>
          </w:tcPr>
          <w:p>
            <w:pPr>
              <w:widowControl/>
              <w:spacing w:line="360" w:lineRule="auto"/>
              <w:ind w:firstLine="200"/>
              <w:jc w:val="center"/>
              <w:rPr>
                <w:rFonts w:hint="eastAsia" w:ascii="仿宋" w:hAnsi="仿宋" w:eastAsia="仿宋" w:cs="仿宋"/>
                <w:kern w:val="0"/>
                <w:sz w:val="24"/>
              </w:rPr>
            </w:pPr>
            <w:r>
              <w:rPr>
                <w:rFonts w:hint="eastAsia" w:ascii="仿宋" w:hAnsi="仿宋" w:eastAsia="仿宋" w:cs="仿宋"/>
                <w:kern w:val="0"/>
                <w:sz w:val="24"/>
              </w:rPr>
              <w:t>5</w:t>
            </w:r>
          </w:p>
        </w:tc>
        <w:tc>
          <w:tcPr>
            <w:tcW w:w="1914" w:type="dxa"/>
            <w:vAlign w:val="center"/>
          </w:tcPr>
          <w:p>
            <w:pPr>
              <w:spacing w:line="360" w:lineRule="auto"/>
              <w:ind w:firstLine="200"/>
              <w:jc w:val="center"/>
              <w:rPr>
                <w:rFonts w:hint="eastAsia" w:ascii="仿宋" w:hAnsi="仿宋" w:eastAsia="仿宋" w:cs="仿宋"/>
                <w:sz w:val="24"/>
              </w:rPr>
            </w:pPr>
            <w:r>
              <w:rPr>
                <w:rFonts w:hint="eastAsia" w:ascii="仿宋" w:hAnsi="仿宋" w:eastAsia="仿宋" w:cs="仿宋"/>
                <w:sz w:val="24"/>
              </w:rPr>
              <w:t>售后服务</w:t>
            </w:r>
          </w:p>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sz w:val="24"/>
              </w:rPr>
              <w:t>承诺</w:t>
            </w:r>
          </w:p>
        </w:tc>
        <w:tc>
          <w:tcPr>
            <w:tcW w:w="5930" w:type="dxa"/>
            <w:vAlign w:val="center"/>
          </w:tcPr>
          <w:p>
            <w:pPr>
              <w:widowControl/>
              <w:spacing w:line="360" w:lineRule="auto"/>
              <w:ind w:firstLine="20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6</w:t>
            </w:r>
          </w:p>
        </w:tc>
        <w:tc>
          <w:tcPr>
            <w:tcW w:w="1914" w:type="dxa"/>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其他工作</w:t>
            </w:r>
          </w:p>
        </w:tc>
        <w:tc>
          <w:tcPr>
            <w:tcW w:w="5930" w:type="dxa"/>
            <w:vAlign w:val="center"/>
          </w:tcPr>
          <w:p>
            <w:pPr>
              <w:widowControl/>
              <w:spacing w:line="360" w:lineRule="auto"/>
              <w:ind w:firstLine="200"/>
              <w:jc w:val="left"/>
              <w:rPr>
                <w:rFonts w:hint="eastAsia" w:ascii="仿宋" w:hAnsi="仿宋" w:eastAsia="仿宋" w:cs="仿宋"/>
                <w:kern w:val="0"/>
                <w:sz w:val="24"/>
              </w:rPr>
            </w:pPr>
          </w:p>
        </w:tc>
      </w:tr>
    </w:tbl>
    <w:p>
      <w:pPr>
        <w:tabs>
          <w:tab w:val="left" w:pos="904"/>
        </w:tabs>
        <w:snapToGrid w:val="0"/>
        <w:spacing w:line="360" w:lineRule="auto"/>
        <w:ind w:firstLine="480" w:firstLineChars="200"/>
        <w:jc w:val="left"/>
        <w:rPr>
          <w:rFonts w:hint="eastAsia" w:ascii="仿宋" w:hAnsi="仿宋" w:eastAsia="仿宋" w:cs="仿宋"/>
          <w:sz w:val="24"/>
        </w:rPr>
      </w:pPr>
    </w:p>
    <w:p>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5.2验收资料要求</w:t>
      </w:r>
    </w:p>
    <w:p>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验收资料要求包括（不限于）以下内容：</w:t>
      </w:r>
    </w:p>
    <w:p>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（1）采购文件；</w:t>
      </w:r>
    </w:p>
    <w:p>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（2）响应文件；</w:t>
      </w:r>
    </w:p>
    <w:p>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（3）采购合同；</w:t>
      </w:r>
    </w:p>
    <w:p>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（4）到货核验单（需采购核验人、复核人及乙方交货人三方签字盖章）、产品拍照图片、产品说明书、产品合格证、质量保证书原件</w:t>
      </w:r>
      <w:r>
        <w:rPr>
          <w:rFonts w:hint="eastAsia" w:ascii="仿宋" w:hAnsi="仿宋" w:eastAsia="仿宋" w:cs="仿宋"/>
          <w:bCs/>
          <w:sz w:val="24"/>
        </w:rPr>
        <w:t>、</w:t>
      </w:r>
      <w:r>
        <w:rPr>
          <w:rFonts w:hint="eastAsia" w:ascii="仿宋" w:hAnsi="仿宋" w:eastAsia="仿宋" w:cs="仿宋"/>
          <w:sz w:val="24"/>
        </w:rPr>
        <w:t>三包凭证、产品的检测报告、原厂质保承诺函等；</w:t>
      </w:r>
    </w:p>
    <w:p>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（5）其他需提供的相关材料。</w:t>
      </w:r>
    </w:p>
    <w:p>
      <w:pPr>
        <w:widowControl/>
        <w:ind w:firstLine="720" w:firstLineChars="300"/>
        <w:jc w:val="left"/>
        <w:rPr>
          <w:rFonts w:hint="eastAsia" w:ascii="仿宋" w:hAnsi="仿宋" w:eastAsia="仿宋"/>
          <w:bCs/>
          <w:sz w:val="24"/>
        </w:rPr>
      </w:pP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                                                                       </w:t>
      </w:r>
    </w:p>
    <w:p>
      <w:pPr>
        <w:tabs>
          <w:tab w:val="left" w:pos="7380"/>
        </w:tabs>
        <w:spacing w:line="360" w:lineRule="auto"/>
        <w:jc w:val="center"/>
        <w:rPr>
          <w:rFonts w:ascii="宋体" w:hAnsi="宋体" w:cs="仿宋_GB2312"/>
          <w:b/>
          <w:sz w:val="44"/>
          <w:szCs w:val="44"/>
        </w:rPr>
      </w:pPr>
    </w:p>
    <w:p>
      <w:pPr>
        <w:tabs>
          <w:tab w:val="left" w:pos="3261"/>
        </w:tabs>
        <w:spacing w:line="360" w:lineRule="auto"/>
        <w:contextualSpacing/>
        <w:jc w:val="center"/>
        <w:rPr>
          <w:rFonts w:ascii="宋体" w:hAnsi="宋体" w:cs="仿宋_GB2312"/>
          <w:b/>
          <w:sz w:val="44"/>
          <w:szCs w:val="44"/>
        </w:rPr>
      </w:pPr>
    </w:p>
    <w:p>
      <w:pPr>
        <w:tabs>
          <w:tab w:val="left" w:pos="3261"/>
        </w:tabs>
        <w:spacing w:line="360" w:lineRule="auto"/>
        <w:contextualSpacing/>
        <w:jc w:val="center"/>
        <w:rPr>
          <w:rFonts w:ascii="宋体" w:hAnsi="宋体" w:cs="仿宋_GB2312"/>
          <w:b/>
          <w:sz w:val="44"/>
          <w:szCs w:val="44"/>
        </w:rPr>
      </w:pPr>
    </w:p>
    <w:p>
      <w:pPr>
        <w:tabs>
          <w:tab w:val="left" w:pos="3261"/>
        </w:tabs>
        <w:spacing w:line="360" w:lineRule="auto"/>
        <w:contextualSpacing/>
        <w:jc w:val="center"/>
        <w:rPr>
          <w:rFonts w:ascii="宋体" w:hAnsi="宋体" w:cs="仿宋_GB2312"/>
          <w:b/>
          <w:sz w:val="44"/>
          <w:szCs w:val="44"/>
        </w:rPr>
      </w:pPr>
    </w:p>
    <w:p>
      <w:pPr>
        <w:tabs>
          <w:tab w:val="left" w:pos="3261"/>
        </w:tabs>
        <w:spacing w:line="360" w:lineRule="auto"/>
        <w:contextualSpacing/>
        <w:jc w:val="center"/>
        <w:rPr>
          <w:rFonts w:ascii="宋体" w:hAnsi="宋体" w:cs="仿宋_GB2312"/>
          <w:b/>
          <w:sz w:val="44"/>
          <w:szCs w:val="44"/>
        </w:rPr>
      </w:pPr>
    </w:p>
    <w:p>
      <w:pPr>
        <w:pStyle w:val="3"/>
        <w:jc w:val="center"/>
        <w:rPr>
          <w:rFonts w:hint="eastAsia" w:ascii="宋体" w:hAnsi="宋体" w:cs="仿宋_GB2312"/>
          <w:b w:val="0"/>
        </w:rPr>
      </w:pPr>
    </w:p>
    <w:p>
      <w:pPr>
        <w:pStyle w:val="3"/>
        <w:jc w:val="center"/>
        <w:rPr>
          <w:rFonts w:hint="eastAsia" w:ascii="宋体" w:hAnsi="宋体" w:cs="仿宋_GB2312"/>
          <w:b w:val="0"/>
        </w:rPr>
      </w:pPr>
    </w:p>
    <w:p>
      <w:pPr>
        <w:pStyle w:val="3"/>
        <w:jc w:val="center"/>
        <w:rPr>
          <w:rFonts w:hint="eastAsia" w:ascii="宋体" w:hAnsi="宋体" w:cs="仿宋_GB2312"/>
        </w:rPr>
        <w:sectPr>
          <w:pgSz w:w="11910" w:h="16840"/>
          <w:pgMar w:top="1340" w:right="1500" w:bottom="280" w:left="1680" w:header="720" w:footer="720" w:gutter="0"/>
          <w:cols w:space="720" w:num="1"/>
        </w:sectPr>
      </w:pPr>
      <w:bookmarkStart w:id="262" w:name="_Toc80205947"/>
      <w:r>
        <w:rPr>
          <w:rFonts w:hint="eastAsia" w:ascii="宋体" w:hAnsi="宋体" w:cs="仿宋_GB2312"/>
          <w:b w:val="0"/>
        </w:rPr>
        <w:t>第七章 质疑、投诉材料格式</w:t>
      </w:r>
      <w:bookmarkEnd w:id="262"/>
    </w:p>
    <w:p>
      <w:pPr>
        <w:spacing w:line="360" w:lineRule="auto"/>
        <w:jc w:val="center"/>
        <w:rPr>
          <w:rFonts w:hint="eastAsia" w:ascii="宋体" w:hAnsi="宋体"/>
          <w:b/>
          <w:bCs/>
          <w:sz w:val="32"/>
          <w:szCs w:val="32"/>
        </w:rPr>
      </w:pPr>
      <w:r>
        <w:rPr>
          <w:rFonts w:hint="eastAsia" w:ascii="宋体" w:hAnsi="宋体"/>
          <w:b/>
          <w:bCs/>
          <w:sz w:val="32"/>
          <w:szCs w:val="32"/>
        </w:rPr>
        <w:t>质疑函（格式）</w:t>
      </w:r>
    </w:p>
    <w:p>
      <w:pPr>
        <w:pStyle w:val="14"/>
        <w:spacing w:line="360" w:lineRule="auto"/>
        <w:ind w:firstLine="482" w:firstLineChars="200"/>
        <w:contextualSpacing/>
        <w:rPr>
          <w:rFonts w:hAnsi="宋体"/>
          <w:b/>
          <w:bCs/>
          <w:sz w:val="24"/>
          <w:szCs w:val="24"/>
        </w:rPr>
      </w:pPr>
      <w:r>
        <w:rPr>
          <w:rFonts w:hint="eastAsia" w:hAnsi="宋体"/>
          <w:b/>
          <w:bCs/>
          <w:sz w:val="24"/>
          <w:szCs w:val="24"/>
        </w:rPr>
        <w:t>一、质疑供应商基本信息：</w:t>
      </w:r>
    </w:p>
    <w:p>
      <w:pPr>
        <w:pStyle w:val="14"/>
        <w:spacing w:line="360" w:lineRule="auto"/>
        <w:ind w:firstLine="480" w:firstLineChars="200"/>
        <w:contextualSpacing/>
        <w:rPr>
          <w:rFonts w:hint="eastAsia"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pPr>
        <w:pStyle w:val="14"/>
        <w:spacing w:line="360" w:lineRule="auto"/>
        <w:ind w:firstLine="480" w:firstLineChars="200"/>
        <w:contextualSpacing/>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14"/>
        <w:spacing w:line="360" w:lineRule="auto"/>
        <w:ind w:firstLine="480" w:firstLineChars="200"/>
        <w:contextualSpacing/>
        <w:rPr>
          <w:rFonts w:hint="eastAsia" w:hAnsi="宋体"/>
          <w:bCs/>
          <w:sz w:val="24"/>
          <w:szCs w:val="24"/>
        </w:rPr>
      </w:pPr>
      <w:r>
        <w:rPr>
          <w:rFonts w:hAnsi="宋体"/>
          <w:bCs/>
          <w:sz w:val="24"/>
          <w:szCs w:val="24"/>
        </w:rPr>
        <w:t>联系人</w:t>
      </w:r>
      <w:r>
        <w:rPr>
          <w:rFonts w:hint="eastAsia" w:hAnsi="宋体"/>
          <w:bCs/>
          <w:sz w:val="24"/>
          <w:szCs w:val="24"/>
        </w:rPr>
        <w:t>：</w:t>
      </w:r>
      <w:r>
        <w:rPr>
          <w:rFonts w:hint="eastAsia" w:hAnsi="宋体"/>
          <w:bCs/>
          <w:sz w:val="24"/>
          <w:szCs w:val="24"/>
          <w:u w:val="single"/>
        </w:rPr>
        <w:t xml:space="preserve">                     </w:t>
      </w: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pPr>
        <w:pStyle w:val="14"/>
        <w:spacing w:line="360" w:lineRule="auto"/>
        <w:ind w:firstLine="480" w:firstLineChars="200"/>
        <w:contextualSpacing/>
        <w:rPr>
          <w:rFonts w:hint="eastAsia" w:hAnsi="宋体"/>
          <w:bCs/>
          <w:sz w:val="24"/>
          <w:szCs w:val="24"/>
        </w:rPr>
      </w:pPr>
      <w:r>
        <w:rPr>
          <w:rFonts w:hint="eastAsia" w:hAnsi="宋体"/>
          <w:bCs/>
          <w:sz w:val="24"/>
          <w:szCs w:val="24"/>
        </w:rPr>
        <w:t>授权代表：</w:t>
      </w:r>
      <w:r>
        <w:rPr>
          <w:rFonts w:hint="eastAsia" w:hAnsi="宋体"/>
          <w:bCs/>
          <w:sz w:val="24"/>
          <w:szCs w:val="24"/>
          <w:u w:val="single"/>
        </w:rPr>
        <w:t xml:space="preserve">                      </w:t>
      </w:r>
    </w:p>
    <w:p>
      <w:pPr>
        <w:pStyle w:val="14"/>
        <w:spacing w:line="360" w:lineRule="auto"/>
        <w:ind w:firstLine="480" w:firstLineChars="200"/>
        <w:contextualSpacing/>
        <w:rPr>
          <w:rFonts w:hint="eastAsia" w:hAnsi="宋体"/>
          <w:bCs/>
          <w:sz w:val="24"/>
          <w:szCs w:val="24"/>
          <w:u w:val="single"/>
        </w:rPr>
      </w:pP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pPr>
        <w:pStyle w:val="14"/>
        <w:spacing w:line="360" w:lineRule="auto"/>
        <w:ind w:firstLine="480" w:firstLineChars="200"/>
        <w:contextualSpacing/>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14"/>
        <w:spacing w:line="360" w:lineRule="auto"/>
        <w:ind w:firstLine="482" w:firstLineChars="200"/>
        <w:contextualSpacing/>
        <w:rPr>
          <w:rFonts w:hint="eastAsia" w:hAnsi="宋体"/>
          <w:b/>
          <w:bCs/>
          <w:sz w:val="24"/>
          <w:szCs w:val="24"/>
        </w:rPr>
      </w:pPr>
      <w:r>
        <w:rPr>
          <w:rFonts w:hint="eastAsia" w:hAnsi="宋体"/>
          <w:b/>
          <w:bCs/>
          <w:sz w:val="24"/>
          <w:szCs w:val="24"/>
        </w:rPr>
        <w:t>二、质疑项目基本情况：</w:t>
      </w:r>
    </w:p>
    <w:p>
      <w:pPr>
        <w:pStyle w:val="14"/>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p>
    <w:p>
      <w:pPr>
        <w:pStyle w:val="14"/>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rPr>
        <w:t xml:space="preserve">                                     </w:t>
      </w:r>
    </w:p>
    <w:p>
      <w:pPr>
        <w:pStyle w:val="14"/>
        <w:spacing w:line="360" w:lineRule="auto"/>
        <w:ind w:left="25" w:leftChars="12" w:firstLine="472" w:firstLineChars="197"/>
        <w:contextualSpacing/>
        <w:rPr>
          <w:rFonts w:hint="eastAsia" w:hAnsi="宋体"/>
          <w:sz w:val="24"/>
          <w:szCs w:val="24"/>
        </w:rPr>
      </w:pPr>
      <w:r>
        <w:rPr>
          <w:rFonts w:hint="eastAsia" w:hAnsi="宋体"/>
          <w:sz w:val="24"/>
          <w:szCs w:val="24"/>
        </w:rPr>
        <w:t>采购人名称：</w:t>
      </w:r>
      <w:r>
        <w:rPr>
          <w:rFonts w:hint="eastAsia" w:hAnsi="宋体"/>
          <w:bCs/>
          <w:sz w:val="24"/>
          <w:szCs w:val="24"/>
          <w:u w:val="single"/>
        </w:rPr>
        <w:t xml:space="preserve">                                         </w:t>
      </w:r>
    </w:p>
    <w:p>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w:t>
      </w:r>
    </w:p>
    <w:p>
      <w:pPr>
        <w:pStyle w:val="14"/>
        <w:spacing w:line="360" w:lineRule="auto"/>
        <w:ind w:left="25" w:leftChars="12" w:firstLine="352" w:firstLineChars="147"/>
        <w:contextualSpacing/>
        <w:rPr>
          <w:rFonts w:hint="eastAsia" w:hAnsi="宋体"/>
          <w:sz w:val="24"/>
          <w:szCs w:val="24"/>
        </w:rPr>
      </w:pPr>
      <w:r>
        <w:rPr>
          <w:rFonts w:hint="eastAsia" w:hAnsi="宋体"/>
          <w:sz w:val="24"/>
          <w:szCs w:val="24"/>
        </w:rPr>
        <w:t>□采购文件   采购文件获取日期：</w:t>
      </w:r>
      <w:r>
        <w:rPr>
          <w:rFonts w:hint="eastAsia" w:hAnsi="宋体"/>
          <w:bCs/>
          <w:sz w:val="24"/>
          <w:szCs w:val="24"/>
          <w:u w:val="single"/>
        </w:rPr>
        <w:t xml:space="preserve">                                   </w:t>
      </w:r>
    </w:p>
    <w:p>
      <w:pPr>
        <w:pStyle w:val="14"/>
        <w:spacing w:line="360" w:lineRule="auto"/>
        <w:ind w:left="25" w:leftChars="12" w:firstLine="352" w:firstLineChars="147"/>
        <w:contextualSpacing/>
        <w:rPr>
          <w:rFonts w:hint="eastAsia" w:hAnsi="宋体"/>
          <w:sz w:val="24"/>
          <w:szCs w:val="24"/>
        </w:rPr>
      </w:pPr>
      <w:r>
        <w:rPr>
          <w:rFonts w:hint="eastAsia" w:hAnsi="宋体"/>
          <w:sz w:val="24"/>
          <w:szCs w:val="24"/>
        </w:rPr>
        <w:t xml:space="preserve">□采购过程   </w:t>
      </w:r>
    </w:p>
    <w:p>
      <w:pPr>
        <w:pStyle w:val="14"/>
        <w:spacing w:line="360" w:lineRule="auto"/>
        <w:ind w:left="25" w:leftChars="12" w:firstLine="352" w:firstLineChars="147"/>
        <w:contextualSpacing/>
        <w:rPr>
          <w:rFonts w:hint="eastAsia" w:hAnsi="宋体"/>
          <w:bCs/>
          <w:sz w:val="24"/>
          <w:szCs w:val="24"/>
          <w:u w:val="single"/>
        </w:rPr>
      </w:pPr>
      <w:r>
        <w:rPr>
          <w:rFonts w:hint="eastAsia" w:hAnsi="宋体"/>
          <w:sz w:val="24"/>
          <w:szCs w:val="24"/>
        </w:rPr>
        <w:t xml:space="preserve">□成交结果   </w:t>
      </w:r>
    </w:p>
    <w:p>
      <w:pPr>
        <w:pStyle w:val="14"/>
        <w:spacing w:line="360" w:lineRule="auto"/>
        <w:ind w:left="25" w:leftChars="12" w:firstLine="472" w:firstLineChars="196"/>
        <w:contextualSpacing/>
        <w:rPr>
          <w:rFonts w:hint="eastAsia" w:hAnsi="宋体"/>
          <w:b/>
          <w:sz w:val="24"/>
          <w:szCs w:val="24"/>
        </w:rPr>
      </w:pPr>
      <w:r>
        <w:rPr>
          <w:rFonts w:hint="eastAsia" w:hAnsi="宋体"/>
          <w:b/>
          <w:sz w:val="24"/>
          <w:szCs w:val="24"/>
        </w:rPr>
        <w:t>三、质疑事项具体内容</w:t>
      </w:r>
    </w:p>
    <w:p>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质疑事项1：</w:t>
      </w:r>
      <w:r>
        <w:rPr>
          <w:rFonts w:hint="eastAsia" w:hAnsi="宋体"/>
          <w:bCs/>
          <w:sz w:val="24"/>
          <w:szCs w:val="24"/>
          <w:u w:val="single"/>
        </w:rPr>
        <w:t xml:space="preserve">                                                                    </w:t>
      </w:r>
    </w:p>
    <w:p>
      <w:pPr>
        <w:pStyle w:val="14"/>
        <w:spacing w:line="360" w:lineRule="auto"/>
        <w:ind w:left="25" w:leftChars="12" w:firstLine="472" w:firstLineChars="197"/>
        <w:contextualSpacing/>
        <w:rPr>
          <w:rFonts w:hint="eastAsia" w:hAnsi="宋体"/>
          <w:sz w:val="24"/>
          <w:szCs w:val="24"/>
        </w:rPr>
      </w:pPr>
      <w:r>
        <w:rPr>
          <w:rFonts w:hint="eastAsia" w:hAnsi="宋体"/>
          <w:sz w:val="24"/>
          <w:szCs w:val="24"/>
        </w:rPr>
        <w:t>事实依据：</w:t>
      </w:r>
      <w:r>
        <w:rPr>
          <w:rFonts w:hint="eastAsia" w:hAnsi="宋体"/>
          <w:bCs/>
          <w:sz w:val="24"/>
          <w:szCs w:val="24"/>
          <w:u w:val="single"/>
        </w:rPr>
        <w:t xml:space="preserve">                                                                      </w:t>
      </w:r>
    </w:p>
    <w:p>
      <w:pPr>
        <w:pStyle w:val="14"/>
        <w:spacing w:line="360" w:lineRule="auto"/>
        <w:ind w:left="25" w:leftChars="12" w:firstLine="472" w:firstLineChars="197"/>
        <w:contextualSpacing/>
        <w:rPr>
          <w:rFonts w:hint="eastAsia"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质疑事项2</w:t>
      </w:r>
    </w:p>
    <w:p>
      <w:pPr>
        <w:pStyle w:val="14"/>
        <w:spacing w:line="360" w:lineRule="auto"/>
        <w:ind w:left="25" w:leftChars="12" w:firstLine="472" w:firstLineChars="197"/>
        <w:contextualSpacing/>
        <w:rPr>
          <w:rFonts w:hint="eastAsia" w:hAnsi="宋体"/>
          <w:sz w:val="24"/>
          <w:szCs w:val="24"/>
        </w:rPr>
      </w:pPr>
      <w:r>
        <w:rPr>
          <w:rFonts w:hAnsi="宋体"/>
          <w:sz w:val="24"/>
          <w:szCs w:val="24"/>
        </w:rPr>
        <w:t>……</w:t>
      </w:r>
    </w:p>
    <w:p>
      <w:pPr>
        <w:pStyle w:val="14"/>
        <w:spacing w:line="360" w:lineRule="auto"/>
        <w:ind w:left="25" w:leftChars="12" w:firstLine="472" w:firstLineChars="197"/>
        <w:contextualSpacing/>
        <w:rPr>
          <w:rFonts w:hint="eastAsia" w:hAnsi="宋体"/>
          <w:sz w:val="24"/>
          <w:szCs w:val="24"/>
        </w:rPr>
      </w:pPr>
      <w:r>
        <w:rPr>
          <w:rFonts w:hint="eastAsia" w:hAnsi="宋体"/>
          <w:sz w:val="24"/>
          <w:szCs w:val="24"/>
        </w:rPr>
        <w:t>四、与质疑事项相关的质疑请求：</w:t>
      </w:r>
    </w:p>
    <w:p>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pPr>
        <w:pStyle w:val="14"/>
        <w:spacing w:line="360" w:lineRule="auto"/>
        <w:ind w:left="25" w:leftChars="12" w:firstLine="352" w:firstLineChars="147"/>
        <w:contextualSpacing/>
        <w:rPr>
          <w:rFonts w:hint="eastAsia" w:hAnsi="宋体"/>
          <w:sz w:val="24"/>
          <w:szCs w:val="24"/>
        </w:rPr>
      </w:pPr>
    </w:p>
    <w:p>
      <w:pPr>
        <w:pStyle w:val="14"/>
        <w:spacing w:line="360" w:lineRule="auto"/>
        <w:ind w:left="25" w:leftChars="12" w:firstLine="472" w:firstLineChars="197"/>
        <w:contextualSpacing/>
        <w:rPr>
          <w:rFonts w:hint="eastAsia" w:hAnsi="宋体"/>
          <w:sz w:val="24"/>
          <w:szCs w:val="24"/>
        </w:rPr>
      </w:pPr>
      <w:r>
        <w:rPr>
          <w:rFonts w:hint="eastAsia" w:hAnsi="宋体"/>
          <w:sz w:val="24"/>
          <w:szCs w:val="24"/>
        </w:rPr>
        <w:t>签字（签章）：                                       公章：</w:t>
      </w:r>
    </w:p>
    <w:p>
      <w:pPr>
        <w:pStyle w:val="14"/>
        <w:spacing w:line="360" w:lineRule="auto"/>
        <w:ind w:left="25" w:leftChars="12" w:firstLine="352" w:firstLineChars="147"/>
        <w:contextualSpacing/>
        <w:rPr>
          <w:rFonts w:hint="eastAsia" w:hAnsi="宋体"/>
          <w:sz w:val="24"/>
          <w:szCs w:val="24"/>
        </w:rPr>
      </w:pPr>
    </w:p>
    <w:p>
      <w:pPr>
        <w:pStyle w:val="14"/>
        <w:spacing w:line="360" w:lineRule="auto"/>
        <w:ind w:left="25" w:leftChars="12" w:firstLine="472" w:firstLineChars="197"/>
        <w:contextualSpacing/>
        <w:rPr>
          <w:rFonts w:hint="eastAsia" w:hAnsi="宋体"/>
          <w:sz w:val="24"/>
          <w:szCs w:val="24"/>
        </w:rPr>
      </w:pPr>
      <w:r>
        <w:rPr>
          <w:rFonts w:hint="eastAsia" w:hAnsi="宋体"/>
          <w:sz w:val="24"/>
          <w:szCs w:val="24"/>
        </w:rPr>
        <w:t>日期：</w:t>
      </w:r>
    </w:p>
    <w:p>
      <w:pPr>
        <w:pStyle w:val="14"/>
        <w:spacing w:line="360" w:lineRule="auto"/>
        <w:contextualSpacing/>
        <w:rPr>
          <w:rFonts w:hint="eastAsia" w:hAnsi="宋体"/>
          <w:b/>
          <w:sz w:val="24"/>
          <w:szCs w:val="24"/>
        </w:rPr>
      </w:pPr>
    </w:p>
    <w:p>
      <w:pPr>
        <w:pStyle w:val="14"/>
        <w:spacing w:line="360" w:lineRule="auto"/>
        <w:contextualSpacing/>
        <w:rPr>
          <w:rFonts w:hint="eastAsia" w:hAnsi="宋体"/>
          <w:b/>
          <w:sz w:val="24"/>
          <w:szCs w:val="24"/>
        </w:rPr>
      </w:pPr>
    </w:p>
    <w:p>
      <w:pPr>
        <w:pStyle w:val="14"/>
        <w:spacing w:line="360" w:lineRule="auto"/>
        <w:contextualSpacing/>
        <w:rPr>
          <w:rFonts w:hint="eastAsia" w:hAnsi="宋体"/>
          <w:b/>
          <w:sz w:val="24"/>
          <w:szCs w:val="24"/>
        </w:rPr>
      </w:pPr>
      <w:r>
        <w:rPr>
          <w:rFonts w:hint="eastAsia" w:hAnsi="宋体"/>
          <w:b/>
          <w:sz w:val="24"/>
          <w:szCs w:val="24"/>
        </w:rPr>
        <w:t>说明：</w:t>
      </w:r>
    </w:p>
    <w:p>
      <w:pPr>
        <w:pStyle w:val="14"/>
        <w:spacing w:line="360" w:lineRule="auto"/>
        <w:ind w:left="25" w:leftChars="12" w:firstLine="354" w:firstLineChars="147"/>
        <w:contextualSpacing/>
        <w:rPr>
          <w:rFonts w:hint="eastAsia"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3.质疑函的质疑事项应具体、明确，并有必要的事实依据和法律依据。</w:t>
      </w:r>
    </w:p>
    <w:p>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4.质疑函的质疑请求应与质疑事项相关。</w:t>
      </w:r>
    </w:p>
    <w:p>
      <w:pPr>
        <w:pStyle w:val="14"/>
        <w:spacing w:line="360" w:lineRule="auto"/>
        <w:ind w:left="25" w:leftChars="12" w:firstLine="354" w:firstLineChars="147"/>
        <w:contextualSpacing/>
        <w:rPr>
          <w:rFonts w:hint="eastAsia" w:hAnsi="宋体"/>
          <w:b/>
        </w:rPr>
      </w:pPr>
      <w:r>
        <w:rPr>
          <w:rFonts w:hint="eastAsia" w:hAnsi="宋体"/>
          <w:b/>
          <w:sz w:val="24"/>
          <w:szCs w:val="24"/>
        </w:rPr>
        <w:t>5.质疑供应商为法人或者其他组织的，质疑函应由法定代表人、主要负责人，或者其授权代表签字或者盖章，并加盖公章。</w:t>
      </w:r>
    </w:p>
    <w:p>
      <w:pPr>
        <w:pStyle w:val="14"/>
        <w:snapToGrid w:val="0"/>
        <w:rPr>
          <w:rFonts w:hint="eastAsia"/>
          <w:b/>
          <w:sz w:val="24"/>
          <w:szCs w:val="24"/>
        </w:rPr>
      </w:pPr>
    </w:p>
    <w:p>
      <w:pPr>
        <w:spacing w:line="460" w:lineRule="exact"/>
        <w:jc w:val="center"/>
        <w:rPr>
          <w:rFonts w:hint="eastAsia" w:eastAsia="隶书"/>
          <w:sz w:val="44"/>
        </w:rPr>
      </w:pPr>
      <w:r>
        <w:rPr>
          <w:rFonts w:eastAsia="隶书"/>
          <w:sz w:val="44"/>
        </w:rPr>
        <w:br w:type="page"/>
      </w:r>
    </w:p>
    <w:p>
      <w:pPr>
        <w:spacing w:line="360" w:lineRule="auto"/>
        <w:jc w:val="center"/>
        <w:rPr>
          <w:rFonts w:hint="eastAsia" w:ascii="宋体" w:hAnsi="宋体"/>
          <w:b/>
          <w:bCs/>
          <w:sz w:val="32"/>
          <w:szCs w:val="32"/>
        </w:rPr>
      </w:pPr>
      <w:r>
        <w:rPr>
          <w:rFonts w:hint="eastAsia" w:ascii="宋体" w:hAnsi="宋体"/>
          <w:b/>
          <w:bCs/>
          <w:sz w:val="32"/>
          <w:szCs w:val="32"/>
        </w:rPr>
        <w:t>投诉书（格式）</w:t>
      </w:r>
    </w:p>
    <w:p>
      <w:pPr>
        <w:pStyle w:val="14"/>
        <w:snapToGrid w:val="0"/>
        <w:spacing w:line="360" w:lineRule="auto"/>
        <w:ind w:firstLine="482" w:firstLineChars="200"/>
        <w:rPr>
          <w:rFonts w:hAnsi="宋体"/>
          <w:b/>
          <w:bCs/>
          <w:sz w:val="24"/>
          <w:szCs w:val="24"/>
        </w:rPr>
      </w:pPr>
      <w:r>
        <w:rPr>
          <w:rFonts w:hint="eastAsia" w:hAnsi="宋体"/>
          <w:b/>
          <w:bCs/>
          <w:sz w:val="24"/>
          <w:szCs w:val="24"/>
        </w:rPr>
        <w:t>一、投诉相关主体基本情况：</w:t>
      </w:r>
    </w:p>
    <w:p>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pPr>
        <w:pStyle w:val="14"/>
        <w:snapToGrid w:val="0"/>
        <w:spacing w:line="360" w:lineRule="auto"/>
        <w:ind w:firstLine="480" w:firstLineChars="200"/>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pPr>
        <w:pStyle w:val="14"/>
        <w:snapToGrid w:val="0"/>
        <w:spacing w:line="360" w:lineRule="auto"/>
        <w:ind w:firstLine="480" w:firstLineChars="200"/>
        <w:rPr>
          <w:rFonts w:hint="eastAsia" w:hAnsi="宋体"/>
          <w:bCs/>
          <w:sz w:val="24"/>
          <w:szCs w:val="24"/>
        </w:rPr>
      </w:pP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pPr>
        <w:pStyle w:val="14"/>
        <w:snapToGrid w:val="0"/>
        <w:spacing w:line="360" w:lineRule="auto"/>
        <w:ind w:firstLine="480" w:firstLineChars="200"/>
        <w:rPr>
          <w:rFonts w:hint="eastAsia"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p>
    <w:p>
      <w:pPr>
        <w:pStyle w:val="14"/>
        <w:snapToGrid w:val="0"/>
        <w:spacing w:line="360" w:lineRule="auto"/>
        <w:ind w:firstLine="480" w:firstLineChars="200"/>
        <w:rPr>
          <w:rFonts w:hint="eastAsia"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14"/>
        <w:snapToGrid w:val="0"/>
        <w:spacing w:line="360" w:lineRule="auto"/>
        <w:ind w:firstLine="480" w:firstLineChars="200"/>
        <w:rPr>
          <w:rFonts w:hint="eastAsia" w:hAnsi="宋体"/>
          <w:bCs/>
          <w:sz w:val="24"/>
          <w:szCs w:val="24"/>
        </w:rPr>
      </w:pPr>
      <w:r>
        <w:rPr>
          <w:rFonts w:hint="eastAsia" w:hAnsi="宋体"/>
          <w:bCs/>
          <w:sz w:val="24"/>
          <w:szCs w:val="24"/>
        </w:rPr>
        <w:t>被投诉人1：</w:t>
      </w:r>
    </w:p>
    <w:p>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pPr>
        <w:pStyle w:val="14"/>
        <w:snapToGrid w:val="0"/>
        <w:spacing w:line="360" w:lineRule="auto"/>
        <w:ind w:firstLine="480" w:firstLineChars="200"/>
        <w:rPr>
          <w:rFonts w:hint="eastAsia"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pPr>
        <w:pStyle w:val="14"/>
        <w:snapToGrid w:val="0"/>
        <w:spacing w:line="360" w:lineRule="auto"/>
        <w:ind w:firstLine="480" w:firstLineChars="200"/>
        <w:rPr>
          <w:rFonts w:hint="eastAsia" w:hAnsi="宋体"/>
          <w:bCs/>
          <w:sz w:val="24"/>
          <w:szCs w:val="24"/>
        </w:rPr>
      </w:pPr>
      <w:r>
        <w:rPr>
          <w:rFonts w:hint="eastAsia" w:hAnsi="宋体"/>
          <w:bCs/>
          <w:sz w:val="24"/>
          <w:szCs w:val="24"/>
        </w:rPr>
        <w:t>被投诉人2：</w:t>
      </w:r>
    </w:p>
    <w:p>
      <w:pPr>
        <w:pStyle w:val="14"/>
        <w:snapToGrid w:val="0"/>
        <w:spacing w:line="360" w:lineRule="auto"/>
        <w:ind w:firstLine="480" w:firstLineChars="200"/>
        <w:rPr>
          <w:rFonts w:hint="eastAsia" w:hAnsi="宋体"/>
          <w:bCs/>
          <w:sz w:val="24"/>
          <w:szCs w:val="24"/>
        </w:rPr>
      </w:pPr>
      <w:r>
        <w:rPr>
          <w:rFonts w:hAnsi="宋体"/>
          <w:bCs/>
          <w:sz w:val="24"/>
          <w:szCs w:val="24"/>
        </w:rPr>
        <w:t>……</w:t>
      </w:r>
    </w:p>
    <w:p>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pPr>
        <w:pStyle w:val="14"/>
        <w:snapToGrid w:val="0"/>
        <w:spacing w:line="360" w:lineRule="auto"/>
        <w:ind w:firstLine="480" w:firstLineChars="200"/>
        <w:rPr>
          <w:rFonts w:hint="eastAsia"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p>
    <w:p>
      <w:pPr>
        <w:pStyle w:val="14"/>
        <w:snapToGrid w:val="0"/>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r>
        <w:rPr>
          <w:rFonts w:hint="eastAsia" w:hAnsi="宋体"/>
          <w:bCs/>
          <w:sz w:val="24"/>
          <w:szCs w:val="24"/>
        </w:rPr>
        <w:t xml:space="preserve">                </w:t>
      </w:r>
    </w:p>
    <w:p>
      <w:pPr>
        <w:pStyle w:val="14"/>
        <w:snapToGrid w:val="0"/>
        <w:spacing w:line="360" w:lineRule="auto"/>
        <w:ind w:firstLine="482" w:firstLineChars="200"/>
        <w:rPr>
          <w:rFonts w:hint="eastAsia" w:hAnsi="宋体"/>
          <w:b/>
          <w:bCs/>
          <w:sz w:val="24"/>
          <w:szCs w:val="24"/>
        </w:rPr>
      </w:pPr>
      <w:r>
        <w:rPr>
          <w:rFonts w:hint="eastAsia" w:hAnsi="宋体"/>
          <w:b/>
          <w:bCs/>
          <w:sz w:val="24"/>
          <w:szCs w:val="24"/>
        </w:rPr>
        <w:t>二、投诉项目基本情况：</w:t>
      </w:r>
    </w:p>
    <w:p>
      <w:pPr>
        <w:pStyle w:val="14"/>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p>
    <w:p>
      <w:pPr>
        <w:pStyle w:val="14"/>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rPr>
        <w:t xml:space="preserve">                                          </w:t>
      </w:r>
    </w:p>
    <w:p>
      <w:pPr>
        <w:pStyle w:val="14"/>
        <w:spacing w:line="360" w:lineRule="auto"/>
        <w:ind w:left="25" w:leftChars="12" w:firstLine="472" w:firstLineChars="197"/>
        <w:rPr>
          <w:rFonts w:hint="eastAsia"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p>
    <w:p>
      <w:pPr>
        <w:pStyle w:val="14"/>
        <w:spacing w:line="360" w:lineRule="auto"/>
        <w:ind w:left="25" w:leftChars="12" w:firstLine="472" w:firstLineChars="197"/>
        <w:rPr>
          <w:rFonts w:hint="eastAsia" w:hAnsi="宋体"/>
          <w:bCs/>
          <w:sz w:val="24"/>
          <w:szCs w:val="24"/>
          <w:u w:val="single"/>
        </w:rPr>
      </w:pPr>
      <w:r>
        <w:rPr>
          <w:rFonts w:hint="eastAsia" w:hAnsi="宋体"/>
          <w:sz w:val="24"/>
          <w:szCs w:val="24"/>
        </w:rPr>
        <w:t>代理机构名称：</w:t>
      </w:r>
      <w:r>
        <w:rPr>
          <w:rFonts w:hint="eastAsia" w:hAnsi="宋体"/>
          <w:bCs/>
          <w:sz w:val="24"/>
          <w:szCs w:val="24"/>
          <w:u w:val="single"/>
        </w:rPr>
        <w:t xml:space="preserve">                                                                      </w:t>
      </w:r>
    </w:p>
    <w:p>
      <w:pPr>
        <w:pStyle w:val="14"/>
        <w:spacing w:line="360" w:lineRule="auto"/>
        <w:ind w:left="25" w:leftChars="12" w:firstLine="472" w:firstLineChars="197"/>
        <w:rPr>
          <w:rFonts w:hint="eastAsia"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pPr>
        <w:pStyle w:val="14"/>
        <w:spacing w:line="360" w:lineRule="auto"/>
        <w:ind w:left="25" w:leftChars="12" w:firstLine="472" w:firstLineChars="197"/>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pPr>
        <w:pStyle w:val="14"/>
        <w:spacing w:line="360" w:lineRule="auto"/>
        <w:ind w:left="25" w:leftChars="12" w:firstLine="472" w:firstLineChars="196"/>
        <w:rPr>
          <w:rFonts w:hint="eastAsia" w:hAnsi="宋体"/>
          <w:b/>
          <w:sz w:val="24"/>
          <w:szCs w:val="24"/>
        </w:rPr>
      </w:pPr>
      <w:r>
        <w:rPr>
          <w:rFonts w:hint="eastAsia" w:hAnsi="宋体"/>
          <w:b/>
          <w:sz w:val="24"/>
          <w:szCs w:val="24"/>
        </w:rPr>
        <w:t>三、质疑基本情况</w:t>
      </w:r>
    </w:p>
    <w:p>
      <w:pPr>
        <w:pStyle w:val="14"/>
        <w:spacing w:line="360" w:lineRule="auto"/>
        <w:ind w:firstLine="480" w:firstLineChars="200"/>
        <w:rPr>
          <w:rFonts w:hint="eastAsia"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pPr>
        <w:pStyle w:val="14"/>
        <w:spacing w:line="360" w:lineRule="auto"/>
        <w:ind w:firstLine="241"/>
        <w:rPr>
          <w:rFonts w:hint="eastAsia"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pPr>
        <w:pStyle w:val="14"/>
        <w:spacing w:line="360" w:lineRule="auto"/>
        <w:ind w:firstLine="241"/>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pPr>
        <w:pStyle w:val="14"/>
        <w:spacing w:line="360" w:lineRule="auto"/>
        <w:ind w:firstLine="480" w:firstLineChars="200"/>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pPr>
        <w:pStyle w:val="14"/>
        <w:spacing w:line="360" w:lineRule="auto"/>
        <w:ind w:left="25" w:leftChars="12" w:firstLine="472" w:firstLineChars="196"/>
        <w:rPr>
          <w:rFonts w:hint="eastAsia" w:hAnsi="宋体"/>
          <w:b/>
          <w:sz w:val="24"/>
          <w:szCs w:val="24"/>
        </w:rPr>
      </w:pPr>
      <w:r>
        <w:rPr>
          <w:rFonts w:hint="eastAsia" w:hAnsi="宋体"/>
          <w:b/>
          <w:sz w:val="24"/>
          <w:szCs w:val="24"/>
        </w:rPr>
        <w:t>四、投诉事项具体内容</w:t>
      </w:r>
    </w:p>
    <w:p>
      <w:pPr>
        <w:pStyle w:val="14"/>
        <w:spacing w:line="360" w:lineRule="auto"/>
        <w:ind w:left="25" w:leftChars="12" w:firstLine="472" w:firstLineChars="197"/>
        <w:rPr>
          <w:rFonts w:hint="eastAsia"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pPr>
        <w:pStyle w:val="14"/>
        <w:spacing w:line="360" w:lineRule="auto"/>
        <w:ind w:firstLine="480" w:firstLineChars="200"/>
        <w:rPr>
          <w:rFonts w:hint="eastAsia"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pPr>
        <w:pStyle w:val="14"/>
        <w:spacing w:line="360" w:lineRule="auto"/>
        <w:ind w:left="25" w:leftChars="12" w:firstLine="472" w:firstLineChars="197"/>
        <w:rPr>
          <w:rFonts w:hint="eastAsia" w:hAnsi="宋体"/>
          <w:sz w:val="24"/>
          <w:szCs w:val="24"/>
        </w:rPr>
      </w:pPr>
      <w:r>
        <w:rPr>
          <w:rFonts w:hint="eastAsia" w:hAnsi="宋体"/>
          <w:bCs/>
          <w:sz w:val="24"/>
          <w:szCs w:val="24"/>
          <w:u w:val="single"/>
        </w:rPr>
        <w:t xml:space="preserve">                                                                                        </w:t>
      </w:r>
    </w:p>
    <w:p>
      <w:pPr>
        <w:pStyle w:val="14"/>
        <w:spacing w:line="360" w:lineRule="auto"/>
        <w:ind w:firstLine="480" w:firstLineChars="200"/>
        <w:rPr>
          <w:rFonts w:hint="eastAsia"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pPr>
        <w:pStyle w:val="14"/>
        <w:spacing w:line="360" w:lineRule="auto"/>
        <w:ind w:left="25" w:leftChars="12" w:firstLine="352" w:firstLineChars="147"/>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pPr>
        <w:pStyle w:val="14"/>
        <w:spacing w:line="360" w:lineRule="auto"/>
        <w:ind w:left="25" w:leftChars="12" w:firstLine="472" w:firstLineChars="197"/>
        <w:rPr>
          <w:rFonts w:hint="eastAsia" w:hAnsi="宋体"/>
          <w:bCs/>
          <w:sz w:val="24"/>
          <w:szCs w:val="24"/>
        </w:rPr>
      </w:pPr>
      <w:r>
        <w:rPr>
          <w:rFonts w:hint="eastAsia" w:hAnsi="宋体"/>
          <w:sz w:val="24"/>
          <w:szCs w:val="24"/>
        </w:rPr>
        <w:t xml:space="preserve">投诉事项2  </w:t>
      </w:r>
      <w:r>
        <w:rPr>
          <w:rFonts w:hint="eastAsia" w:hAnsi="宋体"/>
          <w:bCs/>
          <w:sz w:val="24"/>
          <w:szCs w:val="24"/>
        </w:rPr>
        <w:t xml:space="preserve">   </w:t>
      </w:r>
    </w:p>
    <w:p>
      <w:pPr>
        <w:pStyle w:val="14"/>
        <w:spacing w:line="360" w:lineRule="auto"/>
        <w:ind w:left="25" w:leftChars="12" w:firstLine="472" w:firstLineChars="197"/>
        <w:rPr>
          <w:rFonts w:hint="eastAsia" w:hAnsi="宋体"/>
          <w:bCs/>
          <w:sz w:val="24"/>
          <w:szCs w:val="24"/>
        </w:rPr>
      </w:pPr>
      <w:r>
        <w:rPr>
          <w:rFonts w:hAnsi="宋体"/>
          <w:bCs/>
          <w:sz w:val="24"/>
          <w:szCs w:val="24"/>
        </w:rPr>
        <w:t>……</w:t>
      </w:r>
    </w:p>
    <w:p>
      <w:pPr>
        <w:pStyle w:val="14"/>
        <w:spacing w:line="360" w:lineRule="auto"/>
        <w:ind w:left="25" w:leftChars="12" w:firstLine="472" w:firstLineChars="196"/>
        <w:rPr>
          <w:rFonts w:hint="eastAsia" w:hAnsi="宋体"/>
          <w:b/>
          <w:sz w:val="24"/>
          <w:szCs w:val="24"/>
        </w:rPr>
      </w:pPr>
      <w:r>
        <w:rPr>
          <w:rFonts w:hint="eastAsia" w:hAnsi="宋体"/>
          <w:b/>
          <w:sz w:val="24"/>
          <w:szCs w:val="24"/>
        </w:rPr>
        <w:t>五、与投诉事项相关的投诉请求：</w:t>
      </w:r>
    </w:p>
    <w:p>
      <w:pPr>
        <w:pStyle w:val="14"/>
        <w:spacing w:line="360" w:lineRule="auto"/>
        <w:ind w:left="25"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pPr>
        <w:pStyle w:val="14"/>
        <w:spacing w:line="360" w:lineRule="auto"/>
        <w:ind w:left="25" w:leftChars="12" w:firstLine="352" w:firstLineChars="147"/>
        <w:rPr>
          <w:rFonts w:hint="eastAsia" w:hAnsi="宋体"/>
          <w:sz w:val="24"/>
          <w:szCs w:val="24"/>
        </w:rPr>
      </w:pPr>
    </w:p>
    <w:p>
      <w:pPr>
        <w:pStyle w:val="14"/>
        <w:spacing w:line="360" w:lineRule="auto"/>
        <w:ind w:left="25" w:leftChars="12" w:firstLine="472" w:firstLineChars="197"/>
        <w:rPr>
          <w:rFonts w:hint="eastAsia" w:hAnsi="宋体"/>
          <w:sz w:val="24"/>
          <w:szCs w:val="24"/>
        </w:rPr>
      </w:pPr>
      <w:r>
        <w:rPr>
          <w:rFonts w:hint="eastAsia" w:hAnsi="宋体"/>
          <w:sz w:val="24"/>
          <w:szCs w:val="24"/>
        </w:rPr>
        <w:t>签字（签章）：                                       公章：</w:t>
      </w:r>
    </w:p>
    <w:p>
      <w:pPr>
        <w:pStyle w:val="14"/>
        <w:spacing w:line="360" w:lineRule="auto"/>
        <w:ind w:left="25" w:leftChars="12" w:firstLine="352" w:firstLineChars="147"/>
        <w:rPr>
          <w:rFonts w:hint="eastAsia" w:hAnsi="宋体"/>
          <w:sz w:val="24"/>
          <w:szCs w:val="24"/>
        </w:rPr>
      </w:pPr>
    </w:p>
    <w:p>
      <w:pPr>
        <w:pStyle w:val="14"/>
        <w:spacing w:line="360" w:lineRule="auto"/>
        <w:ind w:left="25" w:leftChars="12" w:firstLine="472" w:firstLineChars="197"/>
        <w:rPr>
          <w:rFonts w:hint="eastAsia" w:hAnsi="宋体"/>
          <w:sz w:val="24"/>
          <w:szCs w:val="24"/>
        </w:rPr>
      </w:pPr>
      <w:r>
        <w:rPr>
          <w:rFonts w:hint="eastAsia" w:hAnsi="宋体"/>
          <w:sz w:val="24"/>
          <w:szCs w:val="24"/>
        </w:rPr>
        <w:t>日期：</w:t>
      </w:r>
    </w:p>
    <w:p>
      <w:pPr>
        <w:pStyle w:val="14"/>
        <w:spacing w:line="360" w:lineRule="auto"/>
        <w:ind w:left="25" w:leftChars="12" w:firstLine="472" w:firstLineChars="197"/>
        <w:rPr>
          <w:rFonts w:hint="eastAsia" w:hAnsi="宋体"/>
          <w:sz w:val="24"/>
          <w:szCs w:val="24"/>
        </w:rPr>
      </w:pPr>
      <w:r>
        <w:rPr>
          <w:rFonts w:hint="eastAsia" w:hAnsi="宋体"/>
          <w:bCs/>
          <w:sz w:val="24"/>
          <w:szCs w:val="24"/>
        </w:rPr>
        <w:t xml:space="preserve">                                                                                 </w:t>
      </w:r>
    </w:p>
    <w:p>
      <w:pPr>
        <w:pStyle w:val="14"/>
        <w:snapToGrid w:val="0"/>
        <w:spacing w:line="360" w:lineRule="auto"/>
        <w:rPr>
          <w:rFonts w:hint="eastAsia" w:hAnsi="宋体"/>
          <w:b/>
          <w:sz w:val="24"/>
          <w:szCs w:val="24"/>
        </w:rPr>
      </w:pPr>
    </w:p>
    <w:p>
      <w:pPr>
        <w:pStyle w:val="14"/>
        <w:snapToGrid w:val="0"/>
        <w:spacing w:line="360" w:lineRule="auto"/>
        <w:rPr>
          <w:rFonts w:hint="eastAsia" w:hAnsi="宋体"/>
          <w:b/>
          <w:sz w:val="24"/>
          <w:szCs w:val="24"/>
        </w:rPr>
      </w:pPr>
      <w:r>
        <w:rPr>
          <w:rFonts w:hint="eastAsia" w:hAnsi="宋体"/>
          <w:b/>
          <w:sz w:val="24"/>
          <w:szCs w:val="24"/>
        </w:rPr>
        <w:t>说明：</w:t>
      </w:r>
    </w:p>
    <w:p>
      <w:pPr>
        <w:pStyle w:val="14"/>
        <w:spacing w:line="360" w:lineRule="auto"/>
        <w:ind w:left="25"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pPr>
        <w:pStyle w:val="14"/>
        <w:spacing w:line="360" w:lineRule="auto"/>
        <w:ind w:left="25"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4"/>
        <w:spacing w:line="360" w:lineRule="auto"/>
        <w:ind w:left="25"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pPr>
        <w:pStyle w:val="14"/>
        <w:spacing w:line="360" w:lineRule="auto"/>
        <w:ind w:left="25"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pPr>
        <w:pStyle w:val="14"/>
        <w:spacing w:line="360" w:lineRule="auto"/>
        <w:ind w:left="25" w:leftChars="12" w:firstLine="354" w:firstLineChars="147"/>
        <w:rPr>
          <w:rFonts w:hint="eastAsia" w:hAnsi="宋体"/>
          <w:b/>
          <w:sz w:val="24"/>
          <w:szCs w:val="24"/>
        </w:rPr>
      </w:pPr>
      <w:r>
        <w:rPr>
          <w:rFonts w:hint="eastAsia" w:hAnsi="宋体"/>
          <w:b/>
          <w:sz w:val="24"/>
          <w:szCs w:val="24"/>
        </w:rPr>
        <w:t>5.投诉书的投诉请求应与投诉事项相关。</w:t>
      </w:r>
    </w:p>
    <w:p>
      <w:pPr>
        <w:pStyle w:val="14"/>
        <w:spacing w:line="360" w:lineRule="auto"/>
        <w:ind w:left="25" w:leftChars="12" w:firstLine="354" w:firstLineChars="147"/>
        <w:rPr>
          <w:rFonts w:hint="eastAsia" w:hAnsi="宋体"/>
          <w:b/>
        </w:rPr>
      </w:pPr>
      <w:r>
        <w:rPr>
          <w:rFonts w:hint="eastAsia" w:hAnsi="宋体"/>
          <w:b/>
          <w:sz w:val="24"/>
          <w:szCs w:val="24"/>
        </w:rPr>
        <w:t>6.投诉人为法人或者其他组织的，投诉书应由法定代表人、主要负责人，或者其授权代表签字或者盖章，并加盖公章。</w:t>
      </w:r>
    </w:p>
    <w:p/>
    <w:sectPr>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Regular">
    <w:altName w:val="Arial"/>
    <w:panose1 w:val="020B0604020202090204"/>
    <w:charset w:val="00"/>
    <w:family w:val="auto"/>
    <w:pitch w:val="default"/>
    <w:sig w:usb0="00000000" w:usb1="00000000" w:usb2="00000001" w:usb3="00000000" w:csb0="400001BF" w:csb1="DFF70000"/>
  </w:font>
  <w:font w:name="方正小标宋简体">
    <w:panose1 w:val="03000509000000000000"/>
    <w:charset w:val="86"/>
    <w:family w:val="script"/>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5</w:t>
                    </w:r>
                    <w:r>
                      <w:fldChar w:fldCharType="end"/>
                    </w:r>
                  </w:p>
                </w:txbxContent>
              </v:textbox>
            </v:shape>
          </w:pict>
        </mc:Fallback>
      </mc:AlternateConten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jc w:val="center"/>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5"/>
                      <w:jc w:val="center"/>
                    </w:pPr>
                    <w:r>
                      <w:fldChar w:fldCharType="begin"/>
                    </w:r>
                    <w:r>
                      <w:instrText xml:space="preserve"> PAGE  \* MERGEFORMAT </w:instrText>
                    </w:r>
                    <w:r>
                      <w:fldChar w:fldCharType="separate"/>
                    </w:r>
                    <w:r>
                      <w:t>13</w:t>
                    </w:r>
                    <w:r>
                      <w:fldChar w:fldCharType="end"/>
                    </w:r>
                  </w:p>
                </w:txbxContent>
              </v:textbox>
            </v:shape>
          </w:pict>
        </mc:Fallback>
      </mc:AlternateConten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0"/>
        <w:tab w:val="clear" w:pos="4153"/>
      </w:tabs>
      <w:rPr>
        <w:lang w:val="en-US"/>
      </w:rPr>
    </w:pPr>
    <w:r>
      <w:rPr>
        <w:rFonts w:hint="eastAsia"/>
        <w:lang w:eastAsia="zh-CN"/>
      </w:rPr>
      <w:t>南宁市政府采购</w:t>
    </w:r>
    <w:r>
      <w:rPr>
        <w:rFonts w:hint="eastAsia"/>
      </w:rPr>
      <w:t>竞争性</w:t>
    </w:r>
    <w:r>
      <w:rPr>
        <w:rFonts w:hint="eastAsia"/>
        <w:lang w:val="en-US" w:eastAsia="zh-CN"/>
      </w:rPr>
      <w:t>谈判</w:t>
    </w:r>
    <w:r>
      <w:rPr>
        <w:rFonts w:hint="eastAsia"/>
      </w:rPr>
      <w:t>采购</w:t>
    </w:r>
    <w:r>
      <w:rPr>
        <w:rFonts w:hint="eastAsia"/>
        <w:lang w:eastAsia="zh-CN"/>
      </w:rPr>
      <w:t>文件</w:t>
    </w:r>
    <w:r>
      <w:rPr>
        <w:rFonts w:hint="eastAsia"/>
        <w:lang w:val="en-US" w:eastAsia="zh-CN"/>
      </w:rPr>
      <w:t xml:space="preserve">                                    </w:t>
    </w:r>
    <w:r>
      <w:rPr>
        <w:rFonts w:hint="eastAsia"/>
        <w:lang w:eastAsia="zh-CN"/>
      </w:rPr>
      <w:t>（</w:t>
    </w:r>
    <w:r>
      <w:rPr>
        <w:rFonts w:hint="eastAsia"/>
      </w:rPr>
      <w:t>项目编号：</w:t>
    </w:r>
    <w:r>
      <w:rPr>
        <w:rFonts w:ascii="宋体" w:hAnsi="宋体" w:eastAsia="宋体" w:cs="宋体"/>
        <w:color w:val="000000"/>
        <w:sz w:val="18"/>
        <w:szCs w:val="18"/>
      </w:rPr>
      <w:t>GXZC2021-</w:t>
    </w:r>
    <w:r>
      <w:rPr>
        <w:rFonts w:hint="eastAsia" w:ascii="宋体" w:hAnsi="宋体" w:cs="宋体"/>
        <w:color w:val="000000"/>
        <w:sz w:val="18"/>
        <w:szCs w:val="18"/>
        <w:lang w:val="en-US" w:eastAsia="zh-CN"/>
      </w:rPr>
      <w:t>3J</w:t>
    </w:r>
    <w:r>
      <w:rPr>
        <w:rFonts w:hint="eastAsia"/>
        <w:lang w:eastAsia="zh-CN"/>
      </w:rPr>
      <w:t>）</w:t>
    </w:r>
  </w:p>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0"/>
        <w:tab w:val="clear" w:pos="4153"/>
      </w:tabs>
      <w:rPr>
        <w:lang w:val="en-US"/>
      </w:rPr>
    </w:pPr>
    <w:r>
      <w:rPr>
        <w:rFonts w:hint="eastAsia"/>
        <w:lang w:eastAsia="zh-CN"/>
      </w:rPr>
      <w:t>南宁市政府采购</w:t>
    </w:r>
    <w:r>
      <w:rPr>
        <w:rFonts w:hint="eastAsia"/>
      </w:rPr>
      <w:t>竞争性</w:t>
    </w:r>
    <w:r>
      <w:rPr>
        <w:rFonts w:hint="eastAsia"/>
        <w:lang w:val="en-US" w:eastAsia="zh-CN"/>
      </w:rPr>
      <w:t>谈判</w:t>
    </w:r>
    <w:r>
      <w:rPr>
        <w:rFonts w:hint="eastAsia"/>
      </w:rPr>
      <w:t>采购</w:t>
    </w:r>
    <w:r>
      <w:rPr>
        <w:rFonts w:hint="eastAsia"/>
        <w:lang w:eastAsia="zh-CN"/>
      </w:rPr>
      <w:t>文件（</w:t>
    </w:r>
    <w:r>
      <w:rPr>
        <w:rFonts w:hint="eastAsia"/>
      </w:rPr>
      <w:t>项目编号：</w:t>
    </w:r>
    <w:bookmarkStart w:id="263" w:name="PO_3000001871_PM001_1"/>
    <w:r>
      <w:rPr>
        <w:rFonts w:hint="eastAsia"/>
        <w:lang w:eastAsia="zh-CN"/>
      </w:rPr>
      <w:t>GXZC202</w:t>
    </w:r>
    <w:r>
      <w:rPr>
        <w:rFonts w:hint="eastAsia"/>
        <w:lang w:val="en-US" w:eastAsia="zh-CN"/>
      </w:rPr>
      <w:t>2</w:t>
    </w:r>
    <w:r>
      <w:rPr>
        <w:rFonts w:hint="eastAsia"/>
        <w:lang w:eastAsia="zh-CN"/>
      </w:rPr>
      <w:t>-</w:t>
    </w:r>
    <w:bookmarkEnd w:id="263"/>
    <w:r>
      <w:rPr>
        <w:rFonts w:hint="eastAsia"/>
        <w:lang w:val="en-US" w:eastAsia="zh-CN"/>
      </w:rPr>
      <w:t>3J</w:t>
    </w:r>
    <w:r>
      <w:rPr>
        <w:rFonts w:hint="eastAsia"/>
        <w:lang w:eastAsia="zh-CN"/>
      </w:rPr>
      <w:t>）</w:t>
    </w:r>
  </w:p>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C82152"/>
    <w:multiLevelType w:val="singleLevel"/>
    <w:tmpl w:val="ABC82152"/>
    <w:lvl w:ilvl="0" w:tentative="0">
      <w:start w:val="4"/>
      <w:numFmt w:val="decimal"/>
      <w:lvlText w:val="%1."/>
      <w:lvlJc w:val="left"/>
      <w:pPr>
        <w:tabs>
          <w:tab w:val="left" w:pos="312"/>
        </w:tabs>
      </w:pPr>
    </w:lvl>
  </w:abstractNum>
  <w:abstractNum w:abstractNumId="1">
    <w:nsid w:val="BE603156"/>
    <w:multiLevelType w:val="singleLevel"/>
    <w:tmpl w:val="BE603156"/>
    <w:lvl w:ilvl="0" w:tentative="0">
      <w:start w:val="1"/>
      <w:numFmt w:val="decimal"/>
      <w:pStyle w:val="6"/>
      <w:lvlText w:val="%1."/>
      <w:lvlJc w:val="left"/>
      <w:pPr>
        <w:tabs>
          <w:tab w:val="left" w:pos="360"/>
        </w:tabs>
        <w:ind w:left="360" w:hanging="360"/>
      </w:pPr>
    </w:lvl>
  </w:abstractNum>
  <w:abstractNum w:abstractNumId="2">
    <w:nsid w:val="D7FA7BDC"/>
    <w:multiLevelType w:val="singleLevel"/>
    <w:tmpl w:val="D7FA7BDC"/>
    <w:lvl w:ilvl="0" w:tentative="0">
      <w:start w:val="1"/>
      <w:numFmt w:val="decimal"/>
      <w:lvlText w:val="%1."/>
      <w:lvlJc w:val="left"/>
      <w:pPr>
        <w:tabs>
          <w:tab w:val="left" w:pos="312"/>
        </w:tabs>
      </w:pPr>
    </w:lvl>
  </w:abstractNum>
  <w:abstractNum w:abstractNumId="3">
    <w:nsid w:val="33EC9C7C"/>
    <w:multiLevelType w:val="singleLevel"/>
    <w:tmpl w:val="33EC9C7C"/>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0A5A19"/>
    <w:rsid w:val="00E267EA"/>
    <w:rsid w:val="06AF71E8"/>
    <w:rsid w:val="0DCB611D"/>
    <w:rsid w:val="0F28662E"/>
    <w:rsid w:val="120A5A19"/>
    <w:rsid w:val="173945DF"/>
    <w:rsid w:val="1A3D4DDE"/>
    <w:rsid w:val="26A508EE"/>
    <w:rsid w:val="35146559"/>
    <w:rsid w:val="39047EC5"/>
    <w:rsid w:val="3B0D5254"/>
    <w:rsid w:val="3DC71C73"/>
    <w:rsid w:val="489422F6"/>
    <w:rsid w:val="4B1B44A4"/>
    <w:rsid w:val="59BD7425"/>
    <w:rsid w:val="6474163F"/>
    <w:rsid w:val="67853BD3"/>
    <w:rsid w:val="71475356"/>
    <w:rsid w:val="71E53B21"/>
    <w:rsid w:val="728D1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2">
    <w:name w:val="heading 6"/>
    <w:basedOn w:val="1"/>
    <w:next w:val="1"/>
    <w:qFormat/>
    <w:uiPriority w:val="0"/>
    <w:pPr>
      <w:wordWrap w:val="0"/>
      <w:spacing w:after="160"/>
      <w:ind w:left="2000" w:hanging="400"/>
      <w:jc w:val="both"/>
      <w:outlineLvl w:val="5"/>
    </w:pPr>
    <w:rPr>
      <w:b/>
      <w:sz w:val="21"/>
      <w:lang w:val="en-US" w:eastAsia="zh-CN" w:bidi="ar-SA"/>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6">
    <w:name w:val="List Number"/>
    <w:basedOn w:val="1"/>
    <w:qFormat/>
    <w:uiPriority w:val="0"/>
    <w:pPr>
      <w:numPr>
        <w:ilvl w:val="0"/>
        <w:numId w:val="1"/>
      </w:numPr>
    </w:pPr>
  </w:style>
  <w:style w:type="paragraph" w:styleId="7">
    <w:name w:val="Normal Indent"/>
    <w:basedOn w:val="1"/>
    <w:unhideWhenUsed/>
    <w:qFormat/>
    <w:uiPriority w:val="99"/>
    <w:pPr>
      <w:ind w:firstLine="420"/>
    </w:pPr>
    <w:rPr>
      <w:szCs w:val="20"/>
    </w:rPr>
  </w:style>
  <w:style w:type="paragraph" w:styleId="8">
    <w:name w:val="annotation text"/>
    <w:basedOn w:val="1"/>
    <w:unhideWhenUsed/>
    <w:qFormat/>
    <w:uiPriority w:val="99"/>
    <w:pPr>
      <w:jc w:val="left"/>
    </w:pPr>
  </w:style>
  <w:style w:type="paragraph" w:styleId="9">
    <w:name w:val="Body Text 3"/>
    <w:basedOn w:val="1"/>
    <w:unhideWhenUsed/>
    <w:qFormat/>
    <w:uiPriority w:val="99"/>
    <w:pPr>
      <w:spacing w:after="120"/>
    </w:pPr>
    <w:rPr>
      <w:sz w:val="16"/>
      <w:szCs w:val="16"/>
    </w:rPr>
  </w:style>
  <w:style w:type="paragraph" w:styleId="10">
    <w:name w:val="Body Text"/>
    <w:basedOn w:val="1"/>
    <w:unhideWhenUsed/>
    <w:qFormat/>
    <w:uiPriority w:val="99"/>
    <w:pPr>
      <w:spacing w:after="120"/>
    </w:pPr>
  </w:style>
  <w:style w:type="paragraph" w:styleId="11">
    <w:name w:val="Body Text Indent"/>
    <w:basedOn w:val="1"/>
    <w:unhideWhenUsed/>
    <w:qFormat/>
    <w:uiPriority w:val="99"/>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toc 3"/>
    <w:basedOn w:val="1"/>
    <w:next w:val="1"/>
    <w:unhideWhenUsed/>
    <w:qFormat/>
    <w:uiPriority w:val="39"/>
    <w:pPr>
      <w:ind w:left="840" w:leftChars="400"/>
    </w:pPr>
  </w:style>
  <w:style w:type="paragraph" w:styleId="14">
    <w:name w:val="Plain Text"/>
    <w:basedOn w:val="1"/>
    <w:next w:val="1"/>
    <w:unhideWhenUsed/>
    <w:qFormat/>
    <w:uiPriority w:val="99"/>
    <w:rPr>
      <w:rFonts w:ascii="宋体" w:hAnsi="Courier New"/>
      <w:kern w:val="0"/>
      <w:sz w:val="20"/>
      <w:szCs w:val="21"/>
    </w:rPr>
  </w:style>
  <w:style w:type="paragraph" w:styleId="15">
    <w:name w:val="footer"/>
    <w:basedOn w:val="1"/>
    <w:next w:val="1"/>
    <w:unhideWhenUsed/>
    <w:qFormat/>
    <w:uiPriority w:val="99"/>
    <w:pPr>
      <w:tabs>
        <w:tab w:val="center" w:pos="4153"/>
        <w:tab w:val="right" w:pos="8306"/>
      </w:tabs>
      <w:snapToGrid w:val="0"/>
      <w:jc w:val="left"/>
    </w:pPr>
    <w:rPr>
      <w:kern w:val="0"/>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List"/>
    <w:basedOn w:val="1"/>
    <w:unhideWhenUsed/>
    <w:qFormat/>
    <w:uiPriority w:val="99"/>
    <w:pPr>
      <w:ind w:left="200" w:hanging="200" w:hangingChars="200"/>
      <w:contextualSpacing/>
    </w:pPr>
  </w:style>
  <w:style w:type="paragraph" w:styleId="19">
    <w:name w:val="table of figures"/>
    <w:basedOn w:val="1"/>
    <w:next w:val="1"/>
    <w:qFormat/>
    <w:uiPriority w:val="0"/>
    <w:pPr>
      <w:ind w:leftChars="200" w:hanging="200" w:hangingChars="200"/>
    </w:pPr>
  </w:style>
  <w:style w:type="paragraph" w:styleId="20">
    <w:name w:val="toc 2"/>
    <w:basedOn w:val="1"/>
    <w:next w:val="1"/>
    <w:unhideWhenUsed/>
    <w:qFormat/>
    <w:uiPriority w:val="39"/>
    <w:pPr>
      <w:tabs>
        <w:tab w:val="right" w:leader="dot" w:pos="8296"/>
      </w:tabs>
      <w:ind w:left="420" w:leftChars="200"/>
    </w:pPr>
  </w:style>
  <w:style w:type="character" w:styleId="23">
    <w:name w:val="Hyperlink"/>
    <w:basedOn w:val="22"/>
    <w:unhideWhenUsed/>
    <w:qFormat/>
    <w:uiPriority w:val="99"/>
    <w:rPr>
      <w:color w:val="0000FF"/>
      <w:u w:val="none"/>
    </w:rPr>
  </w:style>
  <w:style w:type="paragraph" w:customStyle="1" w:styleId="2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5">
    <w:name w:val="font31"/>
    <w:basedOn w:val="22"/>
    <w:qFormat/>
    <w:uiPriority w:val="0"/>
    <w:rPr>
      <w:rFonts w:hint="eastAsia" w:ascii="微软雅黑" w:hAnsi="微软雅黑" w:eastAsia="微软雅黑" w:cs="微软雅黑"/>
      <w:b/>
      <w:bCs/>
      <w:color w:val="000000"/>
      <w:sz w:val="21"/>
      <w:szCs w:val="21"/>
      <w:u w:val="none"/>
    </w:rPr>
  </w:style>
  <w:style w:type="character" w:customStyle="1" w:styleId="26">
    <w:name w:val="font41"/>
    <w:basedOn w:val="22"/>
    <w:qFormat/>
    <w:uiPriority w:val="0"/>
    <w:rPr>
      <w:rFonts w:hint="eastAsia" w:ascii="微软雅黑" w:hAnsi="微软雅黑" w:eastAsia="微软雅黑" w:cs="微软雅黑"/>
      <w:color w:val="000000"/>
      <w:sz w:val="21"/>
      <w:szCs w:val="21"/>
      <w:u w:val="none"/>
    </w:rPr>
  </w:style>
  <w:style w:type="character" w:customStyle="1" w:styleId="27">
    <w:name w:val="font21"/>
    <w:basedOn w:val="22"/>
    <w:qFormat/>
    <w:uiPriority w:val="0"/>
    <w:rPr>
      <w:rFonts w:hint="eastAsia" w:ascii="微软雅黑" w:hAnsi="微软雅黑" w:eastAsia="微软雅黑" w:cs="微软雅黑"/>
      <w:color w:val="000000"/>
      <w:sz w:val="21"/>
      <w:szCs w:val="21"/>
      <w:u w:val="none"/>
    </w:rPr>
  </w:style>
  <w:style w:type="paragraph" w:customStyle="1" w:styleId="28">
    <w:name w:val="Table Paragraph"/>
    <w:basedOn w:val="1"/>
    <w:qFormat/>
    <w:uiPriority w:val="1"/>
    <w:pPr>
      <w:jc w:val="left"/>
    </w:pPr>
    <w:rPr>
      <w:rFonts w:ascii="Calibri" w:hAnsi="Calibri"/>
      <w:kern w:val="0"/>
      <w:sz w:val="22"/>
      <w:szCs w:val="22"/>
      <w:lang w:eastAsia="en-US"/>
    </w:rPr>
  </w:style>
  <w:style w:type="paragraph" w:customStyle="1" w:styleId="29">
    <w:name w:val="正文2"/>
    <w:basedOn w:val="1"/>
    <w:qFormat/>
    <w:uiPriority w:val="0"/>
    <w:pPr>
      <w:adjustRightInd w:val="0"/>
      <w:spacing w:before="156" w:line="360" w:lineRule="auto"/>
      <w:ind w:firstLine="510" w:firstLineChars="200"/>
    </w:pPr>
    <w:rPr>
      <w:kern w:val="0"/>
      <w:sz w:val="24"/>
      <w:szCs w:val="20"/>
    </w:rPr>
  </w:style>
  <w:style w:type="paragraph" w:customStyle="1" w:styleId="3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1">
    <w:name w:val="正文缩进1"/>
    <w:basedOn w:val="1"/>
    <w:next w:val="11"/>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2">
    <w:name w:val="表格文字"/>
    <w:basedOn w:val="1"/>
    <w:qFormat/>
    <w:uiPriority w:val="0"/>
    <w:pPr>
      <w:adjustRightInd w:val="0"/>
      <w:spacing w:line="420" w:lineRule="atLeast"/>
      <w:jc w:val="left"/>
      <w:textAlignment w:val="baseline"/>
    </w:pPr>
    <w:rPr>
      <w:kern w:val="0"/>
    </w:rPr>
  </w:style>
  <w:style w:type="character" w:customStyle="1" w:styleId="33">
    <w:name w:val="font71"/>
    <w:basedOn w:val="22"/>
    <w:qFormat/>
    <w:uiPriority w:val="0"/>
    <w:rPr>
      <w:rFonts w:hint="eastAsia" w:ascii="宋体" w:hAnsi="宋体" w:eastAsia="宋体" w:cs="宋体"/>
      <w:color w:val="000000"/>
      <w:sz w:val="18"/>
      <w:szCs w:val="18"/>
      <w:u w:val="none"/>
    </w:rPr>
  </w:style>
  <w:style w:type="character" w:customStyle="1" w:styleId="34">
    <w:name w:val="font131"/>
    <w:basedOn w:val="22"/>
    <w:qFormat/>
    <w:uiPriority w:val="0"/>
    <w:rPr>
      <w:rFonts w:hint="eastAsia" w:ascii="宋体" w:hAnsi="宋体" w:eastAsia="宋体" w:cs="宋体"/>
      <w:color w:val="FF0000"/>
      <w:sz w:val="18"/>
      <w:szCs w:val="18"/>
      <w:u w:val="none"/>
    </w:rPr>
  </w:style>
  <w:style w:type="character" w:customStyle="1" w:styleId="35">
    <w:name w:val="font12"/>
    <w:basedOn w:val="22"/>
    <w:qFormat/>
    <w:uiPriority w:val="0"/>
    <w:rPr>
      <w:rFonts w:hint="default" w:ascii="Arial Regular" w:hAnsi="Arial Regular" w:eastAsia="Arial Regular" w:cs="Arial Regular"/>
      <w:color w:val="000000"/>
      <w:sz w:val="24"/>
      <w:szCs w:val="24"/>
      <w:u w:val="none"/>
    </w:rPr>
  </w:style>
  <w:style w:type="character" w:customStyle="1" w:styleId="36">
    <w:name w:val="font101"/>
    <w:basedOn w:val="2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52792</Words>
  <Characters>58250</Characters>
  <Lines>0</Lines>
  <Paragraphs>0</Paragraphs>
  <TotalTime>9</TotalTime>
  <ScaleCrop>false</ScaleCrop>
  <LinksUpToDate>false</LinksUpToDate>
  <CharactersWithSpaces>65702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2021-09-22T08:18:00Z</dcterms:created>
  <dc:creator>Hermes</dc:creator>
  <cp:lastModifiedBy>文档存本地丢失不负责</cp:lastModifiedBy>
  <cp:lastPrinted>2022-04-19T08:15:44Z</cp:lastPrinted>
  <dcterms:modified xsi:type="dcterms:W3CDTF">2022-04-19T08:59:25Z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14FD272C089241A6BEC474558F293FBA</vt:lpwstr>
  </property>
</Properties>
</file>