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宋体"/>
          <w:kern w:val="0"/>
          <w:sz w:val="24"/>
        </w:rPr>
      </w:pPr>
    </w:p>
    <w:p>
      <w:pPr>
        <w:pStyle w:val="14"/>
        <w:jc w:val="center"/>
        <w:rPr>
          <w:rFonts w:ascii="华康简魏碑" w:eastAsia="华康简魏碑"/>
          <w:b/>
          <w:bCs/>
          <w:spacing w:val="80"/>
          <w:sz w:val="44"/>
          <w:szCs w:val="44"/>
        </w:rPr>
      </w:pPr>
      <w:r>
        <w:rPr>
          <w:rFonts w:hint="eastAsia" w:ascii="华康简魏碑" w:eastAsia="华康简魏碑"/>
          <w:b/>
          <w:bCs/>
          <w:spacing w:val="80"/>
          <w:sz w:val="44"/>
          <w:szCs w:val="44"/>
        </w:rPr>
        <w:t>南宁高新区政府集中采购中心</w:t>
      </w:r>
    </w:p>
    <w:p>
      <w:pPr>
        <w:pStyle w:val="14"/>
        <w:jc w:val="center"/>
        <w:rPr>
          <w:rFonts w:ascii="楷体_GB2312" w:eastAsia="楷体_GB2312"/>
          <w:b/>
          <w:bCs/>
          <w:sz w:val="44"/>
          <w:szCs w:val="44"/>
        </w:rPr>
      </w:pPr>
    </w:p>
    <w:p>
      <w:pPr>
        <w:pStyle w:val="14"/>
        <w:jc w:val="center"/>
        <w:rPr>
          <w:rFonts w:ascii="楷体_GB2312" w:eastAsia="楷体_GB2312"/>
          <w:b/>
          <w:bCs/>
          <w:sz w:val="44"/>
          <w:szCs w:val="44"/>
        </w:rPr>
      </w:pPr>
    </w:p>
    <w:p>
      <w:pPr>
        <w:pStyle w:val="14"/>
        <w:jc w:val="center"/>
        <w:rPr>
          <w:rFonts w:ascii="楷体_GB2312" w:eastAsia="楷体_GB2312"/>
          <w:b/>
          <w:bCs/>
          <w:sz w:val="44"/>
          <w:szCs w:val="44"/>
        </w:rPr>
      </w:pPr>
    </w:p>
    <w:p>
      <w:pPr>
        <w:pStyle w:val="14"/>
        <w:jc w:val="center"/>
        <w:rPr>
          <w:rFonts w:ascii="楷体_GB2312" w:eastAsia="楷体_GB2312"/>
          <w:b/>
          <w:bCs/>
          <w:sz w:val="44"/>
          <w:szCs w:val="44"/>
        </w:rPr>
      </w:pPr>
    </w:p>
    <w:p>
      <w:pPr>
        <w:pStyle w:val="14"/>
        <w:jc w:val="center"/>
        <w:rPr>
          <w:rFonts w:ascii="楷体_GB2312" w:eastAsia="楷体_GB2312"/>
          <w:b/>
          <w:bCs/>
          <w:sz w:val="44"/>
          <w:szCs w:val="44"/>
        </w:rPr>
      </w:pPr>
    </w:p>
    <w:p>
      <w:pPr>
        <w:pStyle w:val="14"/>
        <w:tabs>
          <w:tab w:val="left" w:pos="0"/>
        </w:tabs>
        <w:jc w:val="center"/>
        <w:rPr>
          <w:rFonts w:ascii="楷体_GB2312" w:eastAsia="楷体_GB2312"/>
          <w:b/>
          <w:bCs/>
          <w:sz w:val="96"/>
          <w:szCs w:val="96"/>
        </w:rPr>
      </w:pPr>
      <w:r>
        <w:rPr>
          <w:rFonts w:hint="eastAsia"/>
          <w:bCs/>
          <w:sz w:val="96"/>
          <w:szCs w:val="96"/>
        </w:rPr>
        <w:t>公开招标采购文件</w:t>
      </w:r>
    </w:p>
    <w:p>
      <w:pPr>
        <w:rPr>
          <w:rFonts w:ascii="宋体" w:hAns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ind w:left="1789" w:hanging="1782" w:hangingChars="495"/>
        <w:rPr>
          <w:b/>
          <w:sz w:val="36"/>
          <w:szCs w:val="36"/>
          <w:u w:val="single"/>
        </w:rPr>
      </w:pPr>
      <w:r>
        <w:rPr>
          <w:rFonts w:hint="eastAsia"/>
          <w:b/>
          <w:sz w:val="36"/>
          <w:szCs w:val="36"/>
        </w:rPr>
        <w:t>项目名称：</w:t>
      </w:r>
      <w:r>
        <w:rPr>
          <w:rFonts w:hint="eastAsia" w:ascii="宋体" w:hAnsi="宋体" w:cs="宋体"/>
          <w:b/>
          <w:sz w:val="36"/>
          <w:szCs w:val="36"/>
          <w:u w:val="single"/>
        </w:rPr>
        <w:t>南宁高新技术产业开发区示范性公办养老院医养结合医疗设备采购项目</w:t>
      </w:r>
    </w:p>
    <w:p>
      <w:pPr>
        <w:rPr>
          <w:b/>
          <w:sz w:val="36"/>
          <w:szCs w:val="36"/>
          <w:u w:val="single"/>
        </w:rPr>
      </w:pPr>
      <w:r>
        <w:rPr>
          <w:rFonts w:hint="eastAsia"/>
          <w:b/>
          <w:sz w:val="36"/>
          <w:szCs w:val="36"/>
        </w:rPr>
        <w:t>项目编号：</w:t>
      </w:r>
      <w:r>
        <w:rPr>
          <w:rFonts w:hint="eastAsia" w:ascii="宋体" w:hAnsi="宋体" w:cs="宋体"/>
          <w:b/>
          <w:sz w:val="36"/>
          <w:szCs w:val="36"/>
          <w:u w:val="single"/>
        </w:rPr>
        <w:t>GXZC2020-52G</w:t>
      </w:r>
    </w:p>
    <w:p>
      <w:pPr>
        <w:rPr>
          <w:b/>
          <w:sz w:val="36"/>
          <w:szCs w:val="36"/>
        </w:rPr>
      </w:pPr>
    </w:p>
    <w:p>
      <w:pPr>
        <w:rPr>
          <w:b/>
          <w:sz w:val="36"/>
          <w:szCs w:val="36"/>
        </w:rPr>
      </w:pPr>
    </w:p>
    <w:p>
      <w:pPr>
        <w:rPr>
          <w:b/>
          <w:sz w:val="36"/>
          <w:szCs w:val="36"/>
        </w:rPr>
      </w:pPr>
    </w:p>
    <w:p>
      <w:pPr>
        <w:rPr>
          <w:b/>
          <w:sz w:val="36"/>
          <w:szCs w:val="36"/>
        </w:rPr>
      </w:pPr>
      <w:r>
        <w:rPr>
          <w:rFonts w:hint="eastAsia"/>
          <w:b/>
          <w:sz w:val="36"/>
          <w:szCs w:val="36"/>
        </w:rPr>
        <w:t>采购人：南宁高新技术产业开发区社会事业局</w:t>
      </w:r>
    </w:p>
    <w:p>
      <w:pPr>
        <w:ind w:left="2530" w:hanging="2520" w:hangingChars="700"/>
        <w:rPr>
          <w:b/>
          <w:sz w:val="36"/>
          <w:szCs w:val="36"/>
        </w:rPr>
      </w:pPr>
      <w:r>
        <w:rPr>
          <w:rFonts w:hint="eastAsia"/>
          <w:b/>
          <w:sz w:val="36"/>
          <w:szCs w:val="36"/>
        </w:rPr>
        <w:t>采购代理机构：南宁高新技术产业开发区政府集中采购中心</w:t>
      </w:r>
    </w:p>
    <w:p>
      <w:pPr>
        <w:pStyle w:val="14"/>
        <w:jc w:val="center"/>
        <w:rPr>
          <w:rFonts w:ascii="华康简魏碑" w:eastAsia="华康简魏碑"/>
          <w:b/>
          <w:bCs/>
          <w:spacing w:val="80"/>
          <w:sz w:val="48"/>
          <w:szCs w:val="48"/>
        </w:rPr>
      </w:pPr>
      <w:r>
        <w:rPr>
          <w:rFonts w:hint="eastAsia" w:hAnsi="宋体"/>
          <w:b/>
          <w:sz w:val="36"/>
          <w:szCs w:val="36"/>
          <w:u w:val="single"/>
        </w:rPr>
        <w:t>2020</w:t>
      </w:r>
      <w:r>
        <w:rPr>
          <w:rFonts w:hint="eastAsia" w:hAnsi="宋体"/>
          <w:b/>
          <w:sz w:val="36"/>
          <w:szCs w:val="36"/>
        </w:rPr>
        <w:t>年</w:t>
      </w:r>
      <w:r>
        <w:rPr>
          <w:rFonts w:hint="eastAsia" w:hAnsi="宋体"/>
          <w:b/>
          <w:sz w:val="36"/>
          <w:szCs w:val="36"/>
          <w:u w:val="single"/>
        </w:rPr>
        <w:t>11</w:t>
      </w:r>
      <w:r>
        <w:rPr>
          <w:rFonts w:hint="eastAsia" w:hAnsi="宋体"/>
          <w:b/>
          <w:sz w:val="36"/>
          <w:szCs w:val="36"/>
        </w:rPr>
        <w:t>月</w:t>
      </w:r>
    </w:p>
    <w:p>
      <w:pPr>
        <w:rPr>
          <w:b/>
          <w:sz w:val="48"/>
          <w:szCs w:val="48"/>
        </w:rPr>
        <w:sectPr>
          <w:footerReference r:id="rId3" w:type="default"/>
          <w:pgSz w:w="11907" w:h="16840"/>
          <w:pgMar w:top="1134" w:right="1134" w:bottom="1134" w:left="1134" w:header="851" w:footer="794" w:gutter="0"/>
          <w:cols w:space="720" w:num="1"/>
          <w:docGrid w:type="linesAndChars" w:linePitch="312" w:charSpace="0"/>
        </w:sectPr>
      </w:pPr>
    </w:p>
    <w:p>
      <w:pPr>
        <w:pStyle w:val="14"/>
        <w:jc w:val="center"/>
        <w:rPr>
          <w:rFonts w:ascii="Times New Roman" w:hAnsi="Times New Roman"/>
          <w:b/>
          <w:sz w:val="48"/>
          <w:szCs w:val="48"/>
        </w:rPr>
      </w:pPr>
      <w:r>
        <w:rPr>
          <w:rFonts w:hint="eastAsia" w:ascii="Times New Roman" w:hAnsi="Times New Roman"/>
          <w:b/>
          <w:sz w:val="48"/>
          <w:szCs w:val="48"/>
        </w:rPr>
        <w:t>目录</w:t>
      </w:r>
    </w:p>
    <w:p>
      <w:pPr>
        <w:pStyle w:val="20"/>
        <w:rPr>
          <w:rFonts w:ascii="宋体" w:hAnsi="宋体" w:cs="宋体"/>
          <w:bCs w:val="0"/>
          <w:caps w:val="0"/>
          <w:color w:val="4F81BD"/>
          <w:sz w:val="52"/>
          <w:szCs w:val="52"/>
        </w:rPr>
      </w:pPr>
    </w:p>
    <w:p>
      <w:pPr>
        <w:pStyle w:val="20"/>
        <w:tabs>
          <w:tab w:val="right" w:leader="dot" w:pos="9639"/>
        </w:tabs>
        <w:rPr>
          <w:sz w:val="28"/>
          <w:szCs w:val="28"/>
        </w:rPr>
      </w:pPr>
      <w:r>
        <w:rPr>
          <w:rFonts w:hint="eastAsia" w:ascii="宋体" w:hAnsi="宋体" w:cs="宋体"/>
          <w:color w:val="000000" w:themeColor="text1"/>
          <w:sz w:val="144"/>
          <w:szCs w:val="144"/>
          <w14:textFill>
            <w14:solidFill>
              <w14:schemeClr w14:val="tx1"/>
            </w14:solidFill>
          </w14:textFill>
        </w:rPr>
        <w:fldChar w:fldCharType="begin"/>
      </w:r>
      <w:r>
        <w:rPr>
          <w:rFonts w:hint="eastAsia" w:ascii="宋体" w:hAnsi="宋体" w:cs="宋体"/>
          <w:color w:val="000000" w:themeColor="text1"/>
          <w:sz w:val="144"/>
          <w:szCs w:val="144"/>
          <w14:textFill>
            <w14:solidFill>
              <w14:schemeClr w14:val="tx1"/>
            </w14:solidFill>
          </w14:textFill>
        </w:rPr>
        <w:instrText xml:space="preserve"> TOC \o "1-3" \h \z \u </w:instrText>
      </w:r>
      <w:r>
        <w:rPr>
          <w:rFonts w:hint="eastAsia" w:ascii="宋体" w:hAnsi="宋体" w:cs="宋体"/>
          <w:color w:val="000000" w:themeColor="text1"/>
          <w:sz w:val="144"/>
          <w:szCs w:val="144"/>
          <w14:textFill>
            <w14:solidFill>
              <w14:schemeClr w14:val="tx1"/>
            </w14:solidFill>
          </w14:textFill>
        </w:rPr>
        <w:fldChar w:fldCharType="separate"/>
      </w:r>
      <w:r>
        <w:fldChar w:fldCharType="begin"/>
      </w:r>
      <w:r>
        <w:instrText xml:space="preserve"> HYPERLINK \l "_Toc10439" </w:instrText>
      </w:r>
      <w:r>
        <w:fldChar w:fldCharType="separate"/>
      </w:r>
      <w:r>
        <w:rPr>
          <w:rFonts w:hint="eastAsia"/>
          <w:sz w:val="28"/>
          <w:szCs w:val="28"/>
        </w:rPr>
        <w:t>第一章公告</w:t>
      </w:r>
      <w:r>
        <w:rPr>
          <w:sz w:val="28"/>
          <w:szCs w:val="28"/>
        </w:rPr>
        <w:tab/>
      </w:r>
      <w:r>
        <w:rPr>
          <w:sz w:val="28"/>
          <w:szCs w:val="28"/>
        </w:rPr>
        <w:fldChar w:fldCharType="begin"/>
      </w:r>
      <w:r>
        <w:rPr>
          <w:sz w:val="28"/>
          <w:szCs w:val="28"/>
        </w:rPr>
        <w:instrText xml:space="preserve"> PAGEREF _Toc10439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20"/>
        <w:tabs>
          <w:tab w:val="right" w:leader="dot" w:pos="9639"/>
        </w:tabs>
        <w:rPr>
          <w:sz w:val="28"/>
          <w:szCs w:val="28"/>
        </w:rPr>
      </w:pPr>
      <w:r>
        <w:fldChar w:fldCharType="begin"/>
      </w:r>
      <w:r>
        <w:instrText xml:space="preserve"> HYPERLINK \l "_Toc30305" </w:instrText>
      </w:r>
      <w:r>
        <w:fldChar w:fldCharType="separate"/>
      </w:r>
      <w:r>
        <w:rPr>
          <w:rFonts w:hint="eastAsia" w:ascii="华文中宋" w:hAnsi="华文中宋" w:eastAsia="华文中宋"/>
          <w:sz w:val="28"/>
          <w:szCs w:val="28"/>
        </w:rPr>
        <w:t>招标公告</w:t>
      </w:r>
      <w:r>
        <w:rPr>
          <w:sz w:val="28"/>
          <w:szCs w:val="28"/>
        </w:rPr>
        <w:tab/>
      </w:r>
      <w:r>
        <w:rPr>
          <w:sz w:val="28"/>
          <w:szCs w:val="28"/>
        </w:rPr>
        <w:fldChar w:fldCharType="begin"/>
      </w:r>
      <w:r>
        <w:rPr>
          <w:sz w:val="28"/>
          <w:szCs w:val="28"/>
        </w:rPr>
        <w:instrText xml:space="preserve"> PAGEREF _Toc30305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20"/>
        <w:tabs>
          <w:tab w:val="right" w:leader="dot" w:pos="9639"/>
        </w:tabs>
        <w:rPr>
          <w:sz w:val="28"/>
          <w:szCs w:val="28"/>
        </w:rPr>
      </w:pPr>
      <w:r>
        <w:fldChar w:fldCharType="begin"/>
      </w:r>
      <w:r>
        <w:instrText xml:space="preserve"> HYPERLINK \l "_Toc26099" </w:instrText>
      </w:r>
      <w:r>
        <w:fldChar w:fldCharType="separate"/>
      </w:r>
      <w:r>
        <w:rPr>
          <w:rFonts w:hint="eastAsia"/>
          <w:sz w:val="28"/>
          <w:szCs w:val="28"/>
        </w:rPr>
        <w:t>第二章  货物需求一览表</w:t>
      </w:r>
      <w:r>
        <w:rPr>
          <w:sz w:val="28"/>
          <w:szCs w:val="28"/>
        </w:rPr>
        <w:tab/>
      </w:r>
      <w:r>
        <w:rPr>
          <w:sz w:val="28"/>
          <w:szCs w:val="28"/>
        </w:rPr>
        <w:fldChar w:fldCharType="begin"/>
      </w:r>
      <w:r>
        <w:rPr>
          <w:sz w:val="28"/>
          <w:szCs w:val="28"/>
        </w:rPr>
        <w:instrText xml:space="preserve"> PAGEREF _Toc26099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20"/>
        <w:tabs>
          <w:tab w:val="right" w:leader="dot" w:pos="9639"/>
        </w:tabs>
        <w:rPr>
          <w:sz w:val="28"/>
          <w:szCs w:val="28"/>
        </w:rPr>
      </w:pPr>
      <w:r>
        <w:fldChar w:fldCharType="begin"/>
      </w:r>
      <w:r>
        <w:instrText xml:space="preserve"> HYPERLINK \l "_Toc18319" </w:instrText>
      </w:r>
      <w:r>
        <w:fldChar w:fldCharType="separate"/>
      </w:r>
      <w:r>
        <w:rPr>
          <w:rFonts w:hint="eastAsia"/>
          <w:sz w:val="28"/>
          <w:szCs w:val="28"/>
        </w:rPr>
        <w:t>第三章 评标方法</w:t>
      </w:r>
      <w:r>
        <w:rPr>
          <w:sz w:val="28"/>
          <w:szCs w:val="28"/>
        </w:rPr>
        <w:tab/>
      </w:r>
      <w:r>
        <w:rPr>
          <w:sz w:val="28"/>
          <w:szCs w:val="28"/>
        </w:rPr>
        <w:fldChar w:fldCharType="begin"/>
      </w:r>
      <w:r>
        <w:rPr>
          <w:sz w:val="28"/>
          <w:szCs w:val="28"/>
        </w:rPr>
        <w:instrText xml:space="preserve"> PAGEREF _Toc18319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20"/>
        <w:tabs>
          <w:tab w:val="right" w:leader="dot" w:pos="9639"/>
        </w:tabs>
        <w:rPr>
          <w:sz w:val="28"/>
          <w:szCs w:val="28"/>
        </w:rPr>
      </w:pPr>
      <w:r>
        <w:fldChar w:fldCharType="begin"/>
      </w:r>
      <w:r>
        <w:instrText xml:space="preserve"> HYPERLINK \l "_Toc9591" </w:instrText>
      </w:r>
      <w:r>
        <w:fldChar w:fldCharType="separate"/>
      </w:r>
      <w:r>
        <w:rPr>
          <w:rFonts w:hint="eastAsia" w:ascii="楷体" w:hAnsi="楷体" w:eastAsia="楷体" w:cs="楷体"/>
          <w:sz w:val="28"/>
          <w:szCs w:val="28"/>
        </w:rPr>
        <w:t>评标原则及评分标准</w:t>
      </w:r>
      <w:r>
        <w:rPr>
          <w:sz w:val="28"/>
          <w:szCs w:val="28"/>
        </w:rPr>
        <w:tab/>
      </w:r>
      <w:r>
        <w:rPr>
          <w:sz w:val="28"/>
          <w:szCs w:val="28"/>
        </w:rPr>
        <w:fldChar w:fldCharType="begin"/>
      </w:r>
      <w:r>
        <w:rPr>
          <w:sz w:val="28"/>
          <w:szCs w:val="28"/>
        </w:rPr>
        <w:instrText xml:space="preserve"> PAGEREF _Toc9591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20"/>
        <w:tabs>
          <w:tab w:val="right" w:leader="dot" w:pos="9639"/>
        </w:tabs>
        <w:rPr>
          <w:sz w:val="28"/>
          <w:szCs w:val="28"/>
        </w:rPr>
      </w:pPr>
      <w:r>
        <w:fldChar w:fldCharType="begin"/>
      </w:r>
      <w:r>
        <w:instrText xml:space="preserve"> HYPERLINK \l "_Toc2169" </w:instrText>
      </w:r>
      <w:r>
        <w:fldChar w:fldCharType="separate"/>
      </w:r>
      <w:r>
        <w:rPr>
          <w:rFonts w:hint="eastAsia"/>
          <w:sz w:val="28"/>
          <w:szCs w:val="28"/>
        </w:rPr>
        <w:t>第四章投标人须知</w:t>
      </w:r>
      <w:r>
        <w:rPr>
          <w:sz w:val="28"/>
          <w:szCs w:val="28"/>
        </w:rPr>
        <w:tab/>
      </w:r>
      <w:r>
        <w:rPr>
          <w:sz w:val="28"/>
          <w:szCs w:val="28"/>
        </w:rPr>
        <w:fldChar w:fldCharType="begin"/>
      </w:r>
      <w:r>
        <w:rPr>
          <w:sz w:val="28"/>
          <w:szCs w:val="28"/>
        </w:rPr>
        <w:instrText xml:space="preserve"> PAGEREF _Toc2169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21"/>
        <w:tabs>
          <w:tab w:val="right" w:leader="dot" w:pos="9639"/>
          <w:tab w:val="clear" w:pos="9628"/>
        </w:tabs>
        <w:rPr>
          <w:sz w:val="28"/>
          <w:szCs w:val="28"/>
        </w:rPr>
      </w:pPr>
      <w:r>
        <w:fldChar w:fldCharType="begin"/>
      </w:r>
      <w:r>
        <w:instrText xml:space="preserve"> HYPERLINK \l "_Toc6770" </w:instrText>
      </w:r>
      <w:r>
        <w:fldChar w:fldCharType="separate"/>
      </w:r>
      <w:r>
        <w:rPr>
          <w:rFonts w:hint="eastAsia"/>
          <w:sz w:val="28"/>
          <w:szCs w:val="44"/>
        </w:rPr>
        <w:t>一总则</w:t>
      </w:r>
      <w:r>
        <w:rPr>
          <w:sz w:val="28"/>
          <w:szCs w:val="28"/>
        </w:rPr>
        <w:tab/>
      </w:r>
      <w:r>
        <w:rPr>
          <w:sz w:val="28"/>
          <w:szCs w:val="28"/>
        </w:rPr>
        <w:fldChar w:fldCharType="begin"/>
      </w:r>
      <w:r>
        <w:rPr>
          <w:sz w:val="28"/>
          <w:szCs w:val="28"/>
        </w:rPr>
        <w:instrText xml:space="preserve"> PAGEREF _Toc6770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21"/>
        <w:tabs>
          <w:tab w:val="right" w:leader="dot" w:pos="9639"/>
          <w:tab w:val="clear" w:pos="9628"/>
        </w:tabs>
        <w:rPr>
          <w:sz w:val="28"/>
          <w:szCs w:val="28"/>
        </w:rPr>
      </w:pPr>
      <w:r>
        <w:fldChar w:fldCharType="begin"/>
      </w:r>
      <w:r>
        <w:instrText xml:space="preserve"> HYPERLINK \l "_Toc24568" </w:instrText>
      </w:r>
      <w:r>
        <w:fldChar w:fldCharType="separate"/>
      </w:r>
      <w:r>
        <w:rPr>
          <w:rFonts w:hint="eastAsia" w:ascii="宋体" w:hAnsi="宋体"/>
          <w:kern w:val="0"/>
          <w:sz w:val="28"/>
          <w:szCs w:val="52"/>
        </w:rPr>
        <w:t>二    公开招标文件</w:t>
      </w:r>
      <w:r>
        <w:rPr>
          <w:sz w:val="28"/>
          <w:szCs w:val="28"/>
        </w:rPr>
        <w:tab/>
      </w:r>
      <w:r>
        <w:rPr>
          <w:sz w:val="28"/>
          <w:szCs w:val="28"/>
        </w:rPr>
        <w:fldChar w:fldCharType="begin"/>
      </w:r>
      <w:r>
        <w:rPr>
          <w:sz w:val="28"/>
          <w:szCs w:val="28"/>
        </w:rPr>
        <w:instrText xml:space="preserve"> PAGEREF _Toc24568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21"/>
        <w:tabs>
          <w:tab w:val="right" w:leader="dot" w:pos="9639"/>
          <w:tab w:val="clear" w:pos="9628"/>
        </w:tabs>
        <w:rPr>
          <w:sz w:val="28"/>
          <w:szCs w:val="28"/>
        </w:rPr>
      </w:pPr>
      <w:r>
        <w:fldChar w:fldCharType="begin"/>
      </w:r>
      <w:r>
        <w:instrText xml:space="preserve"> HYPERLINK \l "_Toc22473" </w:instrText>
      </w:r>
      <w:r>
        <w:fldChar w:fldCharType="separate"/>
      </w:r>
      <w:r>
        <w:rPr>
          <w:rFonts w:hint="eastAsia" w:ascii="宋体" w:hAnsi="宋体"/>
          <w:kern w:val="0"/>
          <w:sz w:val="28"/>
          <w:szCs w:val="52"/>
        </w:rPr>
        <w:t>三  投标文件</w:t>
      </w:r>
      <w:r>
        <w:rPr>
          <w:sz w:val="28"/>
          <w:szCs w:val="28"/>
        </w:rPr>
        <w:tab/>
      </w:r>
      <w:r>
        <w:rPr>
          <w:sz w:val="28"/>
          <w:szCs w:val="28"/>
        </w:rPr>
        <w:fldChar w:fldCharType="begin"/>
      </w:r>
      <w:r>
        <w:rPr>
          <w:sz w:val="28"/>
          <w:szCs w:val="28"/>
        </w:rPr>
        <w:instrText xml:space="preserve"> PAGEREF _Toc22473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21"/>
        <w:tabs>
          <w:tab w:val="right" w:leader="dot" w:pos="9639"/>
          <w:tab w:val="clear" w:pos="9628"/>
        </w:tabs>
        <w:rPr>
          <w:sz w:val="28"/>
          <w:szCs w:val="28"/>
        </w:rPr>
      </w:pPr>
      <w:r>
        <w:fldChar w:fldCharType="begin"/>
      </w:r>
      <w:r>
        <w:instrText xml:space="preserve"> HYPERLINK \l "_Toc10011" </w:instrText>
      </w:r>
      <w:r>
        <w:fldChar w:fldCharType="separate"/>
      </w:r>
      <w:r>
        <w:rPr>
          <w:rFonts w:hint="eastAsia" w:ascii="宋体" w:hAnsi="宋体"/>
          <w:kern w:val="0"/>
          <w:sz w:val="28"/>
          <w:szCs w:val="52"/>
        </w:rPr>
        <w:t>四   投标</w:t>
      </w:r>
      <w:r>
        <w:rPr>
          <w:sz w:val="28"/>
          <w:szCs w:val="28"/>
        </w:rPr>
        <w:tab/>
      </w:r>
      <w:r>
        <w:rPr>
          <w:sz w:val="28"/>
          <w:szCs w:val="28"/>
        </w:rPr>
        <w:fldChar w:fldCharType="begin"/>
      </w:r>
      <w:r>
        <w:rPr>
          <w:sz w:val="28"/>
          <w:szCs w:val="28"/>
        </w:rPr>
        <w:instrText xml:space="preserve"> PAGEREF _Toc10011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21"/>
        <w:tabs>
          <w:tab w:val="right" w:leader="dot" w:pos="9639"/>
          <w:tab w:val="clear" w:pos="9628"/>
        </w:tabs>
        <w:rPr>
          <w:sz w:val="28"/>
          <w:szCs w:val="28"/>
        </w:rPr>
      </w:pPr>
      <w:r>
        <w:fldChar w:fldCharType="begin"/>
      </w:r>
      <w:r>
        <w:instrText xml:space="preserve"> HYPERLINK \l "_Toc9475" </w:instrText>
      </w:r>
      <w:r>
        <w:fldChar w:fldCharType="separate"/>
      </w:r>
      <w:r>
        <w:rPr>
          <w:rFonts w:hint="eastAsia"/>
          <w:sz w:val="28"/>
          <w:szCs w:val="44"/>
        </w:rPr>
        <w:t>五开标、资格审查与评标</w:t>
      </w:r>
      <w:r>
        <w:rPr>
          <w:sz w:val="28"/>
          <w:szCs w:val="28"/>
        </w:rPr>
        <w:tab/>
      </w:r>
      <w:r>
        <w:rPr>
          <w:sz w:val="28"/>
          <w:szCs w:val="28"/>
        </w:rPr>
        <w:fldChar w:fldCharType="begin"/>
      </w:r>
      <w:r>
        <w:rPr>
          <w:sz w:val="28"/>
          <w:szCs w:val="28"/>
        </w:rPr>
        <w:instrText xml:space="preserve"> PAGEREF _Toc9475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21"/>
        <w:tabs>
          <w:tab w:val="right" w:leader="dot" w:pos="9639"/>
          <w:tab w:val="clear" w:pos="9628"/>
        </w:tabs>
        <w:rPr>
          <w:sz w:val="28"/>
          <w:szCs w:val="28"/>
        </w:rPr>
      </w:pPr>
      <w:r>
        <w:fldChar w:fldCharType="begin"/>
      </w:r>
      <w:r>
        <w:instrText xml:space="preserve"> HYPERLINK \l "_Toc30500" </w:instrText>
      </w:r>
      <w:r>
        <w:fldChar w:fldCharType="separate"/>
      </w:r>
      <w:r>
        <w:rPr>
          <w:rFonts w:hint="eastAsia" w:ascii="宋体" w:hAnsi="宋体"/>
          <w:kern w:val="0"/>
          <w:sz w:val="28"/>
          <w:szCs w:val="52"/>
        </w:rPr>
        <w:t>六  合同授予</w:t>
      </w:r>
      <w:r>
        <w:rPr>
          <w:sz w:val="28"/>
          <w:szCs w:val="28"/>
        </w:rPr>
        <w:tab/>
      </w:r>
      <w:r>
        <w:rPr>
          <w:sz w:val="28"/>
          <w:szCs w:val="28"/>
        </w:rPr>
        <w:fldChar w:fldCharType="begin"/>
      </w:r>
      <w:r>
        <w:rPr>
          <w:sz w:val="28"/>
          <w:szCs w:val="28"/>
        </w:rPr>
        <w:instrText xml:space="preserve"> PAGEREF _Toc30500 </w:instrText>
      </w:r>
      <w:r>
        <w:rPr>
          <w:sz w:val="28"/>
          <w:szCs w:val="28"/>
        </w:rPr>
        <w:fldChar w:fldCharType="separate"/>
      </w:r>
      <w:r>
        <w:rPr>
          <w:sz w:val="28"/>
          <w:szCs w:val="28"/>
        </w:rPr>
        <w:t>36</w:t>
      </w:r>
      <w:r>
        <w:rPr>
          <w:sz w:val="28"/>
          <w:szCs w:val="28"/>
        </w:rPr>
        <w:fldChar w:fldCharType="end"/>
      </w:r>
      <w:r>
        <w:rPr>
          <w:sz w:val="28"/>
          <w:szCs w:val="28"/>
        </w:rPr>
        <w:fldChar w:fldCharType="end"/>
      </w:r>
    </w:p>
    <w:p>
      <w:pPr>
        <w:pStyle w:val="21"/>
        <w:tabs>
          <w:tab w:val="right" w:leader="dot" w:pos="9639"/>
          <w:tab w:val="clear" w:pos="9628"/>
        </w:tabs>
        <w:rPr>
          <w:sz w:val="28"/>
          <w:szCs w:val="28"/>
        </w:rPr>
      </w:pPr>
      <w:r>
        <w:fldChar w:fldCharType="begin"/>
      </w:r>
      <w:r>
        <w:instrText xml:space="preserve"> HYPERLINK \l "_Toc12007" </w:instrText>
      </w:r>
      <w:r>
        <w:fldChar w:fldCharType="separate"/>
      </w:r>
      <w:r>
        <w:rPr>
          <w:rFonts w:hint="eastAsia" w:ascii="宋体" w:hAnsi="宋体"/>
          <w:kern w:val="0"/>
          <w:sz w:val="28"/>
          <w:szCs w:val="52"/>
        </w:rPr>
        <w:t>七  其他事项</w:t>
      </w:r>
      <w:r>
        <w:rPr>
          <w:sz w:val="28"/>
          <w:szCs w:val="28"/>
        </w:rPr>
        <w:tab/>
      </w:r>
      <w:r>
        <w:rPr>
          <w:sz w:val="28"/>
          <w:szCs w:val="28"/>
        </w:rPr>
        <w:fldChar w:fldCharType="begin"/>
      </w:r>
      <w:r>
        <w:rPr>
          <w:sz w:val="28"/>
          <w:szCs w:val="28"/>
        </w:rPr>
        <w:instrText xml:space="preserve"> PAGEREF _Toc12007 </w:instrText>
      </w:r>
      <w:r>
        <w:rPr>
          <w:sz w:val="28"/>
          <w:szCs w:val="28"/>
        </w:rPr>
        <w:fldChar w:fldCharType="separate"/>
      </w:r>
      <w:r>
        <w:rPr>
          <w:sz w:val="28"/>
          <w:szCs w:val="28"/>
        </w:rPr>
        <w:t>37</w:t>
      </w:r>
      <w:r>
        <w:rPr>
          <w:sz w:val="28"/>
          <w:szCs w:val="28"/>
        </w:rPr>
        <w:fldChar w:fldCharType="end"/>
      </w:r>
      <w:r>
        <w:rPr>
          <w:sz w:val="28"/>
          <w:szCs w:val="28"/>
        </w:rPr>
        <w:fldChar w:fldCharType="end"/>
      </w:r>
    </w:p>
    <w:p>
      <w:pPr>
        <w:pStyle w:val="20"/>
        <w:tabs>
          <w:tab w:val="right" w:leader="dot" w:pos="9639"/>
        </w:tabs>
        <w:rPr>
          <w:sz w:val="28"/>
          <w:szCs w:val="28"/>
        </w:rPr>
      </w:pPr>
      <w:r>
        <w:fldChar w:fldCharType="begin"/>
      </w:r>
      <w:r>
        <w:instrText xml:space="preserve"> HYPERLINK \l "_Toc2076" </w:instrText>
      </w:r>
      <w:r>
        <w:fldChar w:fldCharType="separate"/>
      </w:r>
      <w:r>
        <w:rPr>
          <w:rFonts w:hint="eastAsia"/>
          <w:sz w:val="28"/>
          <w:szCs w:val="28"/>
        </w:rPr>
        <w:t>第五章投标文件格式</w:t>
      </w:r>
      <w:r>
        <w:rPr>
          <w:sz w:val="28"/>
          <w:szCs w:val="28"/>
        </w:rPr>
        <w:tab/>
      </w:r>
      <w:r>
        <w:rPr>
          <w:sz w:val="28"/>
          <w:szCs w:val="28"/>
        </w:rPr>
        <w:fldChar w:fldCharType="begin"/>
      </w:r>
      <w:r>
        <w:rPr>
          <w:sz w:val="28"/>
          <w:szCs w:val="28"/>
        </w:rPr>
        <w:instrText xml:space="preserve"> PAGEREF _Toc2076 </w:instrText>
      </w:r>
      <w:r>
        <w:rPr>
          <w:sz w:val="28"/>
          <w:szCs w:val="28"/>
        </w:rPr>
        <w:fldChar w:fldCharType="separate"/>
      </w:r>
      <w:r>
        <w:rPr>
          <w:sz w:val="28"/>
          <w:szCs w:val="28"/>
        </w:rPr>
        <w:t>38</w:t>
      </w:r>
      <w:r>
        <w:rPr>
          <w:sz w:val="28"/>
          <w:szCs w:val="28"/>
        </w:rPr>
        <w:fldChar w:fldCharType="end"/>
      </w:r>
      <w:r>
        <w:rPr>
          <w:sz w:val="28"/>
          <w:szCs w:val="28"/>
        </w:rPr>
        <w:fldChar w:fldCharType="end"/>
      </w:r>
    </w:p>
    <w:p>
      <w:pPr>
        <w:pStyle w:val="20"/>
        <w:tabs>
          <w:tab w:val="right" w:leader="dot" w:pos="9639"/>
        </w:tabs>
        <w:rPr>
          <w:sz w:val="28"/>
          <w:szCs w:val="28"/>
        </w:rPr>
      </w:pPr>
      <w:r>
        <w:fldChar w:fldCharType="begin"/>
      </w:r>
      <w:r>
        <w:instrText xml:space="preserve"> HYPERLINK \l "_Toc6707" </w:instrText>
      </w:r>
      <w:r>
        <w:fldChar w:fldCharType="separate"/>
      </w:r>
      <w:r>
        <w:rPr>
          <w:rFonts w:hint="eastAsia"/>
          <w:sz w:val="28"/>
          <w:szCs w:val="52"/>
        </w:rPr>
        <w:t>第六章合同条款及格式</w:t>
      </w:r>
      <w:r>
        <w:rPr>
          <w:sz w:val="28"/>
          <w:szCs w:val="28"/>
        </w:rPr>
        <w:tab/>
      </w:r>
      <w:r>
        <w:rPr>
          <w:sz w:val="28"/>
          <w:szCs w:val="28"/>
        </w:rPr>
        <w:fldChar w:fldCharType="begin"/>
      </w:r>
      <w:r>
        <w:rPr>
          <w:sz w:val="28"/>
          <w:szCs w:val="28"/>
        </w:rPr>
        <w:instrText xml:space="preserve"> PAGEREF _Toc6707 </w:instrText>
      </w:r>
      <w:r>
        <w:rPr>
          <w:sz w:val="28"/>
          <w:szCs w:val="28"/>
        </w:rPr>
        <w:fldChar w:fldCharType="separate"/>
      </w:r>
      <w:r>
        <w:rPr>
          <w:sz w:val="28"/>
          <w:szCs w:val="28"/>
        </w:rPr>
        <w:t>50</w:t>
      </w:r>
      <w:r>
        <w:rPr>
          <w:sz w:val="28"/>
          <w:szCs w:val="28"/>
        </w:rPr>
        <w:fldChar w:fldCharType="end"/>
      </w:r>
      <w:r>
        <w:rPr>
          <w:sz w:val="28"/>
          <w:szCs w:val="28"/>
        </w:rPr>
        <w:fldChar w:fldCharType="end"/>
      </w:r>
    </w:p>
    <w:p>
      <w:pPr>
        <w:sectPr>
          <w:footerReference r:id="rId4" w:type="default"/>
          <w:pgSz w:w="11907" w:h="16840"/>
          <w:pgMar w:top="1134" w:right="1134" w:bottom="1134" w:left="1134" w:header="851" w:footer="794" w:gutter="0"/>
          <w:cols w:space="720" w:num="1"/>
          <w:docGrid w:type="linesAndChars" w:linePitch="312" w:charSpace="0"/>
        </w:sectPr>
      </w:pPr>
      <w:r>
        <w:rPr>
          <w:rFonts w:hint="eastAsia" w:ascii="宋体" w:hAnsi="宋体" w:cs="宋体"/>
          <w:color w:val="000000" w:themeColor="text1"/>
          <w:sz w:val="32"/>
          <w:szCs w:val="144"/>
          <w14:textFill>
            <w14:solidFill>
              <w14:schemeClr w14:val="tx1"/>
            </w14:solidFill>
          </w14:textFill>
        </w:rPr>
        <w:fldChar w:fldCharType="end"/>
      </w:r>
    </w:p>
    <w:p>
      <w:pPr>
        <w:pStyle w:val="14"/>
        <w:jc w:val="center"/>
        <w:outlineLvl w:val="0"/>
        <w:rPr>
          <w:rFonts w:ascii="仿宋_GB2312" w:hAnsi="仿宋_GB2312" w:eastAsia="仿宋_GB2312" w:cs="仿宋_GB2312"/>
          <w:szCs w:val="21"/>
        </w:rPr>
      </w:pPr>
      <w:bookmarkStart w:id="0" w:name="_Toc10439"/>
      <w:r>
        <w:rPr>
          <w:rFonts w:hint="eastAsia" w:ascii="Times New Roman" w:hAnsi="Times New Roman"/>
          <w:b/>
          <w:sz w:val="36"/>
        </w:rPr>
        <w:t>第一章公告</w:t>
      </w:r>
      <w:bookmarkEnd w:id="0"/>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rPr>
      </w:pPr>
      <w:bookmarkStart w:id="1" w:name="_Toc28359001"/>
      <w:bookmarkStart w:id="2" w:name="_Toc30305"/>
      <w:bookmarkStart w:id="3" w:name="_Toc35393789"/>
      <w:r>
        <w:rPr>
          <w:rFonts w:hint="eastAsia" w:ascii="华文中宋" w:hAnsi="华文中宋" w:eastAsia="华文中宋"/>
        </w:rPr>
        <w:t>招标公告</w:t>
      </w:r>
      <w:bookmarkEnd w:id="1"/>
      <w:bookmarkEnd w:id="2"/>
      <w:bookmarkEnd w:id="3"/>
    </w:p>
    <w:p>
      <w:pPr>
        <w:pBdr>
          <w:top w:val="single" w:color="auto" w:sz="4" w:space="1"/>
          <w:left w:val="single" w:color="auto" w:sz="4" w:space="4"/>
          <w:bottom w:val="single" w:color="auto" w:sz="4" w:space="1"/>
          <w:right w:val="single" w:color="auto" w:sz="4" w:space="4"/>
        </w:pBdr>
        <w:spacing w:line="240" w:lineRule="atLeast"/>
      </w:pPr>
      <w:r>
        <w:rPr>
          <w:rFonts w:hint="eastAsia"/>
        </w:rPr>
        <w:t>项目概况</w:t>
      </w:r>
    </w:p>
    <w:p>
      <w:pPr>
        <w:pBdr>
          <w:top w:val="single" w:color="auto" w:sz="4" w:space="1"/>
          <w:left w:val="single" w:color="auto" w:sz="4" w:space="4"/>
          <w:bottom w:val="single" w:color="auto" w:sz="4" w:space="1"/>
          <w:right w:val="single" w:color="auto" w:sz="4" w:space="4"/>
        </w:pBdr>
        <w:spacing w:line="240" w:lineRule="atLeast"/>
        <w:ind w:firstLine="420" w:firstLineChars="200"/>
      </w:pPr>
      <w:r>
        <w:rPr>
          <w:rFonts w:hint="eastAsia"/>
          <w:u w:val="single"/>
        </w:rPr>
        <w:t xml:space="preserve"> (南宁高新技术产业开发区示范性公办养老院医养结合医疗设备采购项目) </w:t>
      </w:r>
      <w:r>
        <w:rPr>
          <w:rFonts w:hint="eastAsia"/>
        </w:rPr>
        <w:t>的潜在投标人应在</w:t>
      </w:r>
      <w:r>
        <w:rPr>
          <w:rFonts w:hint="eastAsia"/>
          <w:u w:val="single"/>
        </w:rPr>
        <w:t>（南宁市公共资源交易平台（https://www.nnggzy.org.cn/gxnnzbw/）对应的采购信息公告处）</w:t>
      </w:r>
      <w:r>
        <w:rPr>
          <w:rFonts w:hint="eastAsia"/>
        </w:rPr>
        <w:t>获取招标文件，并于</w:t>
      </w:r>
      <w:r>
        <w:rPr>
          <w:rFonts w:hint="eastAsia"/>
          <w:u w:val="single"/>
        </w:rPr>
        <w:t>2020年11月23日下午18点00分（北京时间）</w:t>
      </w:r>
      <w:r>
        <w:rPr>
          <w:rFonts w:hint="eastAsia"/>
        </w:rPr>
        <w:t>前递交投标文件。</w:t>
      </w:r>
    </w:p>
    <w:p>
      <w:pPr>
        <w:rPr>
          <w:b/>
          <w:bCs/>
        </w:rPr>
      </w:pPr>
      <w:bookmarkStart w:id="4" w:name="_Toc28359079"/>
      <w:bookmarkStart w:id="5" w:name="_Toc35393790"/>
      <w:bookmarkStart w:id="6" w:name="_Toc28359002"/>
      <w:bookmarkStart w:id="7" w:name="_Toc35393621"/>
      <w:bookmarkStart w:id="8" w:name="_Hlk24379207"/>
      <w:r>
        <w:rPr>
          <w:rFonts w:hint="eastAsia"/>
          <w:b/>
          <w:bCs/>
        </w:rPr>
        <w:t>一、项目基本情况</w:t>
      </w:r>
      <w:bookmarkEnd w:id="4"/>
      <w:bookmarkEnd w:id="5"/>
      <w:bookmarkEnd w:id="6"/>
      <w:bookmarkEnd w:id="7"/>
    </w:p>
    <w:p>
      <w:r>
        <w:rPr>
          <w:rFonts w:hint="eastAsia"/>
        </w:rPr>
        <w:t>项目编号</w:t>
      </w:r>
      <w:r>
        <w:rPr>
          <w:rFonts w:hint="eastAsia"/>
          <w:u w:val="single"/>
        </w:rPr>
        <w:t>：GXZC2020-52G</w:t>
      </w:r>
    </w:p>
    <w:p>
      <w:r>
        <w:rPr>
          <w:rFonts w:hint="eastAsia"/>
        </w:rPr>
        <w:t>审批编号：</w:t>
      </w:r>
      <w:r>
        <w:rPr>
          <w:rFonts w:hint="eastAsia"/>
          <w:u w:val="single"/>
        </w:rPr>
        <w:t>南宁高新政采【2020】1032号</w:t>
      </w:r>
    </w:p>
    <w:p>
      <w:r>
        <w:rPr>
          <w:rFonts w:hint="eastAsia"/>
        </w:rPr>
        <w:t>项目名称：</w:t>
      </w:r>
      <w:r>
        <w:rPr>
          <w:rFonts w:hint="eastAsia"/>
          <w:u w:val="single"/>
        </w:rPr>
        <w:t>南宁高新技术产业开发区示范性公办养老院医养结合医疗设备采购项目</w:t>
      </w:r>
    </w:p>
    <w:bookmarkEnd w:id="8"/>
    <w:p>
      <w:r>
        <w:rPr>
          <w:rFonts w:hint="eastAsia"/>
        </w:rPr>
        <w:t>预算金额：</w:t>
      </w:r>
      <w:r>
        <w:rPr>
          <w:rFonts w:hint="eastAsia"/>
          <w:u w:val="single"/>
        </w:rPr>
        <w:t>3500000元</w:t>
      </w:r>
    </w:p>
    <w:p>
      <w:r>
        <w:rPr>
          <w:rFonts w:hint="eastAsia"/>
        </w:rPr>
        <w:t>最高限价：</w:t>
      </w:r>
      <w:r>
        <w:rPr>
          <w:rFonts w:hint="eastAsia"/>
          <w:u w:val="single"/>
        </w:rPr>
        <w:t>3500000元</w:t>
      </w:r>
    </w:p>
    <w:p>
      <w:r>
        <w:rPr>
          <w:rFonts w:hint="eastAsia"/>
        </w:rPr>
        <w:t>采购需求：</w:t>
      </w:r>
      <w:r>
        <w:rPr>
          <w:rFonts w:hint="eastAsia"/>
          <w:u w:val="single"/>
        </w:rPr>
        <w:t>南宁高新技术产业开发区示范性公办养老院医养结合医疗设备采购一批，详见招标文件</w:t>
      </w:r>
    </w:p>
    <w:p>
      <w:r>
        <w:rPr>
          <w:rFonts w:hint="eastAsia"/>
        </w:rPr>
        <w:t>合同履行期限：</w:t>
      </w:r>
      <w:r>
        <w:rPr>
          <w:rFonts w:hint="eastAsia"/>
          <w:u w:val="single"/>
        </w:rPr>
        <w:t>自合同签订之日起15日内安装调试完毕并验收合格交付使用</w:t>
      </w:r>
    </w:p>
    <w:p>
      <w:r>
        <w:rPr>
          <w:rFonts w:hint="eastAsia"/>
        </w:rPr>
        <w:t>本项目不接受联合体投标。</w:t>
      </w:r>
    </w:p>
    <w:p>
      <w:pPr>
        <w:rPr>
          <w:b/>
          <w:bCs/>
        </w:rPr>
      </w:pPr>
      <w:bookmarkStart w:id="9" w:name="_Toc28359080"/>
      <w:bookmarkStart w:id="10" w:name="_Toc35393791"/>
      <w:bookmarkStart w:id="11" w:name="_Toc35393622"/>
      <w:bookmarkStart w:id="12" w:name="_Toc28359003"/>
      <w:r>
        <w:rPr>
          <w:rFonts w:hint="eastAsia"/>
          <w:b/>
          <w:bCs/>
        </w:rPr>
        <w:t>二、申请人的资格要求：</w:t>
      </w:r>
      <w:bookmarkEnd w:id="9"/>
      <w:bookmarkEnd w:id="10"/>
      <w:bookmarkEnd w:id="11"/>
      <w:bookmarkEnd w:id="12"/>
    </w:p>
    <w:p>
      <w:r>
        <w:rPr>
          <w:rFonts w:hint="eastAsia"/>
        </w:rPr>
        <w:t>1.满足《中华人民共和国政府采购法》第二十二条规定；</w:t>
      </w:r>
    </w:p>
    <w:p>
      <w:bookmarkStart w:id="13" w:name="_Toc28359081"/>
      <w:bookmarkStart w:id="14" w:name="_Toc28359004"/>
      <w:r>
        <w:rPr>
          <w:rFonts w:hint="eastAsia"/>
        </w:rPr>
        <w:t>2.落实政府采购政策需满足的资格要求：</w:t>
      </w:r>
    </w:p>
    <w:p>
      <w:r>
        <w:rPr>
          <w:rFonts w:hint="eastAsia"/>
        </w:rPr>
        <w:t>1）政府采购促进中小企业发展</w:t>
      </w:r>
    </w:p>
    <w:p>
      <w:r>
        <w:rPr>
          <w:rFonts w:hint="eastAsia"/>
        </w:rPr>
        <w:t>2）政府采购支持采用本国产品的政策</w:t>
      </w:r>
    </w:p>
    <w:p>
      <w:r>
        <w:rPr>
          <w:rFonts w:hint="eastAsia"/>
        </w:rPr>
        <w:t>3）强制采购、优先采购环境标志产品、节能产品</w:t>
      </w:r>
    </w:p>
    <w:p>
      <w:r>
        <w:rPr>
          <w:rFonts w:hint="eastAsia"/>
        </w:rPr>
        <w:t>4）政府采购促进残疾人就业政策</w:t>
      </w:r>
    </w:p>
    <w:p>
      <w:r>
        <w:rPr>
          <w:rFonts w:hint="eastAsia"/>
        </w:rPr>
        <w:t>5）政府采购支持监狱企业发展</w:t>
      </w:r>
    </w:p>
    <w:p>
      <w:r>
        <w:rPr>
          <w:rFonts w:hint="eastAsia"/>
        </w:rPr>
        <w:t>6）扶持不发达地区和少数民族地区政策；</w:t>
      </w:r>
    </w:p>
    <w:p>
      <w:r>
        <w:rPr>
          <w:rFonts w:hint="eastAsia"/>
        </w:rPr>
        <w:t>3.本项目的特定资格要求：</w:t>
      </w:r>
      <w:bookmarkStart w:id="15" w:name="_Toc35393623"/>
      <w:bookmarkStart w:id="16" w:name="_Toc35393792"/>
      <w:r>
        <w:rPr>
          <w:rFonts w:hint="eastAsia"/>
        </w:rPr>
        <w:t>无</w:t>
      </w:r>
    </w:p>
    <w:p>
      <w:r>
        <w:rPr>
          <w:rFonts w:hint="eastAsia"/>
        </w:rPr>
        <w:t>4.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政府采购活动。</w:t>
      </w:r>
    </w:p>
    <w:p>
      <w:pPr>
        <w:rPr>
          <w:b/>
          <w:bCs/>
        </w:rPr>
      </w:pPr>
      <w:r>
        <w:rPr>
          <w:rFonts w:hint="eastAsia"/>
          <w:b/>
          <w:bCs/>
        </w:rPr>
        <w:t>三、获取招标文件</w:t>
      </w:r>
      <w:bookmarkEnd w:id="13"/>
      <w:bookmarkEnd w:id="14"/>
      <w:bookmarkEnd w:id="15"/>
      <w:bookmarkEnd w:id="16"/>
    </w:p>
    <w:p>
      <w:r>
        <w:rPr>
          <w:rFonts w:hint="eastAsia"/>
        </w:rPr>
        <w:t>时间：</w:t>
      </w:r>
      <w:r>
        <w:rPr>
          <w:rFonts w:hint="eastAsia"/>
          <w:u w:val="single"/>
        </w:rPr>
        <w:t>2020年11月3日至2020年11月10日（提供期限自本公告发布之日起不得少于5个工作日），</w:t>
      </w:r>
      <w:r>
        <w:rPr>
          <w:rFonts w:hint="eastAsia"/>
        </w:rPr>
        <w:t>每天上午8：30至12：00，下午14：30至18：00（北京时间，法定节假日除外）</w:t>
      </w:r>
    </w:p>
    <w:p>
      <w:r>
        <w:rPr>
          <w:rFonts w:hint="eastAsia"/>
        </w:rPr>
        <w:t>地点：</w:t>
      </w:r>
      <w:r>
        <w:rPr>
          <w:rFonts w:hint="eastAsia"/>
          <w:u w:val="single"/>
        </w:rPr>
        <w:t>（南宁市公共资源交易平台（https://www.nnggzy.org.cn/gxnnzbw/）对应的采购信息公告处）</w:t>
      </w:r>
    </w:p>
    <w:p>
      <w:r>
        <w:rPr>
          <w:rFonts w:hint="eastAsia"/>
        </w:rPr>
        <w:t>方式：网上下载</w:t>
      </w:r>
    </w:p>
    <w:p>
      <w:r>
        <w:rPr>
          <w:rFonts w:hint="eastAsia"/>
        </w:rPr>
        <w:t>售价：0元</w:t>
      </w:r>
    </w:p>
    <w:p>
      <w:pPr>
        <w:rPr>
          <w:b/>
          <w:bCs/>
        </w:rPr>
      </w:pPr>
      <w:bookmarkStart w:id="17" w:name="_Toc28359082"/>
      <w:bookmarkStart w:id="18" w:name="_Toc28359005"/>
      <w:bookmarkStart w:id="19" w:name="_Toc35393793"/>
      <w:bookmarkStart w:id="20" w:name="_Toc35393624"/>
      <w:r>
        <w:rPr>
          <w:rFonts w:hint="eastAsia"/>
          <w:b/>
          <w:bCs/>
        </w:rPr>
        <w:t>四、</w:t>
      </w:r>
      <w:bookmarkEnd w:id="17"/>
      <w:bookmarkEnd w:id="18"/>
      <w:r>
        <w:rPr>
          <w:rFonts w:hint="eastAsia"/>
          <w:b/>
          <w:bCs/>
        </w:rPr>
        <w:t>开标时间和地点</w:t>
      </w:r>
      <w:bookmarkEnd w:id="19"/>
      <w:bookmarkEnd w:id="20"/>
    </w:p>
    <w:p>
      <w:r>
        <w:rPr>
          <w:rFonts w:hint="eastAsia"/>
        </w:rPr>
        <w:t xml:space="preserve">    2020年11月24日9点30分（北京时间）（自招标文件开始发出之日起至投标人提交投标文件截止之日止，不得少于20日）</w:t>
      </w:r>
    </w:p>
    <w:p>
      <w:r>
        <w:rPr>
          <w:rFonts w:hint="eastAsia"/>
        </w:rPr>
        <w:t>地点：</w:t>
      </w:r>
      <w:r>
        <w:rPr>
          <w:rFonts w:hint="eastAsia"/>
          <w:u w:val="single"/>
        </w:rPr>
        <w:t>南宁市良庆区玉洞大道33号（青少年活动中心旁）南宁市市民中心9楼南宁市公共资源交易中心（详见9楼电子显示屏场地安排）</w:t>
      </w:r>
    </w:p>
    <w:p>
      <w:pPr>
        <w:rPr>
          <w:b/>
          <w:bCs/>
        </w:rPr>
      </w:pPr>
      <w:bookmarkStart w:id="21" w:name="_Toc35393625"/>
      <w:bookmarkStart w:id="22" w:name="_Toc28359084"/>
      <w:bookmarkStart w:id="23" w:name="_Toc35393794"/>
      <w:bookmarkStart w:id="24" w:name="_Toc28359007"/>
      <w:r>
        <w:rPr>
          <w:rFonts w:hint="eastAsia"/>
          <w:b/>
          <w:bCs/>
        </w:rPr>
        <w:t>五、公告期限</w:t>
      </w:r>
      <w:bookmarkEnd w:id="21"/>
      <w:bookmarkEnd w:id="22"/>
      <w:bookmarkEnd w:id="23"/>
      <w:bookmarkEnd w:id="24"/>
    </w:p>
    <w:p>
      <w:r>
        <w:rPr>
          <w:rFonts w:hint="eastAsia"/>
        </w:rPr>
        <w:t>自本公告发布之日起5个工作日。</w:t>
      </w:r>
    </w:p>
    <w:p>
      <w:pPr>
        <w:numPr>
          <w:ilvl w:val="0"/>
          <w:numId w:val="2"/>
        </w:numPr>
      </w:pPr>
      <w:bookmarkStart w:id="25" w:name="_Toc35393626"/>
      <w:bookmarkStart w:id="26" w:name="_Toc35393795"/>
      <w:r>
        <w:rPr>
          <w:rFonts w:hint="eastAsia"/>
          <w:b/>
          <w:bCs/>
        </w:rPr>
        <w:t>其他补充事宜</w:t>
      </w:r>
      <w:bookmarkEnd w:id="25"/>
      <w:bookmarkEnd w:id="26"/>
    </w:p>
    <w:p>
      <w:pPr>
        <w:ind w:firstLine="420" w:firstLineChars="200"/>
      </w:pPr>
      <w:bookmarkStart w:id="27" w:name="_Toc28359085"/>
      <w:bookmarkStart w:id="28" w:name="_Toc35393796"/>
      <w:bookmarkStart w:id="29" w:name="_Toc28359008"/>
      <w:bookmarkStart w:id="30" w:name="_Toc35393627"/>
      <w:r>
        <w:rPr>
          <w:rFonts w:hint="eastAsia"/>
        </w:rPr>
        <w:t>根据南宁市财政局《关于做好疫情防控期间政府采购工作有关事项的通知》（南财采〔2020〕12号）要求，疫情防控期间，本项目实行“不见面”开标方式，本项目的投标文件原则上应通过邮寄快递的方式送达。</w:t>
      </w:r>
      <w:r>
        <w:rPr>
          <w:rFonts w:hint="eastAsia"/>
        </w:rPr>
        <w:br w:type="textWrapping"/>
      </w:r>
      <w:r>
        <w:rPr>
          <w:rFonts w:hint="eastAsia"/>
        </w:rPr>
        <w:t>（1）接收投标文件的时间为工作日上午8：30～12：00,下午14:30～18:00，投标文件必须在开启时间前一个工作日下午18时前送达。采购代理机构签收邮寄包裹的时间即为投标人投标文件的送达时间，逾期送达的投标文件无效，后果由投标人自行承担。</w:t>
      </w:r>
      <w:r>
        <w:rPr>
          <w:rFonts w:hint="eastAsia"/>
        </w:rPr>
        <w:br w:type="textWrapping"/>
      </w:r>
      <w:r>
        <w:rPr>
          <w:rFonts w:hint="eastAsia"/>
        </w:rPr>
        <w:t>（2）采购代理机构将在投标截止时间前1.5小时统一将收到的投标文件运送至南宁市公共资源交易中心，以确保本项目能在投标截止（开标）时间准时开标。投标人应充分预留投标文件邮寄、送达所需要的时间。为确保疫情防控期间邮寄包裹能及时送达，应选择邮寄运送时间有保障的快递公司（统一使用中国邮政EMS等寄送）寄送投标文件。</w:t>
      </w:r>
      <w:r>
        <w:rPr>
          <w:rFonts w:hint="eastAsia"/>
        </w:rPr>
        <w:br w:type="textWrapping"/>
      </w:r>
      <w:r>
        <w:rPr>
          <w:rFonts w:hint="eastAsia"/>
        </w:rPr>
        <w:t>（3）投标人在按照招标文件的要求装订、密封好投标文件后，应使用不透明、防水的邮寄袋（或箱）再次包裹已密封好的投标文件，并在邮寄袋（或箱）上粘牢注明项目名称、项目编号、有效的电子邮箱、联系人、联系方式等内容的纸质表格（表格格式自拟），如投标文件在运送过程中发生破损、受潮等情况，后果由投标人自行承担。除响应文件外请同时单独附上法定代表人（或负责人）的身份证复印件和营业执照复印件 [或委托代理人递交时，提供有效授权委托书及身份证复印件、营业执照复印件]密封装订后存入同一包裹内。</w:t>
      </w:r>
      <w:r>
        <w:rPr>
          <w:rFonts w:hint="eastAsia"/>
        </w:rPr>
        <w:br w:type="textWrapping"/>
      </w:r>
      <w:r>
        <w:rPr>
          <w:rFonts w:hint="eastAsia"/>
        </w:rPr>
        <w:t>（4）采购代理机构工作人员在收到投标文件的邮寄包裹后，第一时间按照投标人在邮寄包裹上所预留的电子邮箱告知投标文件收件情况，请投标人务必确保所预留的电子邮箱的有效性，并注意查收邮件。</w:t>
      </w:r>
      <w:r>
        <w:rPr>
          <w:rFonts w:hint="eastAsia"/>
        </w:rPr>
        <w:br w:type="textWrapping"/>
      </w:r>
      <w:r>
        <w:rPr>
          <w:rFonts w:hint="eastAsia"/>
        </w:rPr>
        <w:t>（5）投标文件邮寄地址：广西南宁市西乡塘区滨河路1号火炬大厦1105办公室，南宁高新技术产业开发区政府集中采购中心，方乐、张露予（收）。联系电话：5816874/5816774，邮编：530007</w:t>
      </w:r>
    </w:p>
    <w:p>
      <w:pPr>
        <w:rPr>
          <w:b/>
          <w:bCs/>
        </w:rPr>
      </w:pPr>
      <w:r>
        <w:rPr>
          <w:rFonts w:hint="eastAsia"/>
          <w:b/>
          <w:bCs/>
        </w:rPr>
        <w:t>七、对本次招标提出询问，请按以下方式联系。</w:t>
      </w:r>
      <w:bookmarkEnd w:id="27"/>
      <w:bookmarkEnd w:id="28"/>
      <w:bookmarkEnd w:id="29"/>
      <w:bookmarkEnd w:id="30"/>
    </w:p>
    <w:p>
      <w:r>
        <w:rPr>
          <w:rFonts w:hint="eastAsia"/>
        </w:rPr>
        <w:t>1.采购人信息</w:t>
      </w:r>
    </w:p>
    <w:p>
      <w:r>
        <w:rPr>
          <w:rFonts w:hint="eastAsia"/>
        </w:rPr>
        <w:t>名 称：南宁高新技术产业开发区社会事业局　　　　　　　　　　　　</w:t>
      </w:r>
    </w:p>
    <w:p>
      <w:r>
        <w:rPr>
          <w:rFonts w:hint="eastAsia"/>
        </w:rPr>
        <w:t>地 址：广西南宁市滨河路1号火炬大厦16楼1611室　　　　　　　　　　　　</w:t>
      </w:r>
    </w:p>
    <w:p>
      <w:r>
        <w:rPr>
          <w:rFonts w:hint="eastAsia"/>
        </w:rPr>
        <w:t xml:space="preserve">联系方式：0771-5816927　　　　　　　　　　 </w:t>
      </w:r>
      <w:bookmarkStart w:id="31" w:name="_Toc28359086"/>
      <w:bookmarkStart w:id="32" w:name="_Toc28359009"/>
    </w:p>
    <w:p>
      <w:r>
        <w:rPr>
          <w:rFonts w:hint="eastAsia"/>
        </w:rPr>
        <w:t>2.采购代理机构信息</w:t>
      </w:r>
      <w:bookmarkEnd w:id="31"/>
      <w:bookmarkEnd w:id="32"/>
    </w:p>
    <w:p>
      <w:bookmarkStart w:id="33" w:name="_Toc28359087"/>
      <w:bookmarkStart w:id="34" w:name="_Toc28359010"/>
      <w:r>
        <w:rPr>
          <w:rFonts w:hint="eastAsia"/>
        </w:rPr>
        <w:t>名称：南宁高新技术产业开发区政府集中采购中心</w:t>
      </w:r>
    </w:p>
    <w:p>
      <w:r>
        <w:rPr>
          <w:rFonts w:hint="eastAsia"/>
        </w:rPr>
        <w:t>地址：广西南宁市滨河路1号火炬大厦1105室</w:t>
      </w:r>
    </w:p>
    <w:p>
      <w:r>
        <w:rPr>
          <w:rFonts w:hint="eastAsia"/>
        </w:rPr>
        <w:t>联系方式：0771-5816874、0771-5816774　　　　　　　　　　</w:t>
      </w:r>
    </w:p>
    <w:p>
      <w:r>
        <w:rPr>
          <w:rFonts w:hint="eastAsia"/>
        </w:rPr>
        <w:t>3.项目联系方式</w:t>
      </w:r>
      <w:bookmarkEnd w:id="33"/>
      <w:bookmarkEnd w:id="34"/>
    </w:p>
    <w:p>
      <w:r>
        <w:rPr>
          <w:rFonts w:hint="eastAsia"/>
        </w:rPr>
        <w:t>项目联系人：方乐、张露予</w:t>
      </w:r>
    </w:p>
    <w:p>
      <w:r>
        <w:rPr>
          <w:rFonts w:hint="eastAsia"/>
        </w:rPr>
        <w:t>电　　 话：0771-5816874、0771-5816774</w:t>
      </w:r>
    </w:p>
    <w:p>
      <w:r>
        <w:rPr>
          <w:rFonts w:hint="eastAsia"/>
        </w:rPr>
        <w:t>　　　　　　　　　</w:t>
      </w:r>
    </w:p>
    <w:p>
      <w:pPr>
        <w:pStyle w:val="3"/>
        <w:spacing w:before="0" w:after="0" w:line="360" w:lineRule="auto"/>
        <w:jc w:val="center"/>
        <w:sectPr>
          <w:pgSz w:w="11907" w:h="16840"/>
          <w:pgMar w:top="1134" w:right="1134" w:bottom="1134" w:left="1134" w:header="851" w:footer="794" w:gutter="0"/>
          <w:cols w:space="720" w:num="1"/>
          <w:docGrid w:type="linesAndChars" w:linePitch="312" w:charSpace="0"/>
        </w:sectPr>
      </w:pPr>
    </w:p>
    <w:p>
      <w:pPr>
        <w:pStyle w:val="3"/>
        <w:spacing w:before="0" w:after="0" w:line="360" w:lineRule="auto"/>
        <w:jc w:val="center"/>
      </w:pPr>
      <w:bookmarkStart w:id="35" w:name="_Toc26099"/>
      <w:r>
        <w:rPr>
          <w:rFonts w:hint="eastAsia"/>
        </w:rPr>
        <w:t>第二章  货物需求一览表</w:t>
      </w:r>
      <w:bookmarkEnd w:id="35"/>
    </w:p>
    <w:p>
      <w:pPr>
        <w:spacing w:line="220" w:lineRule="atLeast"/>
      </w:pPr>
    </w:p>
    <w:p>
      <w:pPr>
        <w:spacing w:line="220" w:lineRule="atLeast"/>
      </w:pPr>
      <w:r>
        <w:rPr>
          <w:rFonts w:hint="eastAsia"/>
        </w:rPr>
        <w:t>说明：</w:t>
      </w:r>
    </w:p>
    <w:p>
      <w:pPr>
        <w:spacing w:line="220" w:lineRule="atLeast"/>
      </w:pPr>
      <w:r>
        <w:rPr>
          <w:rFonts w:hint="eastAsia"/>
        </w:rPr>
        <w:t>1、本货物需求一览表中所列的品牌、型号仅起参考作用，竞标人可选用其他品牌、型号替代，但替代的品牌、型号在实质性要求和条件上要相当于或优于参考品牌、型号。</w:t>
      </w:r>
    </w:p>
    <w:p>
      <w:pPr>
        <w:spacing w:line="220" w:lineRule="atLeast"/>
      </w:pPr>
      <w:r>
        <w:rPr>
          <w:rFonts w:hint="eastAsia"/>
        </w:rPr>
        <w:t>2、凡在“技术参数要求”中表述为“标配”或“标准配置”的设备，竞标人应按第五章“投标文件格式”规定的格式在“投标货物技术资料表”中将其参数详细列明。</w:t>
      </w:r>
    </w:p>
    <w:p>
      <w:pPr>
        <w:spacing w:line="220" w:lineRule="atLeast"/>
      </w:pPr>
      <w:r>
        <w:rPr>
          <w:rFonts w:hint="eastAsia"/>
        </w:rPr>
        <w:t>3、本货物需求一览表中标注★号的内容为实质性要求和条件。</w:t>
      </w:r>
    </w:p>
    <w:p>
      <w:pPr>
        <w:spacing w:line="220" w:lineRule="atLeast"/>
      </w:pPr>
      <w:r>
        <w:rPr>
          <w:rFonts w:hint="eastAsia"/>
        </w:rPr>
        <w:t>4、本货物需求一览表中的内容如与第六章“合同条款及格式”相关条款不一致的，以本表为准。</w:t>
      </w:r>
    </w:p>
    <w:tbl>
      <w:tblPr>
        <w:tblStyle w:val="27"/>
        <w:tblW w:w="10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03"/>
        <w:gridCol w:w="878"/>
        <w:gridCol w:w="7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03" w:type="dxa"/>
          </w:tcPr>
          <w:p>
            <w:pPr>
              <w:jc w:val="center"/>
              <w:rPr>
                <w:rFonts w:ascii="宋体" w:hAnsi="宋体" w:cs="微软雅黑"/>
                <w:szCs w:val="21"/>
              </w:rPr>
            </w:pPr>
            <w:r>
              <w:rPr>
                <w:rFonts w:hint="eastAsia" w:ascii="宋体" w:hAnsi="宋体" w:cs="微软雅黑"/>
                <w:szCs w:val="21"/>
              </w:rPr>
              <w:t>项号</w:t>
            </w:r>
          </w:p>
        </w:tc>
        <w:tc>
          <w:tcPr>
            <w:tcW w:w="803" w:type="dxa"/>
          </w:tcPr>
          <w:p>
            <w:pPr>
              <w:jc w:val="center"/>
              <w:rPr>
                <w:rFonts w:ascii="宋体" w:hAnsi="宋体" w:cs="微软雅黑"/>
                <w:szCs w:val="21"/>
              </w:rPr>
            </w:pPr>
            <w:r>
              <w:rPr>
                <w:rFonts w:hint="eastAsia" w:ascii="宋体" w:hAnsi="宋体" w:cs="微软雅黑"/>
                <w:szCs w:val="21"/>
              </w:rPr>
              <w:t>货物名称</w:t>
            </w:r>
          </w:p>
        </w:tc>
        <w:tc>
          <w:tcPr>
            <w:tcW w:w="878" w:type="dxa"/>
          </w:tcPr>
          <w:p>
            <w:pPr>
              <w:jc w:val="center"/>
              <w:rPr>
                <w:rFonts w:ascii="宋体" w:hAnsi="宋体" w:cs="微软雅黑"/>
                <w:szCs w:val="21"/>
              </w:rPr>
            </w:pPr>
            <w:r>
              <w:rPr>
                <w:rFonts w:hint="eastAsia" w:ascii="宋体" w:hAnsi="宋体" w:cs="微软雅黑"/>
                <w:szCs w:val="21"/>
              </w:rPr>
              <w:t>数量</w:t>
            </w:r>
          </w:p>
        </w:tc>
        <w:tc>
          <w:tcPr>
            <w:tcW w:w="7521" w:type="dxa"/>
          </w:tcPr>
          <w:p>
            <w:pPr>
              <w:spacing w:line="400" w:lineRule="exact"/>
              <w:jc w:val="center"/>
              <w:rPr>
                <w:rFonts w:ascii="宋体" w:hAnsi="宋体" w:cs="微软雅黑"/>
                <w:szCs w:val="21"/>
              </w:rPr>
            </w:pPr>
            <w:r>
              <w:rPr>
                <w:rFonts w:hint="eastAsia" w:ascii="宋体" w:hAnsi="宋体" w:cs="宋体"/>
                <w:bCs/>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03" w:type="dxa"/>
          </w:tcPr>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r>
              <w:rPr>
                <w:rFonts w:hint="eastAsia" w:ascii="宋体" w:hAnsi="宋体" w:cs="微软雅黑"/>
                <w:szCs w:val="21"/>
              </w:rPr>
              <w:t>1</w:t>
            </w:r>
          </w:p>
        </w:tc>
        <w:tc>
          <w:tcPr>
            <w:tcW w:w="803" w:type="dxa"/>
          </w:tcPr>
          <w:p>
            <w:pPr>
              <w:ind w:firstLine="210" w:firstLineChars="100"/>
              <w:rPr>
                <w:rFonts w:ascii="宋体" w:hAnsi="宋体" w:cs="微软雅黑"/>
                <w:szCs w:val="21"/>
              </w:rPr>
            </w:pPr>
          </w:p>
          <w:p>
            <w:pPr>
              <w:ind w:firstLine="210" w:firstLineChars="100"/>
              <w:rPr>
                <w:rFonts w:ascii="宋体" w:hAnsi="宋体" w:cs="微软雅黑"/>
                <w:szCs w:val="21"/>
              </w:rPr>
            </w:pPr>
          </w:p>
          <w:p>
            <w:pPr>
              <w:ind w:firstLine="210" w:firstLineChars="100"/>
              <w:rPr>
                <w:rFonts w:ascii="宋体" w:hAnsi="宋体" w:cs="微软雅黑"/>
                <w:szCs w:val="21"/>
              </w:rPr>
            </w:pPr>
          </w:p>
          <w:p>
            <w:pPr>
              <w:ind w:firstLine="210" w:firstLineChars="100"/>
              <w:rPr>
                <w:rFonts w:ascii="宋体" w:hAnsi="宋体" w:cs="微软雅黑"/>
                <w:szCs w:val="21"/>
              </w:rPr>
            </w:pPr>
          </w:p>
          <w:p>
            <w:pPr>
              <w:ind w:firstLine="210" w:firstLineChars="100"/>
              <w:rPr>
                <w:rFonts w:ascii="宋体" w:hAnsi="宋体" w:cs="微软雅黑"/>
                <w:szCs w:val="21"/>
              </w:rPr>
            </w:pPr>
            <w:r>
              <w:rPr>
                <w:rFonts w:hint="eastAsia" w:ascii="宋体" w:hAnsi="宋体" w:cs="微软雅黑"/>
                <w:szCs w:val="21"/>
              </w:rPr>
              <w:t>全</w:t>
            </w:r>
          </w:p>
          <w:p>
            <w:pPr>
              <w:jc w:val="center"/>
              <w:rPr>
                <w:rFonts w:ascii="宋体" w:hAnsi="宋体" w:cs="微软雅黑"/>
                <w:szCs w:val="21"/>
              </w:rPr>
            </w:pPr>
            <w:r>
              <w:rPr>
                <w:rFonts w:hint="eastAsia" w:ascii="宋体" w:hAnsi="宋体" w:cs="微软雅黑"/>
                <w:szCs w:val="21"/>
              </w:rPr>
              <w:t>自</w:t>
            </w:r>
          </w:p>
          <w:p>
            <w:pPr>
              <w:jc w:val="center"/>
              <w:rPr>
                <w:rFonts w:ascii="宋体" w:hAnsi="宋体" w:cs="微软雅黑"/>
                <w:szCs w:val="21"/>
              </w:rPr>
            </w:pPr>
            <w:r>
              <w:rPr>
                <w:rFonts w:hint="eastAsia" w:ascii="宋体" w:hAnsi="宋体" w:cs="微软雅黑"/>
                <w:szCs w:val="21"/>
              </w:rPr>
              <w:t>动</w:t>
            </w:r>
          </w:p>
          <w:p>
            <w:pPr>
              <w:jc w:val="center"/>
              <w:rPr>
                <w:rFonts w:ascii="宋体" w:hAnsi="宋体" w:cs="微软雅黑"/>
                <w:szCs w:val="21"/>
              </w:rPr>
            </w:pPr>
            <w:r>
              <w:rPr>
                <w:rFonts w:hint="eastAsia" w:ascii="宋体" w:hAnsi="宋体" w:cs="微软雅黑"/>
                <w:szCs w:val="21"/>
              </w:rPr>
              <w:t>血</w:t>
            </w:r>
          </w:p>
          <w:p>
            <w:pPr>
              <w:jc w:val="center"/>
              <w:rPr>
                <w:rFonts w:ascii="宋体" w:hAnsi="宋体" w:cs="微软雅黑"/>
                <w:szCs w:val="21"/>
              </w:rPr>
            </w:pPr>
            <w:r>
              <w:rPr>
                <w:rFonts w:hint="eastAsia" w:ascii="宋体" w:hAnsi="宋体" w:cs="微软雅黑"/>
                <w:szCs w:val="21"/>
              </w:rPr>
              <w:t>球</w:t>
            </w:r>
          </w:p>
          <w:p>
            <w:pPr>
              <w:jc w:val="center"/>
              <w:rPr>
                <w:rFonts w:ascii="宋体" w:hAnsi="宋体" w:cs="微软雅黑"/>
                <w:szCs w:val="21"/>
              </w:rPr>
            </w:pPr>
            <w:r>
              <w:rPr>
                <w:rFonts w:hint="eastAsia" w:ascii="宋体" w:hAnsi="宋体" w:cs="微软雅黑"/>
                <w:szCs w:val="21"/>
              </w:rPr>
              <w:t>分</w:t>
            </w:r>
          </w:p>
          <w:p>
            <w:pPr>
              <w:jc w:val="center"/>
              <w:rPr>
                <w:rFonts w:ascii="宋体" w:hAnsi="宋体" w:cs="微软雅黑"/>
                <w:szCs w:val="21"/>
              </w:rPr>
            </w:pPr>
            <w:r>
              <w:rPr>
                <w:rFonts w:hint="eastAsia" w:ascii="宋体" w:hAnsi="宋体" w:cs="微软雅黑"/>
                <w:szCs w:val="21"/>
              </w:rPr>
              <w:t>析</w:t>
            </w:r>
          </w:p>
          <w:p>
            <w:pPr>
              <w:jc w:val="center"/>
              <w:rPr>
                <w:rFonts w:ascii="宋体" w:hAnsi="宋体" w:cs="微软雅黑"/>
                <w:szCs w:val="21"/>
              </w:rPr>
            </w:pPr>
            <w:r>
              <w:rPr>
                <w:rFonts w:hint="eastAsia" w:ascii="宋体" w:hAnsi="宋体" w:cs="微软雅黑"/>
                <w:szCs w:val="21"/>
              </w:rPr>
              <w:t>仪</w:t>
            </w:r>
          </w:p>
        </w:tc>
        <w:tc>
          <w:tcPr>
            <w:tcW w:w="878" w:type="dxa"/>
          </w:tcPr>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r>
              <w:rPr>
                <w:rFonts w:hint="eastAsia" w:ascii="宋体" w:hAnsi="宋体" w:cs="微软雅黑"/>
                <w:szCs w:val="21"/>
              </w:rPr>
              <w:t>1</w:t>
            </w:r>
          </w:p>
        </w:tc>
        <w:tc>
          <w:tcPr>
            <w:tcW w:w="7521" w:type="dxa"/>
          </w:tcPr>
          <w:p>
            <w:pPr>
              <w:numPr>
                <w:ilvl w:val="0"/>
                <w:numId w:val="3"/>
              </w:numPr>
              <w:spacing w:line="320" w:lineRule="exact"/>
              <w:ind w:left="0" w:firstLine="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全自动血液细胞分析仪</w:t>
            </w:r>
          </w:p>
          <w:p>
            <w:pPr>
              <w:numPr>
                <w:ilvl w:val="0"/>
                <w:numId w:val="3"/>
              </w:numPr>
              <w:spacing w:line="320" w:lineRule="exact"/>
              <w:ind w:left="0" w:firstLine="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检测方法及原理：半导体激光法、鞘流阻抗法、核酸荧光染色法、流式细胞技术。</w:t>
            </w:r>
          </w:p>
          <w:p>
            <w:pPr>
              <w:numPr>
                <w:ilvl w:val="0"/>
                <w:numId w:val="3"/>
              </w:numPr>
              <w:spacing w:line="320" w:lineRule="exact"/>
              <w:ind w:left="0" w:firstLine="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血液模式</w:t>
            </w:r>
            <w:r>
              <w:rPr>
                <w:rFonts w:hint="eastAsia" w:ascii="宋体" w:hAnsi="宋体"/>
                <w:color w:val="000000" w:themeColor="text1"/>
                <w:szCs w:val="21"/>
                <w14:textFill>
                  <w14:solidFill>
                    <w14:schemeClr w14:val="tx1"/>
                  </w14:solidFill>
                </w14:textFill>
              </w:rPr>
              <w:t>检测</w:t>
            </w:r>
            <w:r>
              <w:rPr>
                <w:rFonts w:ascii="宋体" w:hAnsi="宋体"/>
                <w:color w:val="000000" w:themeColor="text1"/>
                <w:szCs w:val="21"/>
                <w14:textFill>
                  <w14:solidFill>
                    <w14:schemeClr w14:val="tx1"/>
                  </w14:solidFill>
                </w14:textFill>
              </w:rPr>
              <w:t>参数：</w:t>
            </w:r>
            <w:r>
              <w:rPr>
                <w:rFonts w:hint="eastAsia" w:ascii="宋体" w:hAnsi="宋体"/>
                <w:color w:val="000000" w:themeColor="text1"/>
                <w:szCs w:val="21"/>
                <w14:textFill>
                  <w14:solidFill>
                    <w14:schemeClr w14:val="tx1"/>
                  </w14:solidFill>
                </w14:textFill>
              </w:rPr>
              <w:t>报告参数</w:t>
            </w:r>
            <w:r>
              <w:rPr>
                <w:rFonts w:ascii="宋体" w:hAnsi="宋体"/>
                <w:color w:val="000000" w:themeColor="text1"/>
                <w:szCs w:val="21"/>
                <w14:textFill>
                  <w14:solidFill>
                    <w14:schemeClr w14:val="tx1"/>
                  </w14:solidFill>
                </w14:textFill>
              </w:rPr>
              <w:t>≥35个</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直方图≥2个</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散点图≥</w:t>
            </w:r>
            <w:r>
              <w:rPr>
                <w:rFonts w:hint="eastAsia" w:ascii="宋体" w:hAnsi="宋体"/>
                <w:color w:val="000000" w:themeColor="text1"/>
                <w:szCs w:val="21"/>
                <w14:textFill>
                  <w14:solidFill>
                    <w14:schemeClr w14:val="tx1"/>
                  </w14:solidFill>
                </w14:textFill>
              </w:rPr>
              <w:t>6</w:t>
            </w:r>
            <w:r>
              <w:rPr>
                <w:rFonts w:ascii="宋体" w:hAnsi="宋体"/>
                <w:color w:val="000000" w:themeColor="text1"/>
                <w:szCs w:val="21"/>
                <w14:textFill>
                  <w14:solidFill>
                    <w14:schemeClr w14:val="tx1"/>
                  </w14:solidFill>
                </w14:textFill>
              </w:rPr>
              <w:t>个；</w:t>
            </w:r>
            <w:r>
              <w:rPr>
                <w:rFonts w:hint="eastAsia" w:ascii="宋体" w:hAnsi="宋体"/>
                <w:color w:val="000000" w:themeColor="text1"/>
                <w:szCs w:val="21"/>
                <w14:textFill>
                  <w14:solidFill>
                    <w14:schemeClr w14:val="tx1"/>
                  </w14:solidFill>
                </w14:textFill>
              </w:rPr>
              <w:t>研究参数≥40个，三维散点图≥3个</w:t>
            </w:r>
          </w:p>
          <w:p>
            <w:pPr>
              <w:numPr>
                <w:ilvl w:val="0"/>
                <w:numId w:val="3"/>
              </w:numPr>
              <w:spacing w:line="320" w:lineRule="exact"/>
              <w:ind w:left="0" w:firstLine="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血液分析</w:t>
            </w:r>
            <w:r>
              <w:rPr>
                <w:rFonts w:hint="eastAsia" w:ascii="宋体" w:hAnsi="宋体"/>
                <w:color w:val="000000" w:themeColor="text1"/>
                <w:szCs w:val="21"/>
                <w14:textFill>
                  <w14:solidFill>
                    <w14:schemeClr w14:val="tx1"/>
                  </w14:solidFill>
                </w14:textFill>
              </w:rPr>
              <w:t>报告参数中需含IPF、IMG、RHE</w:t>
            </w:r>
          </w:p>
          <w:p>
            <w:pPr>
              <w:numPr>
                <w:ilvl w:val="0"/>
                <w:numId w:val="3"/>
              </w:numPr>
              <w:spacing w:line="320" w:lineRule="exact"/>
              <w:ind w:left="0" w:firstLine="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全自动细胞计数和分类检测速度</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00样本/小时</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体液模式检测速度≥40</w:t>
            </w:r>
            <w:r>
              <w:rPr>
                <w:rFonts w:hint="eastAsia" w:ascii="宋体" w:hAnsi="宋体"/>
                <w:color w:val="000000" w:themeColor="text1"/>
                <w:szCs w:val="21"/>
                <w14:textFill>
                  <w14:solidFill>
                    <w14:schemeClr w14:val="tx1"/>
                  </w14:solidFill>
                </w14:textFill>
              </w:rPr>
              <w:t>样本</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小时</w:t>
            </w:r>
          </w:p>
          <w:p>
            <w:pPr>
              <w:numPr>
                <w:ilvl w:val="0"/>
                <w:numId w:val="3"/>
              </w:numPr>
              <w:spacing w:line="320" w:lineRule="exact"/>
              <w:ind w:left="0" w:firstLine="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全自动细胞计数、分类加网织红、有核红细胞计数同时</w:t>
            </w:r>
            <w:bookmarkStart w:id="36" w:name="OLE_LINK6"/>
            <w:bookmarkStart w:id="37" w:name="OLE_LINK5"/>
            <w:r>
              <w:rPr>
                <w:rFonts w:ascii="宋体" w:hAnsi="宋体"/>
                <w:color w:val="000000" w:themeColor="text1"/>
                <w:szCs w:val="21"/>
                <w14:textFill>
                  <w14:solidFill>
                    <w14:schemeClr w14:val="tx1"/>
                  </w14:solidFill>
                </w14:textFill>
              </w:rPr>
              <w:t>检测速度≥</w:t>
            </w:r>
            <w:r>
              <w:rPr>
                <w:rFonts w:hint="eastAsia" w:ascii="宋体" w:hAnsi="宋体"/>
                <w:color w:val="000000" w:themeColor="text1"/>
                <w:szCs w:val="21"/>
                <w14:textFill>
                  <w14:solidFill>
                    <w14:schemeClr w14:val="tx1"/>
                  </w14:solidFill>
                </w14:textFill>
              </w:rPr>
              <w:t>9</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个</w:t>
            </w:r>
            <w:r>
              <w:rPr>
                <w:rFonts w:ascii="宋体" w:hAnsi="宋体"/>
                <w:color w:val="000000" w:themeColor="text1"/>
                <w:szCs w:val="21"/>
                <w14:textFill>
                  <w14:solidFill>
                    <w14:schemeClr w14:val="tx1"/>
                  </w14:solidFill>
                </w14:textFill>
              </w:rPr>
              <w:t>样本/小时</w:t>
            </w:r>
            <w:bookmarkEnd w:id="36"/>
            <w:bookmarkEnd w:id="37"/>
          </w:p>
          <w:p>
            <w:pPr>
              <w:numPr>
                <w:ilvl w:val="0"/>
                <w:numId w:val="3"/>
              </w:numPr>
              <w:spacing w:line="320" w:lineRule="exact"/>
              <w:ind w:left="0" w:firstLine="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自动进样器在待测区可一次性装载80个以上的标本，</w:t>
            </w:r>
            <w:r>
              <w:rPr>
                <w:rFonts w:ascii="宋体" w:hAnsi="宋体"/>
                <w:color w:val="000000" w:themeColor="text1"/>
                <w:szCs w:val="21"/>
                <w14:textFill>
                  <w14:solidFill>
                    <w14:schemeClr w14:val="tx1"/>
                  </w14:solidFill>
                </w14:textFill>
              </w:rPr>
              <w:t>可选配自动条码</w:t>
            </w:r>
            <w:r>
              <w:rPr>
                <w:rFonts w:hint="eastAsia" w:ascii="宋体" w:hAnsi="宋体"/>
                <w:color w:val="000000" w:themeColor="text1"/>
                <w:szCs w:val="21"/>
                <w14:textFill>
                  <w14:solidFill>
                    <w14:schemeClr w14:val="tx1"/>
                  </w14:solidFill>
                </w14:textFill>
              </w:rPr>
              <w:t>旋转</w:t>
            </w:r>
            <w:r>
              <w:rPr>
                <w:rFonts w:ascii="宋体" w:hAnsi="宋体"/>
                <w:color w:val="000000" w:themeColor="text1"/>
                <w:szCs w:val="21"/>
                <w14:textFill>
                  <w14:solidFill>
                    <w14:schemeClr w14:val="tx1"/>
                  </w14:solidFill>
                </w14:textFill>
              </w:rPr>
              <w:t>扫描</w:t>
            </w:r>
            <w:r>
              <w:rPr>
                <w:rFonts w:hint="eastAsia" w:ascii="宋体" w:hAnsi="宋体"/>
                <w:color w:val="000000" w:themeColor="text1"/>
                <w:szCs w:val="21"/>
                <w14:textFill>
                  <w14:solidFill>
                    <w14:schemeClr w14:val="tx1"/>
                  </w14:solidFill>
                </w14:textFill>
              </w:rPr>
              <w:t>装置，</w:t>
            </w:r>
            <w:r>
              <w:rPr>
                <w:rFonts w:ascii="宋体" w:hAnsi="宋体"/>
                <w:color w:val="000000" w:themeColor="text1"/>
                <w:szCs w:val="21"/>
                <w14:textFill>
                  <w14:solidFill>
                    <w14:schemeClr w14:val="tx1"/>
                  </w14:solidFill>
                </w14:textFill>
              </w:rPr>
              <w:t>自动进样器内侧轨道可以回退</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辅助异常样本</w:t>
            </w:r>
            <w:r>
              <w:rPr>
                <w:rFonts w:hint="eastAsia" w:ascii="宋体" w:hAnsi="宋体"/>
                <w:color w:val="000000" w:themeColor="text1"/>
                <w:szCs w:val="21"/>
                <w14:textFill>
                  <w14:solidFill>
                    <w14:schemeClr w14:val="tx1"/>
                  </w14:solidFill>
                </w14:textFill>
              </w:rPr>
              <w:t>快速</w:t>
            </w:r>
            <w:r>
              <w:rPr>
                <w:rFonts w:ascii="宋体" w:hAnsi="宋体"/>
                <w:color w:val="000000" w:themeColor="text1"/>
                <w:szCs w:val="21"/>
                <w14:textFill>
                  <w14:solidFill>
                    <w14:schemeClr w14:val="tx1"/>
                  </w14:solidFill>
                </w14:textFill>
              </w:rPr>
              <w:t>复检</w:t>
            </w:r>
          </w:p>
          <w:p>
            <w:pPr>
              <w:numPr>
                <w:ilvl w:val="0"/>
                <w:numId w:val="3"/>
              </w:numPr>
              <w:spacing w:line="320" w:lineRule="exact"/>
              <w:ind w:left="0" w:firstLine="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具有</w:t>
            </w:r>
            <w:r>
              <w:rPr>
                <w:rFonts w:ascii="宋体" w:hAnsi="宋体"/>
                <w:color w:val="000000" w:themeColor="text1"/>
                <w:szCs w:val="21"/>
                <w14:textFill>
                  <w14:solidFill>
                    <w14:schemeClr w14:val="tx1"/>
                  </w14:solidFill>
                </w14:textFill>
              </w:rPr>
              <w:t>白细胞</w:t>
            </w:r>
            <w:r>
              <w:rPr>
                <w:rFonts w:hint="eastAsia" w:ascii="宋体" w:hAnsi="宋体"/>
                <w:color w:val="000000" w:themeColor="text1"/>
                <w:szCs w:val="21"/>
                <w14:textFill>
                  <w14:solidFill>
                    <w14:schemeClr w14:val="tx1"/>
                  </w14:solidFill>
                </w14:textFill>
              </w:rPr>
              <w:t>五</w:t>
            </w:r>
            <w:r>
              <w:rPr>
                <w:rFonts w:ascii="宋体" w:hAnsi="宋体"/>
                <w:color w:val="000000" w:themeColor="text1"/>
                <w:szCs w:val="21"/>
                <w14:textFill>
                  <w14:solidFill>
                    <w14:schemeClr w14:val="tx1"/>
                  </w14:solidFill>
                </w14:textFill>
              </w:rPr>
              <w:t>分类测定、有核红细胞测定、网织红细胞测定、红细胞测定、血小板测定、血红蛋白测定、感染红细胞测定</w:t>
            </w:r>
            <w:r>
              <w:rPr>
                <w:rFonts w:hint="eastAsia" w:ascii="宋体" w:hAnsi="宋体"/>
                <w:color w:val="000000" w:themeColor="text1"/>
                <w:szCs w:val="21"/>
                <w14:textFill>
                  <w14:solidFill>
                    <w14:schemeClr w14:val="tx1"/>
                  </w14:solidFill>
                </w14:textFill>
              </w:rPr>
              <w:t>等</w:t>
            </w:r>
            <w:r>
              <w:rPr>
                <w:rFonts w:ascii="宋体" w:hAnsi="宋体"/>
                <w:color w:val="000000" w:themeColor="text1"/>
                <w:szCs w:val="21"/>
                <w14:textFill>
                  <w14:solidFill>
                    <w14:schemeClr w14:val="tx1"/>
                  </w14:solidFill>
                </w14:textFill>
              </w:rPr>
              <w:t>功能</w:t>
            </w:r>
          </w:p>
          <w:p>
            <w:pPr>
              <w:numPr>
                <w:ilvl w:val="0"/>
                <w:numId w:val="3"/>
              </w:numPr>
              <w:spacing w:line="320" w:lineRule="exact"/>
              <w:ind w:left="0" w:firstLine="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具有全自动体液（含胸水、腹水、脑脊液</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滑膜液等体液）细胞计数和对体液中的白细胞进行分类的功能；具有通过高荧光体液细胞参数对肿瘤细胞进行提示功能</w:t>
            </w:r>
          </w:p>
          <w:p>
            <w:pPr>
              <w:numPr>
                <w:ilvl w:val="0"/>
                <w:numId w:val="3"/>
              </w:numPr>
              <w:spacing w:line="320" w:lineRule="exact"/>
              <w:ind w:left="0" w:firstLine="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体液模式报告检测参数≥7项，研究参数≥</w:t>
            </w:r>
            <w:r>
              <w:rPr>
                <w:rFonts w:hint="eastAsia" w:ascii="宋体" w:hAnsi="宋体"/>
                <w:color w:val="000000" w:themeColor="text1"/>
                <w:szCs w:val="21"/>
                <w14:textFill>
                  <w14:solidFill>
                    <w14:schemeClr w14:val="tx1"/>
                  </w14:solidFill>
                </w14:textFill>
              </w:rPr>
              <w:t>7</w:t>
            </w:r>
            <w:r>
              <w:rPr>
                <w:rFonts w:ascii="宋体" w:hAnsi="宋体"/>
                <w:color w:val="000000" w:themeColor="text1"/>
                <w:szCs w:val="21"/>
                <w14:textFill>
                  <w14:solidFill>
                    <w14:schemeClr w14:val="tx1"/>
                  </w14:solidFill>
                </w14:textFill>
              </w:rPr>
              <w:t>项</w:t>
            </w:r>
          </w:p>
          <w:p>
            <w:pPr>
              <w:numPr>
                <w:ilvl w:val="0"/>
                <w:numId w:val="3"/>
              </w:numPr>
              <w:spacing w:line="320" w:lineRule="exact"/>
              <w:ind w:left="0" w:firstLine="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血小板检测采用鞘流阻抗法和染色法两种方法，并可转换</w:t>
            </w:r>
          </w:p>
          <w:p>
            <w:pPr>
              <w:numPr>
                <w:ilvl w:val="0"/>
                <w:numId w:val="3"/>
              </w:numPr>
              <w:spacing w:line="320" w:lineRule="exact"/>
              <w:ind w:left="0" w:firstLine="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具有低值白细胞检测功能，如遇白细胞低值时自动增加计数颗粒数量</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无需额外消耗试剂</w:t>
            </w:r>
            <w:r>
              <w:rPr>
                <w:rFonts w:hint="eastAsia" w:ascii="宋体" w:hAnsi="宋体"/>
                <w:color w:val="000000" w:themeColor="text1"/>
                <w:szCs w:val="21"/>
                <w14:textFill>
                  <w14:solidFill>
                    <w14:schemeClr w14:val="tx1"/>
                  </w14:solidFill>
                </w14:textFill>
              </w:rPr>
              <w:t>再测一次</w:t>
            </w:r>
          </w:p>
          <w:p>
            <w:pPr>
              <w:numPr>
                <w:ilvl w:val="0"/>
                <w:numId w:val="3"/>
              </w:numPr>
              <w:spacing w:line="320" w:lineRule="exact"/>
              <w:ind w:left="0" w:firstLine="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进样模式及样本量：手动进样小于150μl、自动穿刺进样小于200μl、末梢血</w:t>
            </w:r>
            <w:r>
              <w:rPr>
                <w:rFonts w:hint="eastAsia" w:ascii="宋体" w:hAnsi="宋体"/>
                <w:color w:val="000000" w:themeColor="text1"/>
                <w:szCs w:val="21"/>
                <w14:textFill>
                  <w14:solidFill>
                    <w14:schemeClr w14:val="tx1"/>
                  </w14:solidFill>
                </w14:textFill>
              </w:rPr>
              <w:t>预稀释模式</w:t>
            </w:r>
            <w:r>
              <w:rPr>
                <w:rFonts w:ascii="宋体" w:hAnsi="宋体"/>
                <w:color w:val="000000" w:themeColor="text1"/>
                <w:szCs w:val="21"/>
                <w14:textFill>
                  <w14:solidFill>
                    <w14:schemeClr w14:val="tx1"/>
                  </w14:solidFill>
                </w14:textFill>
              </w:rPr>
              <w:t>40μl</w:t>
            </w:r>
          </w:p>
          <w:p>
            <w:pPr>
              <w:numPr>
                <w:ilvl w:val="0"/>
                <w:numId w:val="3"/>
              </w:numPr>
              <w:spacing w:line="320" w:lineRule="exact"/>
              <w:ind w:left="0" w:firstLine="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网织红细胞测试为全自动检测，无需人为辅助，无需机外添加试剂</w:t>
            </w:r>
          </w:p>
          <w:p>
            <w:pPr>
              <w:numPr>
                <w:ilvl w:val="0"/>
                <w:numId w:val="3"/>
              </w:numPr>
              <w:spacing w:line="320" w:lineRule="exact"/>
              <w:ind w:left="0" w:firstLine="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预稀释模式可进行全参数检测</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并能</w:t>
            </w:r>
            <w:r>
              <w:rPr>
                <w:rFonts w:hint="eastAsia" w:ascii="宋体" w:hAnsi="宋体"/>
                <w:color w:val="000000" w:themeColor="text1"/>
                <w:szCs w:val="21"/>
                <w14:textFill>
                  <w14:solidFill>
                    <w14:schemeClr w14:val="tx1"/>
                  </w14:solidFill>
                </w14:textFill>
              </w:rPr>
              <w:t>对原始细胞</w:t>
            </w:r>
            <w:r>
              <w:rPr>
                <w:rFonts w:ascii="宋体" w:hAnsi="宋体"/>
                <w:color w:val="000000" w:themeColor="text1"/>
                <w:szCs w:val="21"/>
                <w14:textFill>
                  <w14:solidFill>
                    <w14:schemeClr w14:val="tx1"/>
                  </w14:solidFill>
                </w14:textFill>
              </w:rPr>
              <w:t>、异淋等</w:t>
            </w:r>
            <w:r>
              <w:rPr>
                <w:rFonts w:hint="eastAsia" w:ascii="宋体" w:hAnsi="宋体"/>
                <w:color w:val="000000" w:themeColor="text1"/>
                <w:szCs w:val="21"/>
                <w14:textFill>
                  <w14:solidFill>
                    <w14:schemeClr w14:val="tx1"/>
                  </w14:solidFill>
                </w14:textFill>
              </w:rPr>
              <w:t>进行</w:t>
            </w:r>
            <w:r>
              <w:rPr>
                <w:rFonts w:ascii="宋体" w:hAnsi="宋体"/>
                <w:color w:val="000000" w:themeColor="text1"/>
                <w:szCs w:val="21"/>
                <w14:textFill>
                  <w14:solidFill>
                    <w14:schemeClr w14:val="tx1"/>
                  </w14:solidFill>
                </w14:textFill>
              </w:rPr>
              <w:t>报警</w:t>
            </w:r>
          </w:p>
          <w:p>
            <w:pPr>
              <w:numPr>
                <w:ilvl w:val="0"/>
                <w:numId w:val="3"/>
              </w:numPr>
              <w:spacing w:line="320" w:lineRule="exact"/>
              <w:ind w:left="0" w:firstLine="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血液分析仪主机自带10.4寸彩色液晶触摸屏</w:t>
            </w:r>
            <w:r>
              <w:rPr>
                <w:rFonts w:hint="eastAsia" w:ascii="宋体" w:hAnsi="宋体"/>
                <w:color w:val="000000" w:themeColor="text1"/>
                <w:szCs w:val="21"/>
                <w14:textFill>
                  <w14:solidFill>
                    <w14:schemeClr w14:val="tx1"/>
                  </w14:solidFill>
                </w14:textFill>
              </w:rPr>
              <w:t>，外接电脑标配</w:t>
            </w:r>
            <w:r>
              <w:rPr>
                <w:rFonts w:ascii="宋体" w:hAnsi="宋体"/>
                <w:color w:val="000000" w:themeColor="text1"/>
                <w:szCs w:val="21"/>
                <w14:textFill>
                  <w14:solidFill>
                    <w14:schemeClr w14:val="tx1"/>
                  </w14:solidFill>
                </w14:textFill>
              </w:rPr>
              <w:t>原厂中文报告</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数据处理</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复检规则设置</w: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14:textFill>
                  <w14:solidFill>
                    <w14:schemeClr w14:val="tx1"/>
                  </w14:solidFill>
                </w14:textFill>
              </w:rPr>
              <w:t>软件系统</w:t>
            </w:r>
          </w:p>
          <w:p>
            <w:pPr>
              <w:numPr>
                <w:ilvl w:val="0"/>
                <w:numId w:val="3"/>
              </w:numPr>
              <w:spacing w:line="320" w:lineRule="exact"/>
              <w:ind w:left="0" w:firstLine="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血液分析线性范围（静脉血）：白细胞</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（0-500）</w:t>
            </w:r>
            <w:r>
              <w:rPr>
                <w:rFonts w:ascii="宋体" w:hAnsi="宋体"/>
                <w:color w:val="000000" w:themeColor="text1"/>
                <w:szCs w:val="21"/>
                <w14:textFill>
                  <w14:solidFill>
                    <w14:schemeClr w14:val="tx1"/>
                  </w14:solidFill>
                </w14:textFill>
              </w:rPr>
              <w:sym w:font="Symbol" w:char="F0B4"/>
            </w:r>
            <w:r>
              <w:rPr>
                <w:rFonts w:ascii="宋体" w:hAnsi="宋体"/>
                <w:color w:val="000000" w:themeColor="text1"/>
                <w:szCs w:val="21"/>
                <w14:textFill>
                  <w14:solidFill>
                    <w14:schemeClr w14:val="tx1"/>
                  </w14:solidFill>
                </w14:textFill>
              </w:rPr>
              <w:t xml:space="preserve"> 10</w:t>
            </w:r>
            <w:r>
              <w:rPr>
                <w:rFonts w:ascii="宋体" w:hAnsi="宋体"/>
                <w:b/>
                <w:color w:val="000000" w:themeColor="text1"/>
                <w:szCs w:val="21"/>
                <w:vertAlign w:val="superscript"/>
                <w14:textFill>
                  <w14:solidFill>
                    <w14:schemeClr w14:val="tx1"/>
                  </w14:solidFill>
                </w14:textFill>
              </w:rPr>
              <w:t>9</w:t>
            </w:r>
            <w:r>
              <w:rPr>
                <w:rFonts w:ascii="宋体" w:hAnsi="宋体"/>
                <w:color w:val="000000" w:themeColor="text1"/>
                <w:szCs w:val="21"/>
                <w14:textFill>
                  <w14:solidFill>
                    <w14:schemeClr w14:val="tx1"/>
                  </w14:solidFill>
                </w14:textFill>
              </w:rPr>
              <w:t>/L，红细胞：（0-8.6</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sym w:font="Symbol" w:char="F0B4"/>
            </w:r>
            <w:r>
              <w:rPr>
                <w:rFonts w:ascii="宋体" w:hAnsi="宋体"/>
                <w:color w:val="000000" w:themeColor="text1"/>
                <w:szCs w:val="21"/>
                <w14:textFill>
                  <w14:solidFill>
                    <w14:schemeClr w14:val="tx1"/>
                  </w14:solidFill>
                </w14:textFill>
              </w:rPr>
              <w:t xml:space="preserve"> 10</w:t>
            </w:r>
            <w:r>
              <w:rPr>
                <w:rFonts w:ascii="宋体" w:hAnsi="宋体"/>
                <w:b/>
                <w:color w:val="000000" w:themeColor="text1"/>
                <w:szCs w:val="21"/>
                <w:vertAlign w:val="superscript"/>
                <w14:textFill>
                  <w14:solidFill>
                    <w14:schemeClr w14:val="tx1"/>
                  </w14:solidFill>
                </w14:textFill>
              </w:rPr>
              <w:t>12</w:t>
            </w:r>
            <w:r>
              <w:rPr>
                <w:rFonts w:ascii="宋体" w:hAnsi="宋体"/>
                <w:color w:val="000000" w:themeColor="text1"/>
                <w:szCs w:val="21"/>
                <w14:textFill>
                  <w14:solidFill>
                    <w14:schemeClr w14:val="tx1"/>
                  </w14:solidFill>
                </w14:textFill>
              </w:rPr>
              <w:t>/L，血小板：（0-5000）</w:t>
            </w:r>
            <w:r>
              <w:rPr>
                <w:rFonts w:ascii="宋体" w:hAnsi="宋体"/>
                <w:color w:val="000000" w:themeColor="text1"/>
                <w:szCs w:val="21"/>
                <w14:textFill>
                  <w14:solidFill>
                    <w14:schemeClr w14:val="tx1"/>
                  </w14:solidFill>
                </w14:textFill>
              </w:rPr>
              <w:sym w:font="Symbol" w:char="F0B4"/>
            </w:r>
            <w:r>
              <w:rPr>
                <w:rFonts w:ascii="宋体" w:hAnsi="宋体"/>
                <w:color w:val="000000" w:themeColor="text1"/>
                <w:szCs w:val="21"/>
                <w14:textFill>
                  <w14:solidFill>
                    <w14:schemeClr w14:val="tx1"/>
                  </w14:solidFill>
                </w14:textFill>
              </w:rPr>
              <w:t xml:space="preserve"> 10</w:t>
            </w:r>
            <w:r>
              <w:rPr>
                <w:rFonts w:ascii="宋体" w:hAnsi="宋体"/>
                <w:b/>
                <w:color w:val="000000" w:themeColor="text1"/>
                <w:szCs w:val="21"/>
                <w:vertAlign w:val="superscript"/>
                <w14:textFill>
                  <w14:solidFill>
                    <w14:schemeClr w14:val="tx1"/>
                  </w14:solidFill>
                </w14:textFill>
              </w:rPr>
              <w:t>9</w:t>
            </w:r>
            <w:r>
              <w:rPr>
                <w:rFonts w:ascii="宋体" w:hAnsi="宋体"/>
                <w:color w:val="000000" w:themeColor="text1"/>
                <w:szCs w:val="21"/>
                <w14:textFill>
                  <w14:solidFill>
                    <w14:schemeClr w14:val="tx1"/>
                  </w14:solidFill>
                </w14:textFill>
              </w:rPr>
              <w:t>/L</w:t>
            </w:r>
          </w:p>
          <w:p>
            <w:pPr>
              <w:numPr>
                <w:ilvl w:val="0"/>
                <w:numId w:val="3"/>
              </w:numPr>
              <w:spacing w:line="320" w:lineRule="exact"/>
              <w:ind w:left="0" w:firstLine="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体液分析白细胞线性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0-10</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×10</w:t>
            </w:r>
            <w:r>
              <w:rPr>
                <w:rFonts w:ascii="宋体" w:hAnsi="宋体"/>
                <w:b/>
                <w:color w:val="000000" w:themeColor="text1"/>
                <w:szCs w:val="21"/>
                <w:vertAlign w:val="superscript"/>
                <w14:textFill>
                  <w14:solidFill>
                    <w14:schemeClr w14:val="tx1"/>
                  </w14:solidFill>
                </w14:textFill>
              </w:rPr>
              <w:t>9</w:t>
            </w:r>
            <w:r>
              <w:rPr>
                <w:rFonts w:ascii="宋体" w:hAnsi="宋体"/>
                <w:color w:val="000000" w:themeColor="text1"/>
                <w:szCs w:val="21"/>
                <w14:textFill>
                  <w14:solidFill>
                    <w14:schemeClr w14:val="tx1"/>
                  </w14:solidFill>
                </w14:textFill>
              </w:rPr>
              <w:t>/L</w:t>
            </w:r>
            <w:r>
              <w:rPr>
                <w:rFonts w:hint="eastAsia" w:ascii="宋体" w:hAnsi="宋体"/>
                <w:color w:val="000000" w:themeColor="text1"/>
                <w:szCs w:val="21"/>
                <w14:textFill>
                  <w14:solidFill>
                    <w14:schemeClr w14:val="tx1"/>
                  </w14:solidFill>
                </w14:textFill>
              </w:rPr>
              <w:t>，白细胞</w:t>
            </w:r>
            <w:r>
              <w:rPr>
                <w:rFonts w:ascii="宋体" w:hAnsi="宋体"/>
                <w:color w:val="000000" w:themeColor="text1"/>
                <w:szCs w:val="21"/>
                <w14:textFill>
                  <w14:solidFill>
                    <w14:schemeClr w14:val="tx1"/>
                  </w14:solidFill>
                </w14:textFill>
              </w:rPr>
              <w:t>本</w:t>
            </w:r>
            <w:r>
              <w:rPr>
                <w:rFonts w:hint="eastAsia" w:ascii="宋体" w:hAnsi="宋体"/>
                <w:color w:val="000000" w:themeColor="text1"/>
                <w:szCs w:val="21"/>
                <w14:textFill>
                  <w14:solidFill>
                    <w14:schemeClr w14:val="tx1"/>
                  </w14:solidFill>
                </w14:textFill>
              </w:rPr>
              <w:t>底≤0.001×10</w:t>
            </w:r>
            <w:r>
              <w:rPr>
                <w:rFonts w:hint="eastAsia" w:ascii="宋体" w:hAnsi="宋体"/>
                <w:color w:val="000000" w:themeColor="text1"/>
                <w:szCs w:val="21"/>
                <w:vertAlign w:val="superscript"/>
                <w14:textFill>
                  <w14:solidFill>
                    <w14:schemeClr w14:val="tx1"/>
                  </w14:solidFill>
                </w14:textFill>
              </w:rPr>
              <w:t>9</w:t>
            </w:r>
            <w:r>
              <w:rPr>
                <w:rFonts w:hint="eastAsia" w:ascii="宋体" w:hAnsi="宋体"/>
                <w:color w:val="000000" w:themeColor="text1"/>
                <w:szCs w:val="21"/>
                <w14:textFill>
                  <w14:solidFill>
                    <w14:schemeClr w14:val="tx1"/>
                  </w14:solidFill>
                </w14:textFill>
              </w:rPr>
              <w:t>/L；</w:t>
            </w:r>
            <w:r>
              <w:rPr>
                <w:rFonts w:ascii="宋体" w:hAnsi="宋体"/>
                <w:color w:val="000000" w:themeColor="text1"/>
                <w:szCs w:val="21"/>
                <w14:textFill>
                  <w14:solidFill>
                    <w14:schemeClr w14:val="tx1"/>
                  </w14:solidFill>
                </w14:textFill>
              </w:rPr>
              <w:t>红细胞线性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0-5</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×10</w:t>
            </w:r>
            <w:r>
              <w:rPr>
                <w:rFonts w:ascii="宋体" w:hAnsi="宋体"/>
                <w:b/>
                <w:color w:val="000000" w:themeColor="text1"/>
                <w:szCs w:val="21"/>
                <w:vertAlign w:val="superscript"/>
                <w14:textFill>
                  <w14:solidFill>
                    <w14:schemeClr w14:val="tx1"/>
                  </w14:solidFill>
                </w14:textFill>
              </w:rPr>
              <w:t>12</w:t>
            </w:r>
            <w:r>
              <w:rPr>
                <w:rFonts w:ascii="宋体" w:hAnsi="宋体"/>
                <w:color w:val="000000" w:themeColor="text1"/>
                <w:szCs w:val="21"/>
                <w14:textFill>
                  <w14:solidFill>
                    <w14:schemeClr w14:val="tx1"/>
                  </w14:solidFill>
                </w14:textFill>
              </w:rPr>
              <w:t>/L</w:t>
            </w:r>
            <w:r>
              <w:rPr>
                <w:rFonts w:hint="eastAsia" w:ascii="宋体" w:hAnsi="宋体"/>
                <w:color w:val="000000" w:themeColor="text1"/>
                <w:szCs w:val="21"/>
                <w14:textFill>
                  <w14:solidFill>
                    <w14:schemeClr w14:val="tx1"/>
                  </w14:solidFill>
                </w14:textFill>
              </w:rPr>
              <w:t>，红细胞</w:t>
            </w:r>
            <w:r>
              <w:rPr>
                <w:rFonts w:ascii="宋体" w:hAnsi="宋体"/>
                <w:color w:val="000000" w:themeColor="text1"/>
                <w:szCs w:val="21"/>
                <w14:textFill>
                  <w14:solidFill>
                    <w14:schemeClr w14:val="tx1"/>
                  </w14:solidFill>
                </w14:textFill>
              </w:rPr>
              <w:t>本</w:t>
            </w:r>
            <w:r>
              <w:rPr>
                <w:rFonts w:hint="eastAsia" w:ascii="宋体" w:hAnsi="宋体"/>
                <w:color w:val="000000" w:themeColor="text1"/>
                <w:szCs w:val="21"/>
                <w14:textFill>
                  <w14:solidFill>
                    <w14:schemeClr w14:val="tx1"/>
                  </w14:solidFill>
                </w14:textFill>
              </w:rPr>
              <w:t>底≤0.003×10</w:t>
            </w:r>
            <w:r>
              <w:rPr>
                <w:rFonts w:hint="eastAsia" w:ascii="宋体" w:hAnsi="宋体"/>
                <w:color w:val="000000" w:themeColor="text1"/>
                <w:szCs w:val="21"/>
                <w:vertAlign w:val="superscript"/>
                <w14:textFill>
                  <w14:solidFill>
                    <w14:schemeClr w14:val="tx1"/>
                  </w14:solidFill>
                </w14:textFill>
              </w:rPr>
              <w:t>12</w:t>
            </w:r>
            <w:r>
              <w:rPr>
                <w:rFonts w:hint="eastAsia" w:ascii="宋体" w:hAnsi="宋体"/>
                <w:color w:val="000000" w:themeColor="text1"/>
                <w:szCs w:val="21"/>
                <w14:textFill>
                  <w14:solidFill>
                    <w14:schemeClr w14:val="tx1"/>
                  </w14:solidFill>
                </w14:textFill>
              </w:rPr>
              <w:t>/L</w:t>
            </w:r>
          </w:p>
          <w:p>
            <w:pPr>
              <w:numPr>
                <w:ilvl w:val="0"/>
                <w:numId w:val="3"/>
              </w:numPr>
              <w:spacing w:line="320" w:lineRule="exact"/>
              <w:ind w:left="0" w:firstLine="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能提供原厂配套的CFDA注册的质控品</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校准品</w:t>
            </w:r>
          </w:p>
          <w:p>
            <w:pPr>
              <w:numPr>
                <w:ilvl w:val="0"/>
                <w:numId w:val="3"/>
              </w:numPr>
              <w:spacing w:line="320" w:lineRule="exact"/>
              <w:ind w:left="0" w:firstLine="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运行温度：5~40</w:t>
            </w:r>
            <w:r>
              <w:rPr>
                <w:rFonts w:hint="eastAsia" w:ascii="宋体" w:hAnsi="宋体" w:cs="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，运行湿度：10~90</w:t>
            </w:r>
            <w:r>
              <w:rPr>
                <w:rFonts w:hint="eastAsia" w:ascii="宋体" w:hAnsi="宋体" w:cs="宋体"/>
                <w:color w:val="000000" w:themeColor="text1"/>
                <w:szCs w:val="21"/>
                <w14:textFill>
                  <w14:solidFill>
                    <w14:schemeClr w14:val="tx1"/>
                  </w14:solidFill>
                </w14:textFill>
              </w:rPr>
              <w:t>℃</w:t>
            </w:r>
          </w:p>
          <w:p>
            <w:pPr>
              <w:numPr>
                <w:ilvl w:val="0"/>
                <w:numId w:val="3"/>
              </w:numPr>
              <w:spacing w:line="320" w:lineRule="exact"/>
              <w:ind w:left="0" w:firstLine="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电源要求：(220V)允差±10%~(50/60±2HZ)</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r>
              <w:rPr>
                <w:rFonts w:hint="eastAsia" w:ascii="宋体" w:hAnsi="宋体" w:cs="微软雅黑"/>
                <w:szCs w:val="21"/>
              </w:rPr>
              <w:t>2</w:t>
            </w:r>
          </w:p>
        </w:tc>
        <w:tc>
          <w:tcPr>
            <w:tcW w:w="803" w:type="dxa"/>
          </w:tcPr>
          <w:p>
            <w:pP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r>
              <w:rPr>
                <w:rFonts w:hint="eastAsia" w:ascii="宋体" w:hAnsi="宋体" w:cs="微软雅黑"/>
                <w:szCs w:val="21"/>
              </w:rPr>
              <w:t>尿</w:t>
            </w:r>
          </w:p>
          <w:p>
            <w:pPr>
              <w:jc w:val="center"/>
              <w:rPr>
                <w:rFonts w:ascii="宋体" w:hAnsi="宋体" w:cs="微软雅黑"/>
                <w:szCs w:val="21"/>
              </w:rPr>
            </w:pPr>
            <w:r>
              <w:rPr>
                <w:rFonts w:hint="eastAsia" w:ascii="宋体" w:hAnsi="宋体" w:cs="微软雅黑"/>
                <w:szCs w:val="21"/>
              </w:rPr>
              <w:t>液</w:t>
            </w:r>
          </w:p>
          <w:p>
            <w:pPr>
              <w:jc w:val="center"/>
              <w:rPr>
                <w:rFonts w:ascii="宋体" w:hAnsi="宋体" w:cs="微软雅黑"/>
                <w:szCs w:val="21"/>
              </w:rPr>
            </w:pPr>
            <w:r>
              <w:rPr>
                <w:rFonts w:hint="eastAsia" w:ascii="宋体" w:hAnsi="宋体" w:cs="微软雅黑"/>
                <w:szCs w:val="21"/>
              </w:rPr>
              <w:t>分</w:t>
            </w:r>
          </w:p>
          <w:p>
            <w:pPr>
              <w:jc w:val="center"/>
              <w:rPr>
                <w:rFonts w:ascii="宋体" w:hAnsi="宋体" w:cs="微软雅黑"/>
                <w:szCs w:val="21"/>
              </w:rPr>
            </w:pPr>
            <w:r>
              <w:rPr>
                <w:rFonts w:hint="eastAsia" w:ascii="宋体" w:hAnsi="宋体" w:cs="微软雅黑"/>
                <w:szCs w:val="21"/>
              </w:rPr>
              <w:t>析</w:t>
            </w:r>
          </w:p>
          <w:p>
            <w:pPr>
              <w:jc w:val="center"/>
              <w:rPr>
                <w:rFonts w:ascii="宋体" w:hAnsi="宋体" w:cs="微软雅黑"/>
                <w:szCs w:val="21"/>
              </w:rPr>
            </w:pPr>
            <w:r>
              <w:rPr>
                <w:rFonts w:hint="eastAsia" w:ascii="宋体" w:hAnsi="宋体" w:cs="微软雅黑"/>
                <w:szCs w:val="21"/>
              </w:rPr>
              <w:t>仪</w:t>
            </w:r>
          </w:p>
        </w:tc>
        <w:tc>
          <w:tcPr>
            <w:tcW w:w="878" w:type="dxa"/>
          </w:tcPr>
          <w:p>
            <w:pPr>
              <w:jc w:val="center"/>
              <w:rPr>
                <w:rFonts w:ascii="宋体" w:hAnsi="宋体"/>
                <w:szCs w:val="21"/>
              </w:rPr>
            </w:pPr>
          </w:p>
          <w:p>
            <w:pPr>
              <w:jc w:val="center"/>
              <w:rPr>
                <w:rFonts w:ascii="宋体" w:hAnsi="宋体"/>
                <w:szCs w:val="21"/>
              </w:rPr>
            </w:pPr>
          </w:p>
          <w:p>
            <w:pPr>
              <w:rPr>
                <w:rFonts w:ascii="宋体" w:hAnsi="宋体"/>
                <w:szCs w:val="21"/>
              </w:rPr>
            </w:pPr>
          </w:p>
          <w:p>
            <w:pPr>
              <w:pStyle w:val="25"/>
              <w:ind w:firstLine="404"/>
              <w:rPr>
                <w:rFonts w:ascii="宋体" w:hAnsi="宋体"/>
                <w:sz w:val="21"/>
                <w:szCs w:val="21"/>
                <w:lang w:val="en-US" w:eastAsia="zh-CN"/>
              </w:rPr>
            </w:pPr>
          </w:p>
          <w:p>
            <w:pPr>
              <w:jc w:val="center"/>
              <w:rPr>
                <w:rFonts w:ascii="宋体" w:hAnsi="宋体" w:cs="微软雅黑"/>
                <w:szCs w:val="21"/>
              </w:rPr>
            </w:pPr>
          </w:p>
          <w:p>
            <w:pPr>
              <w:jc w:val="center"/>
              <w:rPr>
                <w:rFonts w:ascii="宋体" w:hAnsi="宋体" w:cs="微软雅黑"/>
                <w:szCs w:val="21"/>
              </w:rPr>
            </w:pPr>
            <w:r>
              <w:rPr>
                <w:rFonts w:hint="eastAsia" w:ascii="宋体" w:hAnsi="宋体" w:cs="微软雅黑"/>
                <w:szCs w:val="21"/>
              </w:rPr>
              <w:t>1</w:t>
            </w:r>
          </w:p>
          <w:p>
            <w:pPr>
              <w:pStyle w:val="25"/>
              <w:ind w:firstLine="404"/>
              <w:rPr>
                <w:rFonts w:ascii="宋体" w:hAnsi="宋体" w:cs="微软雅黑"/>
                <w:sz w:val="21"/>
                <w:szCs w:val="21"/>
                <w:lang w:val="en-US" w:eastAsia="zh-CN"/>
              </w:rPr>
            </w:pPr>
          </w:p>
          <w:p>
            <w:pPr>
              <w:pStyle w:val="25"/>
              <w:ind w:firstLine="404"/>
              <w:rPr>
                <w:rFonts w:ascii="宋体" w:hAnsi="宋体" w:cs="微软雅黑"/>
                <w:sz w:val="21"/>
                <w:szCs w:val="21"/>
                <w:lang w:val="en-US" w:eastAsia="zh-CN"/>
              </w:rPr>
            </w:pPr>
          </w:p>
        </w:tc>
        <w:tc>
          <w:tcPr>
            <w:tcW w:w="7521" w:type="dxa"/>
          </w:tcPr>
          <w:p>
            <w:pPr>
              <w:spacing w:line="400" w:lineRule="exact"/>
              <w:rPr>
                <w:rFonts w:ascii="宋体" w:hAnsi="宋体"/>
                <w:szCs w:val="21"/>
              </w:rPr>
            </w:pPr>
            <w:r>
              <w:rPr>
                <w:rFonts w:hint="eastAsia" w:ascii="宋体" w:hAnsi="宋体"/>
                <w:szCs w:val="21"/>
              </w:rPr>
              <w:t>一、参数要求：</w:t>
            </w:r>
          </w:p>
          <w:p>
            <w:pPr>
              <w:spacing w:line="400" w:lineRule="exact"/>
              <w:rPr>
                <w:rFonts w:ascii="宋体" w:hAnsi="宋体"/>
                <w:szCs w:val="21"/>
              </w:rPr>
            </w:pPr>
            <w:r>
              <w:rPr>
                <w:rFonts w:hint="eastAsia" w:ascii="宋体" w:hAnsi="宋体"/>
                <w:szCs w:val="21"/>
              </w:rPr>
              <w:t>1、仪器测试项目：仪器可进行尿11项、12项测试；维生素C、白细胞、酮体、亚硝酸盐、尿胆原、胆红素、蛋白质、葡萄糖、尿比重、隐血、PH、肌肝、微白蛋白、颜色、微白蛋白/肌酐</w:t>
            </w:r>
          </w:p>
          <w:p>
            <w:pPr>
              <w:spacing w:line="400" w:lineRule="exact"/>
              <w:rPr>
                <w:rFonts w:ascii="宋体" w:hAnsi="宋体"/>
                <w:szCs w:val="21"/>
              </w:rPr>
            </w:pPr>
            <w:r>
              <w:rPr>
                <w:rFonts w:hint="eastAsia" w:ascii="宋体" w:hAnsi="宋体"/>
                <w:szCs w:val="21"/>
              </w:rPr>
              <w:t>2、测试原理：多波长反射光比色法</w:t>
            </w:r>
          </w:p>
          <w:p>
            <w:pPr>
              <w:spacing w:line="400" w:lineRule="exact"/>
              <w:rPr>
                <w:rFonts w:ascii="宋体" w:hAnsi="宋体"/>
                <w:szCs w:val="21"/>
              </w:rPr>
            </w:pPr>
            <w:r>
              <w:rPr>
                <w:rFonts w:hint="eastAsia" w:ascii="宋体" w:hAnsi="宋体"/>
                <w:szCs w:val="21"/>
              </w:rPr>
              <w:t>3、显示：触摸式彩色液晶显示屏</w:t>
            </w:r>
          </w:p>
          <w:p>
            <w:pPr>
              <w:spacing w:line="400" w:lineRule="exact"/>
              <w:rPr>
                <w:rFonts w:ascii="宋体" w:hAnsi="宋体"/>
                <w:szCs w:val="21"/>
              </w:rPr>
            </w:pPr>
            <w:r>
              <w:rPr>
                <w:rFonts w:hint="eastAsia" w:ascii="宋体" w:hAnsi="宋体"/>
                <w:szCs w:val="21"/>
              </w:rPr>
              <w:t>4、语言：可进行中英文语言切换</w:t>
            </w:r>
          </w:p>
          <w:p>
            <w:pPr>
              <w:spacing w:line="400" w:lineRule="exact"/>
              <w:rPr>
                <w:rFonts w:ascii="宋体" w:hAnsi="宋体"/>
                <w:szCs w:val="21"/>
              </w:rPr>
            </w:pPr>
            <w:r>
              <w:rPr>
                <w:rFonts w:hint="eastAsia" w:ascii="宋体" w:hAnsi="宋体"/>
                <w:szCs w:val="21"/>
              </w:rPr>
              <w:t>5、测试速度：测试速度≥300个样本/小时</w:t>
            </w:r>
          </w:p>
          <w:p>
            <w:pPr>
              <w:spacing w:line="400" w:lineRule="exact"/>
              <w:rPr>
                <w:rFonts w:ascii="宋体" w:hAnsi="宋体"/>
                <w:szCs w:val="21"/>
              </w:rPr>
            </w:pPr>
            <w:r>
              <w:rPr>
                <w:rFonts w:hint="eastAsia" w:ascii="宋体" w:hAnsi="宋体"/>
                <w:szCs w:val="21"/>
              </w:rPr>
              <w:t>6、打印：仪器内置热敏打印机，可使用热敏打印纸打印测量结果，仪器可外接并口或USB接口打印机打印测量结果</w:t>
            </w:r>
          </w:p>
          <w:p>
            <w:pPr>
              <w:spacing w:line="400" w:lineRule="exact"/>
              <w:rPr>
                <w:rFonts w:ascii="宋体" w:hAnsi="宋体"/>
                <w:szCs w:val="21"/>
              </w:rPr>
            </w:pPr>
            <w:r>
              <w:rPr>
                <w:rFonts w:hint="eastAsia" w:ascii="宋体" w:hAnsi="宋体"/>
                <w:szCs w:val="21"/>
              </w:rPr>
              <w:t>7、存储器容量：可存储至少30万条数据</w:t>
            </w:r>
          </w:p>
          <w:p>
            <w:pPr>
              <w:spacing w:line="400" w:lineRule="exact"/>
              <w:rPr>
                <w:rFonts w:ascii="宋体" w:hAnsi="宋体"/>
                <w:szCs w:val="21"/>
              </w:rPr>
            </w:pPr>
            <w:r>
              <w:rPr>
                <w:rFonts w:hint="eastAsia" w:ascii="宋体" w:hAnsi="宋体"/>
                <w:szCs w:val="21"/>
              </w:rPr>
              <w:t>8、试纸仓容量：200条试纸</w:t>
            </w:r>
          </w:p>
          <w:p>
            <w:pPr>
              <w:spacing w:line="400" w:lineRule="exact"/>
              <w:rPr>
                <w:rFonts w:ascii="宋体" w:hAnsi="宋体"/>
                <w:szCs w:val="21"/>
              </w:rPr>
            </w:pPr>
            <w:r>
              <w:rPr>
                <w:rFonts w:hint="eastAsia" w:ascii="宋体" w:hAnsi="宋体"/>
                <w:szCs w:val="21"/>
              </w:rPr>
              <w:t>9、</w:t>
            </w:r>
            <w:r>
              <w:rPr>
                <w:rFonts w:ascii="宋体" w:hAnsi="宋体"/>
                <w:szCs w:val="21"/>
              </w:rPr>
              <w:t>试管进样机构最大容量：1</w:t>
            </w:r>
            <w:r>
              <w:rPr>
                <w:rFonts w:hint="eastAsia" w:ascii="宋体" w:hAnsi="宋体"/>
                <w:szCs w:val="21"/>
              </w:rPr>
              <w:t>1</w:t>
            </w:r>
            <w:r>
              <w:rPr>
                <w:rFonts w:ascii="宋体" w:hAnsi="宋体"/>
                <w:szCs w:val="21"/>
              </w:rPr>
              <w:t>个试管架，1</w:t>
            </w:r>
            <w:r>
              <w:rPr>
                <w:rFonts w:hint="eastAsia" w:ascii="宋体" w:hAnsi="宋体"/>
                <w:szCs w:val="21"/>
              </w:rPr>
              <w:t>1</w:t>
            </w:r>
            <w:r>
              <w:rPr>
                <w:rFonts w:ascii="宋体" w:hAnsi="宋体"/>
                <w:szCs w:val="21"/>
              </w:rPr>
              <w:t>0个样本</w:t>
            </w:r>
          </w:p>
          <w:p>
            <w:pPr>
              <w:spacing w:line="400" w:lineRule="exact"/>
              <w:rPr>
                <w:rFonts w:ascii="宋体" w:hAnsi="宋体"/>
                <w:szCs w:val="21"/>
              </w:rPr>
            </w:pPr>
            <w:r>
              <w:rPr>
                <w:rFonts w:hint="eastAsia" w:ascii="宋体" w:hAnsi="宋体"/>
                <w:szCs w:val="21"/>
              </w:rPr>
              <w:t>10、尿样需求量≥ 2mL</w:t>
            </w:r>
          </w:p>
          <w:p>
            <w:pPr>
              <w:spacing w:line="400" w:lineRule="exact"/>
              <w:rPr>
                <w:rFonts w:ascii="宋体" w:hAnsi="宋体"/>
                <w:szCs w:val="21"/>
              </w:rPr>
            </w:pPr>
            <w:r>
              <w:rPr>
                <w:rFonts w:hint="eastAsia" w:ascii="宋体" w:hAnsi="宋体"/>
                <w:szCs w:val="21"/>
              </w:rPr>
              <w:t>11、混匀：有自动混匀功能</w:t>
            </w:r>
          </w:p>
          <w:p>
            <w:pPr>
              <w:spacing w:line="400" w:lineRule="exact"/>
              <w:rPr>
                <w:rFonts w:ascii="宋体" w:hAnsi="宋体"/>
                <w:szCs w:val="21"/>
              </w:rPr>
            </w:pPr>
            <w:r>
              <w:rPr>
                <w:rFonts w:hint="eastAsia" w:ascii="宋体" w:hAnsi="宋体"/>
                <w:szCs w:val="21"/>
              </w:rPr>
              <w:t>12、采样方式：采用液面感应技术，当样本量不足时会发出报警提示</w:t>
            </w:r>
          </w:p>
          <w:p>
            <w:pPr>
              <w:spacing w:line="400" w:lineRule="exact"/>
              <w:rPr>
                <w:rFonts w:ascii="宋体" w:hAnsi="宋体"/>
                <w:szCs w:val="21"/>
              </w:rPr>
            </w:pPr>
            <w:r>
              <w:rPr>
                <w:rFonts w:hint="eastAsia" w:ascii="宋体" w:hAnsi="宋体"/>
                <w:szCs w:val="21"/>
              </w:rPr>
              <w:t>13、急诊插入：有单独急诊测试位，具有急诊插入功能</w:t>
            </w:r>
          </w:p>
          <w:p>
            <w:pPr>
              <w:spacing w:line="400" w:lineRule="exact"/>
              <w:rPr>
                <w:rFonts w:ascii="宋体" w:hAnsi="宋体"/>
                <w:szCs w:val="21"/>
              </w:rPr>
            </w:pPr>
            <w:r>
              <w:rPr>
                <w:rFonts w:hint="eastAsia" w:ascii="宋体" w:hAnsi="宋体"/>
                <w:szCs w:val="21"/>
              </w:rPr>
              <w:t>14、数据通讯：RS-232接口、并口、USB接口、网络接口、PS/2接口</w:t>
            </w:r>
          </w:p>
          <w:p>
            <w:pPr>
              <w:spacing w:line="400" w:lineRule="exact"/>
              <w:rPr>
                <w:rFonts w:ascii="宋体" w:hAnsi="宋体"/>
                <w:szCs w:val="21"/>
              </w:rPr>
            </w:pPr>
            <w:r>
              <w:rPr>
                <w:rFonts w:hint="eastAsia" w:ascii="宋体" w:hAnsi="宋体"/>
                <w:szCs w:val="21"/>
              </w:rPr>
              <w:t>15、操作系统：linux操作系统，全中文操作界面</w:t>
            </w:r>
          </w:p>
          <w:p>
            <w:pPr>
              <w:spacing w:line="400" w:lineRule="exact"/>
              <w:rPr>
                <w:rFonts w:ascii="宋体" w:hAnsi="宋体"/>
                <w:szCs w:val="21"/>
              </w:rPr>
            </w:pPr>
            <w:r>
              <w:rPr>
                <w:rFonts w:hint="eastAsia" w:ascii="宋体" w:hAnsi="宋体"/>
                <w:szCs w:val="21"/>
              </w:rPr>
              <w:t>16、采样针：采用原装进口内外壁镜面抛光采样针</w:t>
            </w:r>
          </w:p>
          <w:p>
            <w:pPr>
              <w:spacing w:line="400" w:lineRule="exact"/>
              <w:rPr>
                <w:rFonts w:ascii="宋体" w:hAnsi="宋体"/>
                <w:szCs w:val="21"/>
              </w:rPr>
            </w:pPr>
            <w:r>
              <w:rPr>
                <w:rFonts w:hint="eastAsia" w:ascii="宋体" w:hAnsi="宋体"/>
                <w:szCs w:val="21"/>
              </w:rPr>
              <w:t>17、采样针清洗：对采样针进行内外壁清洗</w:t>
            </w:r>
          </w:p>
          <w:p>
            <w:pPr>
              <w:spacing w:line="400" w:lineRule="exact"/>
              <w:rPr>
                <w:rFonts w:ascii="宋体" w:hAnsi="宋体"/>
                <w:szCs w:val="21"/>
              </w:rPr>
            </w:pPr>
            <w:r>
              <w:rPr>
                <w:rFonts w:hint="eastAsia" w:ascii="宋体" w:hAnsi="宋体"/>
                <w:szCs w:val="21"/>
              </w:rPr>
              <w:t>18、大容量内置废条盒：自动抛弃废试纸条，废条盒能容纳500条</w:t>
            </w:r>
          </w:p>
          <w:p>
            <w:pPr>
              <w:spacing w:line="400" w:lineRule="exact"/>
              <w:rPr>
                <w:rFonts w:ascii="宋体" w:hAnsi="宋体"/>
                <w:bCs/>
                <w:szCs w:val="21"/>
              </w:rPr>
            </w:pPr>
            <w:r>
              <w:rPr>
                <w:rFonts w:hint="eastAsia" w:ascii="宋体" w:hAnsi="宋体"/>
                <w:bCs/>
                <w:szCs w:val="21"/>
              </w:rPr>
              <w:t>19、滴样方式：滴样过程是三维矩阵式高速滴样</w:t>
            </w:r>
          </w:p>
          <w:p>
            <w:pPr>
              <w:spacing w:line="400" w:lineRule="exact"/>
              <w:rPr>
                <w:rFonts w:ascii="宋体" w:hAnsi="宋体"/>
                <w:bCs/>
                <w:szCs w:val="21"/>
              </w:rPr>
            </w:pPr>
            <w:r>
              <w:rPr>
                <w:rFonts w:hint="eastAsia" w:ascii="宋体" w:hAnsi="宋体"/>
                <w:bCs/>
                <w:szCs w:val="21"/>
              </w:rPr>
              <w:t>20、正负压清洗：清洗过程使用正负压清洗；</w:t>
            </w:r>
          </w:p>
          <w:p>
            <w:pPr>
              <w:spacing w:line="400" w:lineRule="exact"/>
              <w:rPr>
                <w:rFonts w:ascii="宋体" w:hAnsi="宋体"/>
                <w:szCs w:val="21"/>
              </w:rPr>
            </w:pPr>
            <w:r>
              <w:rPr>
                <w:rFonts w:hint="eastAsia" w:ascii="宋体" w:hAnsi="宋体"/>
                <w:szCs w:val="21"/>
              </w:rPr>
              <w:t>二、服务及其它要求</w:t>
            </w:r>
          </w:p>
          <w:p>
            <w:pPr>
              <w:spacing w:line="400" w:lineRule="exact"/>
              <w:rPr>
                <w:rFonts w:ascii="宋体" w:hAnsi="宋体"/>
                <w:szCs w:val="21"/>
              </w:rPr>
            </w:pPr>
            <w:r>
              <w:rPr>
                <w:rFonts w:hint="eastAsia" w:ascii="宋体" w:hAnsi="宋体"/>
                <w:bCs/>
                <w:szCs w:val="21"/>
              </w:rPr>
              <w:t>1、</w:t>
            </w:r>
            <w:r>
              <w:rPr>
                <w:rFonts w:hint="eastAsia" w:ascii="宋体" w:hAnsi="宋体"/>
                <w:szCs w:val="21"/>
              </w:rPr>
              <w:t>制造厂商具有ISO9001、ISO13485、CMD认证，仪器有CE认证</w:t>
            </w:r>
          </w:p>
          <w:p>
            <w:pPr>
              <w:spacing w:line="400" w:lineRule="exact"/>
              <w:rPr>
                <w:rFonts w:ascii="宋体" w:hAnsi="宋体"/>
                <w:szCs w:val="21"/>
              </w:rPr>
            </w:pPr>
            <w:r>
              <w:rPr>
                <w:rFonts w:hint="eastAsia" w:ascii="宋体" w:hAnsi="宋体"/>
                <w:szCs w:val="21"/>
              </w:rPr>
              <w:t>2、仪器制造商有通过SFDA注册的配套尿试纸、质控液</w:t>
            </w:r>
          </w:p>
          <w:p>
            <w:pPr>
              <w:spacing w:line="400" w:lineRule="exact"/>
              <w:rPr>
                <w:rFonts w:ascii="宋体" w:hAnsi="宋体"/>
                <w:bCs/>
                <w:szCs w:val="21"/>
              </w:rPr>
            </w:pPr>
            <w:r>
              <w:rPr>
                <w:rFonts w:hint="eastAsia" w:ascii="宋体" w:hAnsi="宋体"/>
                <w:szCs w:val="21"/>
              </w:rPr>
              <w:t>3、能提供同品牌实验室信息管理系统（LIS系统），方便检验科数据管理（提供证件）</w:t>
            </w:r>
          </w:p>
          <w:p>
            <w:pPr>
              <w:spacing w:line="400" w:lineRule="exact"/>
              <w:rPr>
                <w:rFonts w:ascii="宋体" w:hAnsi="宋体"/>
                <w:szCs w:val="21"/>
              </w:rPr>
            </w:pPr>
            <w:r>
              <w:rPr>
                <w:rFonts w:hint="eastAsia" w:ascii="宋体" w:hAnsi="宋体"/>
                <w:szCs w:val="21"/>
              </w:rPr>
              <w:t>4、生产企业注册资金≥5200万元</w:t>
            </w:r>
          </w:p>
          <w:p>
            <w:pPr>
              <w:spacing w:line="400" w:lineRule="exact"/>
              <w:rPr>
                <w:rFonts w:ascii="宋体" w:hAnsi="宋体"/>
                <w:szCs w:val="21"/>
              </w:rPr>
            </w:pPr>
            <w:r>
              <w:rPr>
                <w:rFonts w:hint="eastAsia" w:ascii="宋体" w:hAnsi="宋体"/>
                <w:szCs w:val="21"/>
              </w:rPr>
              <w:t>5、售后服务：保修期自验收合格起一年；终身维护，2小时响应，24小时日内上门服务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r>
              <w:rPr>
                <w:rFonts w:hint="eastAsia" w:ascii="宋体" w:hAnsi="宋体" w:cs="微软雅黑"/>
                <w:szCs w:val="21"/>
              </w:rPr>
              <w:t>3</w:t>
            </w:r>
          </w:p>
        </w:tc>
        <w:tc>
          <w:tcPr>
            <w:tcW w:w="803" w:type="dxa"/>
          </w:tcPr>
          <w:p>
            <w:pP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r>
              <w:rPr>
                <w:rFonts w:hint="eastAsia" w:ascii="宋体" w:hAnsi="宋体" w:cs="微软雅黑"/>
                <w:szCs w:val="21"/>
              </w:rPr>
              <w:t>彩</w:t>
            </w:r>
          </w:p>
          <w:p>
            <w:pPr>
              <w:jc w:val="center"/>
              <w:rPr>
                <w:rFonts w:ascii="宋体" w:hAnsi="宋体" w:cs="微软雅黑"/>
                <w:szCs w:val="21"/>
              </w:rPr>
            </w:pPr>
            <w:r>
              <w:rPr>
                <w:rFonts w:hint="eastAsia" w:ascii="宋体" w:hAnsi="宋体" w:cs="微软雅黑"/>
                <w:szCs w:val="21"/>
              </w:rPr>
              <w:t>色</w:t>
            </w:r>
          </w:p>
          <w:p>
            <w:pPr>
              <w:jc w:val="center"/>
              <w:rPr>
                <w:rFonts w:ascii="宋体" w:hAnsi="宋体" w:cs="微软雅黑"/>
                <w:szCs w:val="21"/>
              </w:rPr>
            </w:pPr>
            <w:r>
              <w:rPr>
                <w:rFonts w:hint="eastAsia" w:ascii="宋体" w:hAnsi="宋体" w:cs="微软雅黑"/>
                <w:szCs w:val="21"/>
              </w:rPr>
              <w:t>多</w:t>
            </w:r>
          </w:p>
          <w:p>
            <w:pPr>
              <w:jc w:val="center"/>
              <w:rPr>
                <w:rFonts w:ascii="宋体" w:hAnsi="宋体" w:cs="微软雅黑"/>
                <w:szCs w:val="21"/>
              </w:rPr>
            </w:pPr>
            <w:r>
              <w:rPr>
                <w:rFonts w:hint="eastAsia" w:ascii="宋体" w:hAnsi="宋体" w:cs="微软雅黑"/>
                <w:szCs w:val="21"/>
              </w:rPr>
              <w:t>普</w:t>
            </w:r>
          </w:p>
          <w:p>
            <w:pPr>
              <w:jc w:val="center"/>
              <w:rPr>
                <w:rFonts w:ascii="宋体" w:hAnsi="宋体" w:cs="微软雅黑"/>
                <w:szCs w:val="21"/>
              </w:rPr>
            </w:pPr>
            <w:r>
              <w:rPr>
                <w:rFonts w:hint="eastAsia" w:ascii="宋体" w:hAnsi="宋体" w:cs="微软雅黑"/>
                <w:szCs w:val="21"/>
              </w:rPr>
              <w:t>勒</w:t>
            </w:r>
          </w:p>
          <w:p>
            <w:pPr>
              <w:jc w:val="center"/>
              <w:rPr>
                <w:rFonts w:ascii="宋体" w:hAnsi="宋体" w:cs="微软雅黑"/>
                <w:szCs w:val="21"/>
              </w:rPr>
            </w:pPr>
            <w:r>
              <w:rPr>
                <w:rFonts w:hint="eastAsia" w:ascii="宋体" w:hAnsi="宋体" w:cs="微软雅黑"/>
                <w:szCs w:val="21"/>
              </w:rPr>
              <w:t>超</w:t>
            </w:r>
          </w:p>
          <w:p>
            <w:pPr>
              <w:jc w:val="center"/>
              <w:rPr>
                <w:rFonts w:ascii="宋体" w:hAnsi="宋体" w:cs="微软雅黑"/>
                <w:szCs w:val="21"/>
              </w:rPr>
            </w:pPr>
            <w:r>
              <w:rPr>
                <w:rFonts w:hint="eastAsia" w:ascii="宋体" w:hAnsi="宋体" w:cs="微软雅黑"/>
                <w:szCs w:val="21"/>
              </w:rPr>
              <w:t>声</w:t>
            </w:r>
          </w:p>
          <w:p>
            <w:pPr>
              <w:jc w:val="center"/>
              <w:rPr>
                <w:rFonts w:ascii="宋体" w:hAnsi="宋体" w:cs="微软雅黑"/>
                <w:szCs w:val="21"/>
              </w:rPr>
            </w:pPr>
            <w:r>
              <w:rPr>
                <w:rFonts w:hint="eastAsia" w:ascii="宋体" w:hAnsi="宋体" w:cs="微软雅黑"/>
                <w:szCs w:val="21"/>
              </w:rPr>
              <w:t>波</w:t>
            </w:r>
          </w:p>
          <w:p>
            <w:pPr>
              <w:jc w:val="center"/>
              <w:rPr>
                <w:rFonts w:ascii="宋体" w:hAnsi="宋体" w:cs="微软雅黑"/>
                <w:szCs w:val="21"/>
              </w:rPr>
            </w:pPr>
            <w:r>
              <w:rPr>
                <w:rFonts w:hint="eastAsia" w:ascii="宋体" w:hAnsi="宋体" w:cs="微软雅黑"/>
                <w:szCs w:val="21"/>
              </w:rPr>
              <w:t>诊</w:t>
            </w:r>
          </w:p>
          <w:p>
            <w:pPr>
              <w:jc w:val="center"/>
              <w:rPr>
                <w:rFonts w:ascii="宋体" w:hAnsi="宋体" w:cs="微软雅黑"/>
                <w:szCs w:val="21"/>
              </w:rPr>
            </w:pPr>
            <w:r>
              <w:rPr>
                <w:rFonts w:hint="eastAsia" w:ascii="宋体" w:hAnsi="宋体" w:cs="微软雅黑"/>
                <w:szCs w:val="21"/>
              </w:rPr>
              <w:t>断</w:t>
            </w:r>
          </w:p>
          <w:p>
            <w:pPr>
              <w:jc w:val="center"/>
              <w:rPr>
                <w:rFonts w:ascii="宋体" w:hAnsi="宋体" w:cs="微软雅黑"/>
                <w:szCs w:val="21"/>
              </w:rPr>
            </w:pPr>
            <w:r>
              <w:rPr>
                <w:rFonts w:hint="eastAsia" w:ascii="宋体" w:hAnsi="宋体" w:cs="微软雅黑"/>
                <w:szCs w:val="21"/>
              </w:rPr>
              <w:t>仪</w:t>
            </w:r>
          </w:p>
        </w:tc>
        <w:tc>
          <w:tcPr>
            <w:tcW w:w="878" w:type="dxa"/>
          </w:tcPr>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r>
              <w:rPr>
                <w:rFonts w:hint="eastAsia" w:ascii="宋体" w:hAnsi="宋体" w:cs="微软雅黑"/>
                <w:szCs w:val="21"/>
              </w:rPr>
              <w:t>1</w:t>
            </w:r>
          </w:p>
        </w:tc>
        <w:tc>
          <w:tcPr>
            <w:tcW w:w="7521" w:type="dxa"/>
          </w:tcPr>
          <w:p>
            <w:r>
              <w:rPr>
                <w:rFonts w:hint="eastAsia" w:ascii="宋体" w:hAnsi="宋体" w:cs="微软雅黑"/>
                <w:szCs w:val="21"/>
              </w:rPr>
              <w:t>一、设备名称：</w:t>
            </w:r>
            <w:r>
              <w:rPr>
                <w:rFonts w:hint="eastAsia"/>
                <w:color w:val="000000" w:themeColor="text1"/>
                <w14:textFill>
                  <w14:solidFill>
                    <w14:schemeClr w14:val="tx1"/>
                  </w14:solidFill>
                </w14:textFill>
              </w:rPr>
              <w:t>彩色多普勒超声波诊断仪</w:t>
            </w:r>
          </w:p>
          <w:p>
            <w:pPr>
              <w:spacing w:line="400" w:lineRule="exact"/>
              <w:rPr>
                <w:rFonts w:ascii="宋体" w:hAnsi="宋体" w:cs="微软雅黑"/>
                <w:szCs w:val="21"/>
              </w:rPr>
            </w:pPr>
            <w:r>
              <w:rPr>
                <w:rFonts w:hint="eastAsia" w:ascii="宋体" w:hAnsi="宋体" w:cs="微软雅黑"/>
                <w:szCs w:val="21"/>
              </w:rPr>
              <w:t>二、设备用途：</w:t>
            </w:r>
          </w:p>
          <w:p>
            <w:pPr>
              <w:spacing w:line="400" w:lineRule="exact"/>
              <w:rPr>
                <w:rFonts w:ascii="宋体" w:hAnsi="宋体" w:cs="微软雅黑"/>
                <w:szCs w:val="21"/>
              </w:rPr>
            </w:pPr>
            <w:r>
              <w:rPr>
                <w:rFonts w:hint="eastAsia" w:ascii="宋体" w:hAnsi="宋体" w:cs="微软雅黑"/>
                <w:szCs w:val="21"/>
              </w:rPr>
              <w:t>2.1、用于腹部、妇产科、泌尿科、浅表组织与小器官、外周血管、麻醉、介入诊断和治疗、心脏、 ICU、CCU、健康体检及临床研究</w:t>
            </w:r>
          </w:p>
          <w:p>
            <w:pPr>
              <w:spacing w:line="400" w:lineRule="exact"/>
              <w:rPr>
                <w:rFonts w:ascii="宋体" w:hAnsi="宋体" w:cs="微软雅黑"/>
                <w:szCs w:val="21"/>
              </w:rPr>
            </w:pPr>
            <w:r>
              <w:rPr>
                <w:rFonts w:hint="eastAsia" w:ascii="宋体" w:hAnsi="宋体" w:cs="微软雅黑"/>
                <w:szCs w:val="21"/>
              </w:rPr>
              <w:t>2.2、</w:t>
            </w:r>
            <w:r>
              <w:rPr>
                <w:rFonts w:hint="eastAsia" w:ascii="宋体" w:hAnsi="宋体" w:cs="微软雅黑"/>
                <w:szCs w:val="21"/>
                <w:lang w:val="zh-TW"/>
              </w:rPr>
              <w:t>最新版本及最新出厂机型，具有用户现场升级能力，可满足将来临床应用扩展需求；</w:t>
            </w:r>
          </w:p>
          <w:p>
            <w:pPr>
              <w:spacing w:line="400" w:lineRule="exact"/>
              <w:rPr>
                <w:rFonts w:ascii="宋体" w:hAnsi="宋体" w:cs="微软雅黑"/>
                <w:szCs w:val="21"/>
              </w:rPr>
            </w:pPr>
            <w:r>
              <w:rPr>
                <w:rFonts w:hint="eastAsia" w:ascii="宋体" w:hAnsi="宋体" w:cs="微软雅黑"/>
                <w:szCs w:val="21"/>
              </w:rPr>
              <w:t>三、主要技术规格要求：</w:t>
            </w:r>
          </w:p>
          <w:p>
            <w:pPr>
              <w:spacing w:line="400" w:lineRule="exact"/>
              <w:rPr>
                <w:rFonts w:ascii="宋体" w:hAnsi="宋体" w:cs="微软雅黑"/>
                <w:szCs w:val="21"/>
              </w:rPr>
            </w:pPr>
            <w:r>
              <w:rPr>
                <w:rFonts w:hint="eastAsia" w:ascii="宋体" w:hAnsi="宋体" w:cs="微软雅黑"/>
                <w:szCs w:val="21"/>
              </w:rPr>
              <w:t>3.1全数字化超声成像系统</w:t>
            </w:r>
          </w:p>
          <w:p>
            <w:pPr>
              <w:spacing w:line="400" w:lineRule="exact"/>
              <w:rPr>
                <w:rFonts w:ascii="宋体" w:hAnsi="宋体" w:cs="微软雅黑"/>
                <w:szCs w:val="21"/>
              </w:rPr>
            </w:pPr>
            <w:r>
              <w:rPr>
                <w:rFonts w:hint="eastAsia" w:ascii="宋体" w:hAnsi="宋体" w:cs="微软雅黑"/>
                <w:szCs w:val="21"/>
              </w:rPr>
              <w:t>3.2多倍波束并行处理技术</w:t>
            </w:r>
          </w:p>
          <w:p>
            <w:pPr>
              <w:spacing w:line="400" w:lineRule="exact"/>
              <w:rPr>
                <w:rFonts w:ascii="宋体" w:hAnsi="宋体" w:cs="微软雅黑"/>
                <w:szCs w:val="21"/>
              </w:rPr>
            </w:pPr>
            <w:r>
              <w:rPr>
                <w:rFonts w:hint="eastAsia" w:ascii="宋体" w:hAnsi="宋体"/>
                <w:szCs w:val="21"/>
              </w:rPr>
              <w:t>★</w:t>
            </w:r>
            <w:r>
              <w:rPr>
                <w:rFonts w:hint="eastAsia" w:ascii="宋体" w:hAnsi="宋体" w:cs="微软雅黑"/>
                <w:szCs w:val="21"/>
              </w:rPr>
              <w:t>3.3显示器≥21英寸高清医用显示器和≥12英寸触摸屏</w:t>
            </w:r>
          </w:p>
          <w:p>
            <w:pPr>
              <w:spacing w:line="400" w:lineRule="exact"/>
              <w:rPr>
                <w:rFonts w:ascii="宋体" w:hAnsi="宋体" w:cs="微软雅黑"/>
                <w:szCs w:val="21"/>
              </w:rPr>
            </w:pPr>
            <w:r>
              <w:rPr>
                <w:rFonts w:hint="eastAsia" w:ascii="宋体" w:hAnsi="宋体" w:cs="微软雅黑"/>
                <w:szCs w:val="21"/>
              </w:rPr>
              <w:t>3.4数字化二维灰阶成像单元</w:t>
            </w:r>
          </w:p>
          <w:p>
            <w:pPr>
              <w:spacing w:line="400" w:lineRule="exact"/>
              <w:rPr>
                <w:rFonts w:ascii="宋体" w:hAnsi="宋体" w:cs="微软雅黑"/>
                <w:szCs w:val="21"/>
              </w:rPr>
            </w:pPr>
            <w:r>
              <w:rPr>
                <w:rFonts w:hint="eastAsia" w:ascii="宋体" w:hAnsi="宋体" w:cs="微软雅黑"/>
                <w:szCs w:val="21"/>
              </w:rPr>
              <w:t>3.5脉冲反相谐波成像技术，谐波频率，可视可调</w:t>
            </w:r>
          </w:p>
          <w:p>
            <w:pPr>
              <w:spacing w:line="400" w:lineRule="exact"/>
              <w:rPr>
                <w:rFonts w:ascii="宋体" w:hAnsi="宋体" w:cs="微软雅黑"/>
                <w:szCs w:val="21"/>
              </w:rPr>
            </w:pPr>
            <w:r>
              <w:rPr>
                <w:rFonts w:hint="eastAsia" w:ascii="宋体" w:hAnsi="宋体" w:cs="微软雅黑"/>
                <w:szCs w:val="21"/>
              </w:rPr>
              <w:t>3.6斑点噪声抑制技术，可视可调</w:t>
            </w:r>
          </w:p>
          <w:p>
            <w:pPr>
              <w:spacing w:line="400" w:lineRule="exact"/>
              <w:rPr>
                <w:rFonts w:ascii="宋体" w:hAnsi="宋体" w:cs="微软雅黑"/>
                <w:szCs w:val="21"/>
              </w:rPr>
            </w:pPr>
            <w:r>
              <w:rPr>
                <w:rFonts w:hint="eastAsia" w:ascii="宋体" w:hAnsi="宋体"/>
                <w:szCs w:val="21"/>
              </w:rPr>
              <w:t>★</w:t>
            </w:r>
            <w:r>
              <w:rPr>
                <w:rFonts w:hint="eastAsia" w:ascii="宋体" w:hAnsi="宋体" w:cs="微软雅黑"/>
                <w:szCs w:val="21"/>
              </w:rPr>
              <w:t>3.7空间复合成像技术≥7线</w:t>
            </w:r>
          </w:p>
          <w:p>
            <w:pPr>
              <w:spacing w:line="400" w:lineRule="exact"/>
              <w:rPr>
                <w:rFonts w:ascii="宋体" w:hAnsi="宋体" w:cs="微软雅黑"/>
                <w:szCs w:val="21"/>
              </w:rPr>
            </w:pPr>
            <w:r>
              <w:rPr>
                <w:rFonts w:hint="eastAsia" w:ascii="宋体" w:hAnsi="宋体" w:cs="微软雅黑"/>
                <w:szCs w:val="21"/>
              </w:rPr>
              <w:t>3.8组织特异性成像，并具备声速自动计算功能</w:t>
            </w:r>
          </w:p>
          <w:p>
            <w:pPr>
              <w:spacing w:line="400" w:lineRule="exact"/>
              <w:rPr>
                <w:rFonts w:ascii="宋体" w:hAnsi="宋体" w:cs="微软雅黑"/>
                <w:szCs w:val="21"/>
              </w:rPr>
            </w:pPr>
            <w:r>
              <w:rPr>
                <w:rFonts w:hint="eastAsia" w:ascii="宋体" w:hAnsi="宋体" w:cs="微软雅黑"/>
                <w:szCs w:val="21"/>
              </w:rPr>
              <w:t>3.9扩展成像技术，支持凸阵、线阵、容积探头</w:t>
            </w:r>
          </w:p>
          <w:p>
            <w:pPr>
              <w:spacing w:line="400" w:lineRule="exact"/>
              <w:rPr>
                <w:rFonts w:ascii="宋体" w:hAnsi="宋体" w:cs="微软雅黑"/>
                <w:szCs w:val="21"/>
              </w:rPr>
            </w:pPr>
            <w:r>
              <w:rPr>
                <w:rFonts w:hint="eastAsia" w:ascii="宋体" w:hAnsi="宋体" w:cs="微软雅黑"/>
                <w:szCs w:val="21"/>
              </w:rPr>
              <w:t>3.10彩色多普勒成像（包括彩色、能量、方向能量多普勒模式）</w:t>
            </w:r>
          </w:p>
          <w:p>
            <w:pPr>
              <w:spacing w:line="400" w:lineRule="exact"/>
              <w:rPr>
                <w:rFonts w:ascii="宋体" w:hAnsi="宋体" w:cs="微软雅黑"/>
                <w:szCs w:val="21"/>
              </w:rPr>
            </w:pPr>
            <w:r>
              <w:rPr>
                <w:rFonts w:hint="eastAsia" w:ascii="宋体" w:hAnsi="宋体"/>
                <w:szCs w:val="21"/>
              </w:rPr>
              <w:t>★</w:t>
            </w:r>
            <w:r>
              <w:rPr>
                <w:rFonts w:hint="eastAsia" w:ascii="宋体" w:hAnsi="宋体" w:cs="微软雅黑"/>
                <w:szCs w:val="21"/>
              </w:rPr>
              <w:t>3.11 LGC≥8段</w:t>
            </w:r>
          </w:p>
          <w:p>
            <w:pPr>
              <w:spacing w:line="400" w:lineRule="exact"/>
              <w:rPr>
                <w:rFonts w:ascii="宋体" w:hAnsi="宋体" w:cs="微软雅黑"/>
                <w:szCs w:val="21"/>
              </w:rPr>
            </w:pPr>
            <w:r>
              <w:rPr>
                <w:rFonts w:hint="eastAsia" w:ascii="宋体" w:hAnsi="宋体" w:cs="微软雅黑"/>
                <w:szCs w:val="21"/>
              </w:rPr>
              <w:t>3.12频谱多普勒成像（包括脉冲多普勒、高脉冲重复频率、连续波多普勒）</w:t>
            </w:r>
          </w:p>
          <w:p>
            <w:pPr>
              <w:spacing w:line="400" w:lineRule="exact"/>
              <w:rPr>
                <w:rFonts w:ascii="宋体" w:hAnsi="宋体" w:cs="微软雅黑"/>
                <w:szCs w:val="21"/>
              </w:rPr>
            </w:pPr>
            <w:r>
              <w:rPr>
                <w:rFonts w:hint="eastAsia" w:ascii="宋体" w:hAnsi="宋体" w:cs="微软雅黑"/>
                <w:szCs w:val="21"/>
              </w:rPr>
              <w:t>3.13多普勒自动计算功能</w:t>
            </w:r>
          </w:p>
          <w:p>
            <w:pPr>
              <w:spacing w:line="400" w:lineRule="exact"/>
              <w:rPr>
                <w:rFonts w:ascii="宋体" w:hAnsi="宋体" w:cs="微软雅黑"/>
                <w:szCs w:val="21"/>
              </w:rPr>
            </w:pPr>
            <w:r>
              <w:rPr>
                <w:rFonts w:hint="eastAsia" w:ascii="宋体" w:hAnsi="宋体" w:cs="微软雅黑"/>
                <w:szCs w:val="21"/>
              </w:rPr>
              <w:t>3.14画中画图像放大功能</w:t>
            </w:r>
          </w:p>
          <w:p>
            <w:pPr>
              <w:spacing w:line="400" w:lineRule="exact"/>
              <w:rPr>
                <w:rFonts w:ascii="宋体" w:hAnsi="宋体" w:cs="微软雅黑"/>
                <w:szCs w:val="21"/>
              </w:rPr>
            </w:pPr>
            <w:r>
              <w:rPr>
                <w:rFonts w:hint="eastAsia" w:ascii="宋体" w:hAnsi="宋体" w:cs="微软雅黑"/>
                <w:szCs w:val="21"/>
              </w:rPr>
              <w:t>3.15一键优化功能</w:t>
            </w:r>
          </w:p>
          <w:p>
            <w:pPr>
              <w:spacing w:line="400" w:lineRule="exact"/>
              <w:rPr>
                <w:rFonts w:ascii="宋体" w:hAnsi="宋体" w:cs="微软雅黑"/>
                <w:szCs w:val="21"/>
              </w:rPr>
            </w:pPr>
            <w:r>
              <w:rPr>
                <w:rFonts w:hint="eastAsia" w:ascii="宋体" w:hAnsi="宋体" w:cs="微软雅黑"/>
                <w:szCs w:val="21"/>
              </w:rPr>
              <w:t>3.16 IMT血管内中膜自动测量，具备前、后壁同屏独立测量显示</w:t>
            </w:r>
          </w:p>
          <w:p>
            <w:pPr>
              <w:spacing w:line="400" w:lineRule="exact"/>
              <w:rPr>
                <w:rFonts w:ascii="宋体" w:hAnsi="宋体" w:cs="微软雅黑"/>
                <w:szCs w:val="21"/>
              </w:rPr>
            </w:pPr>
            <w:r>
              <w:rPr>
                <w:rFonts w:hint="eastAsia" w:ascii="宋体" w:hAnsi="宋体"/>
                <w:szCs w:val="21"/>
              </w:rPr>
              <w:t>★</w:t>
            </w:r>
            <w:r>
              <w:rPr>
                <w:rFonts w:hint="eastAsia" w:ascii="宋体" w:hAnsi="宋体" w:cs="微软雅黑"/>
                <w:szCs w:val="21"/>
              </w:rPr>
              <w:t>3.17耦合剂加热器，温度≥2档，可视可调</w:t>
            </w:r>
          </w:p>
          <w:p>
            <w:pPr>
              <w:spacing w:line="400" w:lineRule="exact"/>
              <w:rPr>
                <w:rFonts w:ascii="宋体" w:hAnsi="宋体" w:cs="微软雅黑"/>
                <w:szCs w:val="21"/>
              </w:rPr>
            </w:pPr>
            <w:r>
              <w:rPr>
                <w:rFonts w:hint="eastAsia" w:ascii="宋体" w:hAnsi="宋体" w:cs="微软雅黑"/>
                <w:szCs w:val="21"/>
              </w:rPr>
              <w:t>3.18剪切板功能</w:t>
            </w:r>
          </w:p>
          <w:p>
            <w:pPr>
              <w:spacing w:line="400" w:lineRule="exact"/>
              <w:rPr>
                <w:rFonts w:ascii="宋体" w:hAnsi="宋体" w:cs="微软雅黑"/>
                <w:szCs w:val="21"/>
              </w:rPr>
            </w:pPr>
            <w:r>
              <w:rPr>
                <w:rFonts w:hint="eastAsia" w:ascii="宋体" w:hAnsi="宋体" w:cs="微软雅黑"/>
                <w:szCs w:val="21"/>
              </w:rPr>
              <w:t>3.19 一键血流量测量，并生成分析报告</w:t>
            </w:r>
          </w:p>
          <w:p>
            <w:pPr>
              <w:spacing w:line="400" w:lineRule="exact"/>
              <w:rPr>
                <w:rFonts w:ascii="宋体" w:hAnsi="宋体" w:cs="微软雅黑"/>
                <w:szCs w:val="21"/>
              </w:rPr>
            </w:pPr>
            <w:r>
              <w:rPr>
                <w:rFonts w:hint="eastAsia" w:ascii="宋体" w:hAnsi="宋体"/>
                <w:szCs w:val="21"/>
              </w:rPr>
              <w:t>★</w:t>
            </w:r>
            <w:r>
              <w:rPr>
                <w:rFonts w:hint="eastAsia" w:ascii="宋体" w:hAnsi="宋体" w:cs="微软雅黑"/>
                <w:szCs w:val="21"/>
              </w:rPr>
              <w:t>3.20 超声助手，自助超声教学系统，要求机器内部能提供标准超声声像图、解剖示意图、扫查手法图及扫查技巧介绍，支持医生对超声扫查的自学和训练，及病例分析（提供图片证明）</w:t>
            </w:r>
          </w:p>
          <w:p>
            <w:pPr>
              <w:spacing w:line="400" w:lineRule="exact"/>
              <w:rPr>
                <w:rFonts w:ascii="宋体" w:hAnsi="宋体" w:cs="微软雅黑"/>
                <w:szCs w:val="21"/>
              </w:rPr>
            </w:pPr>
            <w:r>
              <w:rPr>
                <w:rFonts w:hint="eastAsia" w:ascii="宋体" w:hAnsi="宋体"/>
                <w:szCs w:val="21"/>
              </w:rPr>
              <w:t>★</w:t>
            </w:r>
            <w:r>
              <w:rPr>
                <w:rFonts w:hint="eastAsia" w:ascii="宋体" w:hAnsi="宋体" w:cs="微软雅黑"/>
                <w:szCs w:val="21"/>
              </w:rPr>
              <w:t>3.21压力式弹性成像、声压式弹性成像或剪切波弹性成像，可选配≥2种弹性成像模式；</w:t>
            </w:r>
          </w:p>
          <w:p>
            <w:pPr>
              <w:spacing w:line="400" w:lineRule="exact"/>
              <w:rPr>
                <w:rFonts w:ascii="宋体" w:hAnsi="宋体" w:cs="微软雅黑"/>
                <w:szCs w:val="21"/>
              </w:rPr>
            </w:pPr>
            <w:r>
              <w:rPr>
                <w:rFonts w:hint="eastAsia" w:ascii="宋体" w:hAnsi="宋体" w:cs="微软雅黑"/>
                <w:szCs w:val="21"/>
              </w:rPr>
              <w:t>四、探头规格及主要成像参数要求：</w:t>
            </w:r>
          </w:p>
          <w:p>
            <w:pPr>
              <w:spacing w:line="400" w:lineRule="exact"/>
              <w:rPr>
                <w:rFonts w:ascii="宋体" w:hAnsi="宋体" w:cs="微软雅黑"/>
                <w:szCs w:val="21"/>
              </w:rPr>
            </w:pPr>
            <w:r>
              <w:rPr>
                <w:rFonts w:hint="eastAsia" w:ascii="宋体" w:hAnsi="宋体" w:cs="微软雅黑"/>
                <w:szCs w:val="21"/>
              </w:rPr>
              <w:t>4.1 探头及检查规格：</w:t>
            </w:r>
          </w:p>
          <w:p>
            <w:pPr>
              <w:spacing w:line="400" w:lineRule="exact"/>
              <w:rPr>
                <w:rFonts w:ascii="宋体" w:hAnsi="宋体" w:cs="微软雅黑"/>
                <w:szCs w:val="21"/>
              </w:rPr>
            </w:pPr>
            <w:r>
              <w:rPr>
                <w:rFonts w:hint="eastAsia" w:ascii="宋体" w:hAnsi="宋体" w:cs="微软雅黑"/>
                <w:szCs w:val="21"/>
              </w:rPr>
              <w:t>4.1.1检查科目：一键切换探头及检查科目</w:t>
            </w:r>
          </w:p>
          <w:p>
            <w:pPr>
              <w:spacing w:line="400" w:lineRule="exact"/>
              <w:rPr>
                <w:rFonts w:ascii="宋体" w:hAnsi="宋体" w:cs="微软雅黑"/>
                <w:szCs w:val="21"/>
              </w:rPr>
            </w:pPr>
            <w:r>
              <w:rPr>
                <w:rFonts w:hint="eastAsia" w:ascii="宋体" w:hAnsi="宋体" w:cs="微软雅黑"/>
                <w:szCs w:val="21"/>
              </w:rPr>
              <w:t>4.1.2预设条件：针对不同的检查脏器，预置最佳化图像的检查条件，减少操作时的调节，及常用所需的外部调节及组合调节</w:t>
            </w:r>
          </w:p>
          <w:p>
            <w:pPr>
              <w:spacing w:line="400" w:lineRule="exact"/>
              <w:rPr>
                <w:rFonts w:ascii="宋体" w:hAnsi="宋体" w:cs="微软雅黑"/>
                <w:szCs w:val="21"/>
              </w:rPr>
            </w:pPr>
            <w:r>
              <w:rPr>
                <w:rFonts w:hint="eastAsia" w:ascii="宋体" w:hAnsi="宋体" w:cs="微软雅黑"/>
                <w:szCs w:val="21"/>
              </w:rPr>
              <w:t>4.1.3探头频率2－13MHz，基波频率≥6段，谐波频率≥8段，提供频率分段证明图片</w:t>
            </w:r>
          </w:p>
          <w:p>
            <w:pPr>
              <w:spacing w:line="400" w:lineRule="exact"/>
              <w:rPr>
                <w:rFonts w:ascii="宋体" w:hAnsi="宋体" w:cs="微软雅黑"/>
                <w:szCs w:val="21"/>
              </w:rPr>
            </w:pPr>
            <w:r>
              <w:rPr>
                <w:rFonts w:hint="eastAsia" w:ascii="宋体" w:hAnsi="宋体" w:cs="微软雅黑"/>
                <w:szCs w:val="21"/>
              </w:rPr>
              <w:t>4.1.4具有探头自动冻结保护功能</w:t>
            </w:r>
          </w:p>
          <w:p>
            <w:pPr>
              <w:spacing w:line="400" w:lineRule="exact"/>
              <w:rPr>
                <w:rFonts w:ascii="宋体" w:hAnsi="宋体" w:cs="微软雅黑"/>
                <w:szCs w:val="21"/>
              </w:rPr>
            </w:pPr>
            <w:r>
              <w:rPr>
                <w:rFonts w:hint="eastAsia" w:ascii="宋体" w:hAnsi="宋体" w:cs="微软雅黑"/>
                <w:szCs w:val="21"/>
              </w:rPr>
              <w:t>4.1.5探头接口≥4个，全部激活，大小一致，互相通用</w:t>
            </w:r>
          </w:p>
          <w:p>
            <w:pPr>
              <w:spacing w:line="400" w:lineRule="exact"/>
              <w:rPr>
                <w:rFonts w:ascii="宋体" w:hAnsi="宋体" w:cs="微软雅黑"/>
                <w:szCs w:val="21"/>
              </w:rPr>
            </w:pPr>
            <w:r>
              <w:rPr>
                <w:rFonts w:hint="eastAsia" w:ascii="宋体" w:hAnsi="宋体" w:cs="微软雅黑"/>
                <w:szCs w:val="21"/>
              </w:rPr>
              <w:t>4.2、二维及M型成像主要参数：</w:t>
            </w:r>
          </w:p>
          <w:p>
            <w:pPr>
              <w:spacing w:line="400" w:lineRule="exact"/>
              <w:rPr>
                <w:rFonts w:ascii="宋体" w:hAnsi="宋体" w:cs="微软雅黑"/>
                <w:szCs w:val="21"/>
              </w:rPr>
            </w:pPr>
            <w:r>
              <w:rPr>
                <w:rFonts w:hint="eastAsia" w:ascii="宋体" w:hAnsi="宋体" w:cs="微软雅黑"/>
                <w:szCs w:val="21"/>
              </w:rPr>
              <w:t>4.2.1数字化全程动态聚焦，数字化可变孔径及动态变迹，A/D≥14 bit</w:t>
            </w:r>
          </w:p>
          <w:p>
            <w:pPr>
              <w:spacing w:line="400" w:lineRule="exact"/>
              <w:rPr>
                <w:rFonts w:ascii="宋体" w:hAnsi="宋体" w:cs="微软雅黑"/>
                <w:szCs w:val="21"/>
              </w:rPr>
            </w:pPr>
            <w:r>
              <w:rPr>
                <w:rFonts w:hint="eastAsia" w:ascii="宋体" w:hAnsi="宋体" w:cs="微软雅黑"/>
                <w:szCs w:val="21"/>
              </w:rPr>
              <w:t>4.2.2接收方式：发射、接收通道≥2048，多倍信号并行处理</w:t>
            </w:r>
          </w:p>
          <w:p>
            <w:pPr>
              <w:spacing w:line="400" w:lineRule="exact"/>
              <w:rPr>
                <w:rFonts w:ascii="宋体" w:hAnsi="宋体" w:cs="微软雅黑"/>
                <w:szCs w:val="21"/>
              </w:rPr>
            </w:pPr>
            <w:r>
              <w:rPr>
                <w:rFonts w:hint="eastAsia" w:ascii="宋体" w:hAnsi="宋体" w:cs="微软雅黑"/>
                <w:szCs w:val="21"/>
              </w:rPr>
              <w:t>4.2.3二维灰阶成像：≥256灰阶</w:t>
            </w:r>
          </w:p>
          <w:p>
            <w:pPr>
              <w:spacing w:line="400" w:lineRule="exact"/>
              <w:rPr>
                <w:rFonts w:ascii="宋体" w:hAnsi="宋体" w:cs="微软雅黑"/>
                <w:szCs w:val="21"/>
              </w:rPr>
            </w:pPr>
            <w:r>
              <w:rPr>
                <w:rFonts w:hint="eastAsia" w:ascii="宋体" w:hAnsi="宋体" w:cs="微软雅黑"/>
                <w:szCs w:val="21"/>
              </w:rPr>
              <w:t>4.2.4最大显示深度≥40cm，提供证明图片</w:t>
            </w:r>
          </w:p>
          <w:p>
            <w:pPr>
              <w:spacing w:line="400" w:lineRule="exact"/>
              <w:rPr>
                <w:rFonts w:ascii="宋体" w:hAnsi="宋体" w:cs="微软雅黑"/>
                <w:szCs w:val="21"/>
              </w:rPr>
            </w:pPr>
            <w:r>
              <w:rPr>
                <w:rFonts w:hint="eastAsia" w:ascii="宋体" w:hAnsi="宋体" w:cs="微软雅黑"/>
                <w:szCs w:val="21"/>
              </w:rPr>
              <w:t xml:space="preserve">4.2.5成像速率：电子凸阵探头，全视野，18cm深度时，帧频≥45帧/秒 </w:t>
            </w:r>
          </w:p>
          <w:p>
            <w:pPr>
              <w:spacing w:line="400" w:lineRule="exact"/>
              <w:rPr>
                <w:rFonts w:ascii="宋体" w:hAnsi="宋体" w:cs="微软雅黑"/>
                <w:szCs w:val="21"/>
              </w:rPr>
            </w:pPr>
            <w:r>
              <w:rPr>
                <w:rFonts w:hint="eastAsia" w:ascii="宋体" w:hAnsi="宋体" w:cs="微软雅黑"/>
                <w:szCs w:val="21"/>
              </w:rPr>
              <w:t xml:space="preserve">     成像速率：电子相控阵探头，全视野，18cm深度时，帧频≥35帧/秒</w:t>
            </w:r>
          </w:p>
          <w:p>
            <w:pPr>
              <w:spacing w:line="400" w:lineRule="exact"/>
              <w:rPr>
                <w:rFonts w:ascii="宋体" w:hAnsi="宋体" w:cs="微软雅黑"/>
                <w:szCs w:val="21"/>
              </w:rPr>
            </w:pPr>
            <w:r>
              <w:rPr>
                <w:rFonts w:hint="eastAsia" w:ascii="宋体" w:hAnsi="宋体" w:cs="微软雅黑"/>
                <w:szCs w:val="21"/>
              </w:rPr>
              <w:t>4.2.6增益调节：B/M可独立调节；≥8段TGC增益补偿，可视可调增益调节≥100dB</w:t>
            </w:r>
          </w:p>
          <w:p>
            <w:pPr>
              <w:spacing w:line="400" w:lineRule="exact"/>
              <w:rPr>
                <w:rFonts w:ascii="宋体" w:hAnsi="宋体" w:cs="微软雅黑"/>
                <w:szCs w:val="21"/>
              </w:rPr>
            </w:pPr>
            <w:r>
              <w:rPr>
                <w:rFonts w:hint="eastAsia" w:ascii="宋体" w:hAnsi="宋体" w:cs="微软雅黑"/>
                <w:szCs w:val="21"/>
              </w:rPr>
              <w:t xml:space="preserve">4.2.7灰阶≥18种 </w:t>
            </w:r>
          </w:p>
          <w:p>
            <w:pPr>
              <w:spacing w:line="400" w:lineRule="exact"/>
              <w:rPr>
                <w:rFonts w:ascii="宋体" w:hAnsi="宋体" w:cs="微软雅黑"/>
                <w:szCs w:val="21"/>
              </w:rPr>
            </w:pPr>
            <w:r>
              <w:rPr>
                <w:rFonts w:hint="eastAsia" w:ascii="宋体" w:hAnsi="宋体" w:cs="微软雅黑"/>
                <w:szCs w:val="21"/>
              </w:rPr>
              <w:t>4.2.8线阵二维偏转角度±20°</w:t>
            </w:r>
          </w:p>
          <w:p>
            <w:pPr>
              <w:spacing w:line="400" w:lineRule="exact"/>
              <w:rPr>
                <w:rFonts w:ascii="宋体" w:hAnsi="宋体" w:cs="微软雅黑"/>
                <w:szCs w:val="21"/>
              </w:rPr>
            </w:pPr>
            <w:r>
              <w:rPr>
                <w:rFonts w:hint="eastAsia" w:ascii="宋体" w:hAnsi="宋体" w:cs="微软雅黑"/>
                <w:szCs w:val="21"/>
              </w:rPr>
              <w:t>4.2.9节段性M型无失真放大</w:t>
            </w:r>
          </w:p>
          <w:p>
            <w:pPr>
              <w:spacing w:line="400" w:lineRule="exact"/>
              <w:rPr>
                <w:rFonts w:ascii="宋体" w:hAnsi="宋体" w:cs="微软雅黑"/>
                <w:szCs w:val="21"/>
              </w:rPr>
            </w:pPr>
            <w:r>
              <w:rPr>
                <w:rFonts w:hint="eastAsia" w:ascii="宋体" w:hAnsi="宋体" w:cs="微软雅黑"/>
                <w:szCs w:val="21"/>
              </w:rPr>
              <w:t>4.2.10布局：上下/左右/全屏</w:t>
            </w:r>
          </w:p>
          <w:p>
            <w:pPr>
              <w:spacing w:line="400" w:lineRule="exact"/>
              <w:rPr>
                <w:rFonts w:ascii="宋体" w:hAnsi="宋体" w:cs="微软雅黑"/>
                <w:szCs w:val="21"/>
              </w:rPr>
            </w:pPr>
            <w:r>
              <w:rPr>
                <w:rFonts w:hint="eastAsia" w:ascii="宋体" w:hAnsi="宋体" w:cs="微软雅黑"/>
                <w:szCs w:val="21"/>
              </w:rPr>
              <w:t>4.3、彩色多普勒及频谱多普勒：</w:t>
            </w:r>
          </w:p>
          <w:p>
            <w:pPr>
              <w:spacing w:line="400" w:lineRule="exact"/>
              <w:rPr>
                <w:rFonts w:ascii="宋体" w:hAnsi="宋体" w:cs="微软雅黑"/>
                <w:szCs w:val="21"/>
              </w:rPr>
            </w:pPr>
            <w:r>
              <w:rPr>
                <w:rFonts w:hint="eastAsia" w:ascii="宋体" w:hAnsi="宋体" w:cs="微软雅黑"/>
                <w:szCs w:val="21"/>
              </w:rPr>
              <w:t>4.3.1速度方差显示、能量显示、方向能量、速度显示、方差显示</w:t>
            </w:r>
          </w:p>
          <w:p>
            <w:pPr>
              <w:spacing w:line="400" w:lineRule="exact"/>
              <w:rPr>
                <w:rFonts w:ascii="宋体" w:hAnsi="宋体" w:cs="微软雅黑"/>
                <w:szCs w:val="21"/>
              </w:rPr>
            </w:pPr>
            <w:r>
              <w:rPr>
                <w:rFonts w:hint="eastAsia" w:ascii="宋体" w:hAnsi="宋体"/>
                <w:szCs w:val="21"/>
              </w:rPr>
              <w:t>★</w:t>
            </w:r>
            <w:r>
              <w:rPr>
                <w:rFonts w:hint="eastAsia" w:ascii="宋体" w:hAnsi="宋体" w:cs="微软雅黑"/>
                <w:szCs w:val="21"/>
              </w:rPr>
              <w:t>4.3.2彩色显示帧频：凸阵探头，18cm深，全视野，彩色帧频≥20帧/秒；相控阵探头，18cm深，全视野，彩色帧频≥25帧/秒</w:t>
            </w:r>
          </w:p>
          <w:p>
            <w:pPr>
              <w:spacing w:line="400" w:lineRule="exact"/>
              <w:rPr>
                <w:rFonts w:ascii="宋体" w:hAnsi="宋体" w:cs="微软雅黑"/>
                <w:szCs w:val="21"/>
              </w:rPr>
            </w:pPr>
            <w:r>
              <w:rPr>
                <w:rFonts w:hint="eastAsia" w:ascii="宋体" w:hAnsi="宋体" w:cs="微软雅黑"/>
                <w:szCs w:val="21"/>
              </w:rPr>
              <w:t>4.3.3 彩色及频谱多普勒频率独立调节</w:t>
            </w:r>
          </w:p>
          <w:p>
            <w:pPr>
              <w:spacing w:line="400" w:lineRule="exact"/>
              <w:rPr>
                <w:rFonts w:ascii="宋体" w:hAnsi="宋体" w:cs="微软雅黑"/>
                <w:szCs w:val="21"/>
              </w:rPr>
            </w:pPr>
            <w:r>
              <w:rPr>
                <w:rFonts w:hint="eastAsia" w:ascii="宋体" w:hAnsi="宋体"/>
                <w:szCs w:val="21"/>
              </w:rPr>
              <w:t>★</w:t>
            </w:r>
            <w:r>
              <w:rPr>
                <w:rFonts w:hint="eastAsia" w:ascii="宋体" w:hAnsi="宋体" w:cs="微软雅黑"/>
                <w:szCs w:val="21"/>
              </w:rPr>
              <w:t>4.3.4 血流标识功能，可对感兴趣流速标识点或范围两种</w:t>
            </w:r>
          </w:p>
          <w:p>
            <w:pPr>
              <w:spacing w:line="400" w:lineRule="exact"/>
              <w:rPr>
                <w:rFonts w:ascii="宋体" w:hAnsi="宋体" w:cs="微软雅黑"/>
                <w:szCs w:val="21"/>
              </w:rPr>
            </w:pPr>
            <w:r>
              <w:rPr>
                <w:rFonts w:hint="eastAsia" w:ascii="宋体" w:hAnsi="宋体" w:cs="微软雅黑"/>
                <w:szCs w:val="21"/>
              </w:rPr>
              <w:t>4.3.5 PW最低可测量显示速度：≤1mm/s</w:t>
            </w:r>
          </w:p>
          <w:p>
            <w:pPr>
              <w:spacing w:line="400" w:lineRule="exact"/>
              <w:rPr>
                <w:rFonts w:ascii="宋体" w:hAnsi="宋体" w:cs="微软雅黑"/>
                <w:szCs w:val="21"/>
              </w:rPr>
            </w:pPr>
            <w:r>
              <w:rPr>
                <w:rFonts w:hint="eastAsia" w:ascii="宋体" w:hAnsi="宋体" w:cs="微软雅黑"/>
                <w:szCs w:val="21"/>
              </w:rPr>
              <w:t>4.3.6取样容积最大30mm</w:t>
            </w:r>
          </w:p>
          <w:p>
            <w:pPr>
              <w:spacing w:line="400" w:lineRule="exact"/>
              <w:rPr>
                <w:rFonts w:ascii="宋体" w:hAnsi="宋体" w:cs="微软雅黑"/>
                <w:szCs w:val="21"/>
              </w:rPr>
            </w:pPr>
            <w:r>
              <w:rPr>
                <w:rFonts w:hint="eastAsia" w:ascii="宋体" w:hAnsi="宋体" w:cs="微软雅黑"/>
                <w:szCs w:val="21"/>
              </w:rPr>
              <w:t>4.3.7 多普勒自动计算功能</w:t>
            </w:r>
          </w:p>
          <w:p>
            <w:pPr>
              <w:spacing w:line="400" w:lineRule="exact"/>
              <w:rPr>
                <w:rFonts w:ascii="宋体" w:hAnsi="宋体" w:cs="微软雅黑"/>
                <w:szCs w:val="21"/>
              </w:rPr>
            </w:pPr>
            <w:r>
              <w:rPr>
                <w:rFonts w:hint="eastAsia" w:ascii="宋体" w:hAnsi="宋体" w:cs="微软雅黑"/>
                <w:szCs w:val="21"/>
              </w:rPr>
              <w:t>4.3.8显示控制：零位移动≥18级</w:t>
            </w:r>
          </w:p>
          <w:p>
            <w:pPr>
              <w:spacing w:line="400" w:lineRule="exact"/>
              <w:rPr>
                <w:rFonts w:ascii="宋体" w:hAnsi="宋体" w:cs="微软雅黑"/>
                <w:szCs w:val="21"/>
              </w:rPr>
            </w:pPr>
            <w:r>
              <w:rPr>
                <w:rFonts w:hint="eastAsia" w:ascii="宋体" w:hAnsi="宋体" w:cs="微软雅黑"/>
                <w:szCs w:val="21"/>
              </w:rPr>
              <w:t>4.4测量与分析：</w:t>
            </w:r>
          </w:p>
          <w:p>
            <w:pPr>
              <w:spacing w:line="400" w:lineRule="exact"/>
              <w:rPr>
                <w:rFonts w:ascii="宋体" w:hAnsi="宋体" w:cs="微软雅黑"/>
                <w:szCs w:val="21"/>
              </w:rPr>
            </w:pPr>
            <w:r>
              <w:rPr>
                <w:rFonts w:hint="eastAsia" w:ascii="宋体" w:hAnsi="宋体" w:cs="微软雅黑"/>
                <w:szCs w:val="21"/>
              </w:rPr>
              <w:t>4.4.1常规测量</w:t>
            </w:r>
          </w:p>
          <w:p>
            <w:pPr>
              <w:spacing w:line="400" w:lineRule="exact"/>
              <w:rPr>
                <w:rFonts w:ascii="宋体" w:hAnsi="宋体" w:cs="微软雅黑"/>
                <w:szCs w:val="21"/>
              </w:rPr>
            </w:pPr>
            <w:r>
              <w:rPr>
                <w:rFonts w:hint="eastAsia" w:ascii="宋体" w:hAnsi="宋体" w:cs="微软雅黑"/>
                <w:szCs w:val="21"/>
              </w:rPr>
              <w:t>2D模式：距离、面积（描记）、面积（椭圆）、角度、十字线、距离比率、体积（三线法）、体积（椭圆）、面积比率、直径、关节角、深度-距离</w:t>
            </w:r>
          </w:p>
          <w:p>
            <w:pPr>
              <w:spacing w:line="400" w:lineRule="exact"/>
              <w:rPr>
                <w:rFonts w:ascii="宋体" w:hAnsi="宋体" w:cs="微软雅黑"/>
                <w:szCs w:val="21"/>
              </w:rPr>
            </w:pPr>
            <w:r>
              <w:rPr>
                <w:rFonts w:hint="eastAsia" w:ascii="宋体" w:hAnsi="宋体" w:cs="微软雅黑"/>
                <w:szCs w:val="21"/>
              </w:rPr>
              <w:t>M模式：HR、时间、斜率（M）、距离（M）</w:t>
            </w:r>
          </w:p>
          <w:p>
            <w:pPr>
              <w:spacing w:line="400" w:lineRule="exact"/>
              <w:rPr>
                <w:rFonts w:ascii="宋体" w:hAnsi="宋体" w:cs="微软雅黑"/>
                <w:szCs w:val="21"/>
              </w:rPr>
            </w:pPr>
            <w:r>
              <w:rPr>
                <w:rFonts w:hint="eastAsia" w:ascii="宋体" w:hAnsi="宋体" w:cs="微软雅黑"/>
                <w:szCs w:val="21"/>
              </w:rPr>
              <w:t>Doppler模式：多普勒流速、HR、PI、RI、PS/ED、时间、加速度（D）、E/A、频谱自动包络、手动包络、S、D、S/D、RI、多普勒流速、HR、PI、时间、加速度、频谱包络、手动包络</w:t>
            </w:r>
          </w:p>
          <w:p>
            <w:pPr>
              <w:spacing w:line="400" w:lineRule="exact"/>
              <w:rPr>
                <w:rFonts w:ascii="宋体" w:hAnsi="宋体" w:cs="微软雅黑"/>
                <w:szCs w:val="21"/>
              </w:rPr>
            </w:pPr>
            <w:r>
              <w:rPr>
                <w:rFonts w:hint="eastAsia" w:ascii="宋体" w:hAnsi="宋体" w:cs="微软雅黑"/>
                <w:szCs w:val="21"/>
              </w:rPr>
              <w:t>4.4.2 专科测量和分析</w:t>
            </w:r>
          </w:p>
          <w:p>
            <w:pPr>
              <w:spacing w:line="400" w:lineRule="exact"/>
              <w:rPr>
                <w:rFonts w:ascii="宋体" w:hAnsi="宋体" w:cs="微软雅黑"/>
                <w:szCs w:val="21"/>
              </w:rPr>
            </w:pPr>
            <w:r>
              <w:rPr>
                <w:rFonts w:hint="eastAsia" w:ascii="宋体" w:hAnsi="宋体" w:cs="微软雅黑"/>
                <w:szCs w:val="21"/>
              </w:rPr>
              <w:t>4.4.2.1腹部测量软件包</w:t>
            </w:r>
          </w:p>
          <w:p>
            <w:pPr>
              <w:spacing w:line="400" w:lineRule="exact"/>
              <w:rPr>
                <w:rFonts w:ascii="宋体" w:hAnsi="宋体" w:cs="微软雅黑"/>
                <w:szCs w:val="21"/>
              </w:rPr>
            </w:pPr>
            <w:r>
              <w:rPr>
                <w:rFonts w:hint="eastAsia" w:ascii="宋体" w:hAnsi="宋体" w:cs="微软雅黑"/>
                <w:szCs w:val="21"/>
              </w:rPr>
              <w:t>4.4.2.2妇/产科测量软件包</w:t>
            </w:r>
          </w:p>
          <w:p>
            <w:pPr>
              <w:spacing w:line="400" w:lineRule="exact"/>
              <w:rPr>
                <w:rFonts w:ascii="宋体" w:hAnsi="宋体" w:cs="微软雅黑"/>
                <w:szCs w:val="21"/>
              </w:rPr>
            </w:pPr>
            <w:r>
              <w:rPr>
                <w:rFonts w:hint="eastAsia" w:ascii="宋体" w:hAnsi="宋体" w:cs="微软雅黑"/>
                <w:szCs w:val="21"/>
              </w:rPr>
              <w:t>4.4.2.3颈部血管测量软件包</w:t>
            </w:r>
          </w:p>
          <w:p>
            <w:pPr>
              <w:spacing w:line="400" w:lineRule="exact"/>
              <w:rPr>
                <w:rFonts w:ascii="宋体" w:hAnsi="宋体" w:cs="微软雅黑"/>
                <w:szCs w:val="21"/>
              </w:rPr>
            </w:pPr>
            <w:r>
              <w:rPr>
                <w:rFonts w:hint="eastAsia" w:ascii="宋体" w:hAnsi="宋体" w:cs="微软雅黑"/>
                <w:szCs w:val="21"/>
              </w:rPr>
              <w:t>4.4.2.4乳腺测量软件包</w:t>
            </w:r>
          </w:p>
          <w:p>
            <w:pPr>
              <w:spacing w:line="400" w:lineRule="exact"/>
              <w:rPr>
                <w:rFonts w:ascii="宋体" w:hAnsi="宋体" w:cs="微软雅黑"/>
                <w:szCs w:val="21"/>
              </w:rPr>
            </w:pPr>
            <w:r>
              <w:rPr>
                <w:rFonts w:hint="eastAsia" w:ascii="宋体" w:hAnsi="宋体" w:cs="微软雅黑"/>
                <w:szCs w:val="21"/>
              </w:rPr>
              <w:t>4.4.2.5小器官测量软件包</w:t>
            </w:r>
          </w:p>
          <w:p>
            <w:pPr>
              <w:spacing w:line="400" w:lineRule="exact"/>
              <w:rPr>
                <w:rFonts w:ascii="宋体" w:hAnsi="宋体" w:cs="微软雅黑"/>
                <w:szCs w:val="21"/>
              </w:rPr>
            </w:pPr>
            <w:r>
              <w:rPr>
                <w:rFonts w:hint="eastAsia" w:ascii="宋体" w:hAnsi="宋体" w:cs="微软雅黑"/>
                <w:szCs w:val="21"/>
              </w:rPr>
              <w:t>4.4.2.6泌尿测量软件包</w:t>
            </w:r>
          </w:p>
          <w:p>
            <w:pPr>
              <w:spacing w:line="400" w:lineRule="exact"/>
              <w:rPr>
                <w:rFonts w:ascii="宋体" w:hAnsi="宋体" w:cs="微软雅黑"/>
                <w:szCs w:val="21"/>
              </w:rPr>
            </w:pPr>
            <w:r>
              <w:rPr>
                <w:rFonts w:hint="eastAsia" w:ascii="宋体" w:hAnsi="宋体" w:cs="微软雅黑"/>
                <w:szCs w:val="21"/>
              </w:rPr>
              <w:t>4.4.2.7心脏测量软件包</w:t>
            </w:r>
          </w:p>
          <w:p>
            <w:pPr>
              <w:spacing w:line="400" w:lineRule="exact"/>
              <w:rPr>
                <w:rFonts w:ascii="宋体" w:hAnsi="宋体" w:cs="微软雅黑"/>
                <w:szCs w:val="21"/>
              </w:rPr>
            </w:pPr>
            <w:r>
              <w:rPr>
                <w:rFonts w:hint="eastAsia" w:ascii="宋体" w:hAnsi="宋体" w:cs="微软雅黑"/>
                <w:szCs w:val="21"/>
              </w:rPr>
              <w:t>4.4.2.8肌骨神经、矫形外科分析软件包</w:t>
            </w:r>
          </w:p>
          <w:p>
            <w:pPr>
              <w:spacing w:line="400" w:lineRule="exact"/>
              <w:rPr>
                <w:rFonts w:ascii="宋体" w:hAnsi="宋体" w:cs="微软雅黑"/>
                <w:szCs w:val="21"/>
              </w:rPr>
            </w:pPr>
            <w:r>
              <w:rPr>
                <w:rFonts w:hint="eastAsia" w:ascii="宋体" w:hAnsi="宋体"/>
                <w:szCs w:val="21"/>
              </w:rPr>
              <w:t>★</w:t>
            </w:r>
            <w:r>
              <w:rPr>
                <w:rFonts w:hint="eastAsia" w:ascii="宋体" w:hAnsi="宋体" w:cs="微软雅黑"/>
                <w:szCs w:val="21"/>
              </w:rPr>
              <w:t>4.4.2.9弹性成像测量分析软件包</w:t>
            </w:r>
          </w:p>
          <w:p>
            <w:pPr>
              <w:spacing w:line="400" w:lineRule="exact"/>
              <w:rPr>
                <w:rFonts w:ascii="宋体" w:hAnsi="宋体" w:cs="微软雅黑"/>
                <w:szCs w:val="21"/>
              </w:rPr>
            </w:pPr>
            <w:r>
              <w:rPr>
                <w:rFonts w:hint="eastAsia" w:ascii="宋体" w:hAnsi="宋体" w:cs="微软雅黑"/>
                <w:szCs w:val="21"/>
              </w:rPr>
              <w:t>4.5图文管理及外围设备接口：</w:t>
            </w:r>
          </w:p>
          <w:p>
            <w:pPr>
              <w:spacing w:line="400" w:lineRule="exact"/>
              <w:rPr>
                <w:rFonts w:ascii="宋体" w:hAnsi="宋体" w:cs="微软雅黑"/>
                <w:szCs w:val="21"/>
              </w:rPr>
            </w:pPr>
            <w:r>
              <w:rPr>
                <w:rFonts w:hint="eastAsia" w:ascii="宋体" w:hAnsi="宋体" w:cs="微软雅黑"/>
                <w:szCs w:val="21"/>
              </w:rPr>
              <w:t>4.5.1内置一体化超声图像工作站，数字化储存静态及动态图像，硬盘容量≥1T</w:t>
            </w:r>
          </w:p>
          <w:p>
            <w:pPr>
              <w:spacing w:line="400" w:lineRule="exact"/>
              <w:rPr>
                <w:rFonts w:ascii="宋体" w:hAnsi="宋体" w:cs="微软雅黑"/>
                <w:szCs w:val="21"/>
              </w:rPr>
            </w:pPr>
            <w:r>
              <w:rPr>
                <w:rFonts w:hint="eastAsia" w:ascii="宋体" w:hAnsi="宋体" w:cs="微软雅黑"/>
                <w:szCs w:val="21"/>
              </w:rPr>
              <w:t>4.5.2同屏一体化智能剪切板，</w:t>
            </w:r>
          </w:p>
          <w:p>
            <w:pPr>
              <w:spacing w:line="400" w:lineRule="exact"/>
              <w:rPr>
                <w:rFonts w:ascii="宋体" w:hAnsi="宋体" w:cs="微软雅黑"/>
                <w:szCs w:val="21"/>
              </w:rPr>
            </w:pPr>
            <w:r>
              <w:rPr>
                <w:rFonts w:hint="eastAsia" w:ascii="宋体" w:hAnsi="宋体" w:cs="微软雅黑"/>
                <w:szCs w:val="21"/>
              </w:rPr>
              <w:t>4.5.3支持以下存储介质：DVD-R/W、USB移动存储设备，主机USB接口≥5个；</w:t>
            </w:r>
          </w:p>
          <w:p>
            <w:pPr>
              <w:spacing w:line="400" w:lineRule="exact"/>
              <w:rPr>
                <w:rFonts w:ascii="宋体" w:hAnsi="宋体" w:cs="微软雅黑"/>
                <w:szCs w:val="21"/>
              </w:rPr>
            </w:pPr>
            <w:r>
              <w:rPr>
                <w:rFonts w:hint="eastAsia" w:ascii="宋体" w:hAnsi="宋体" w:cs="微软雅黑"/>
                <w:szCs w:val="21"/>
              </w:rPr>
              <w:t>五、外设和附件</w:t>
            </w:r>
          </w:p>
          <w:p>
            <w:pPr>
              <w:spacing w:line="400" w:lineRule="exact"/>
              <w:rPr>
                <w:rFonts w:ascii="宋体" w:hAnsi="宋体" w:cs="微软雅黑"/>
                <w:szCs w:val="21"/>
              </w:rPr>
            </w:pPr>
            <w:r>
              <w:rPr>
                <w:rFonts w:hint="eastAsia" w:ascii="宋体" w:hAnsi="宋体"/>
                <w:szCs w:val="21"/>
              </w:rPr>
              <w:t>★</w:t>
            </w:r>
            <w:r>
              <w:rPr>
                <w:rFonts w:hint="eastAsia" w:ascii="宋体" w:hAnsi="宋体" w:cs="微软雅黑"/>
                <w:szCs w:val="21"/>
              </w:rPr>
              <w:t>1、同品牌超声工作站一套，硬盘容量≥1T，系统免费升级；</w:t>
            </w:r>
          </w:p>
          <w:p>
            <w:pPr>
              <w:spacing w:line="400" w:lineRule="exact"/>
              <w:rPr>
                <w:rFonts w:ascii="宋体" w:hAnsi="宋体" w:cs="微软雅黑"/>
                <w:szCs w:val="21"/>
              </w:rPr>
            </w:pPr>
            <w:r>
              <w:rPr>
                <w:rFonts w:hint="eastAsia" w:ascii="宋体" w:hAnsi="宋体" w:cs="微软雅黑"/>
                <w:szCs w:val="21"/>
              </w:rPr>
              <w:t>2、彩色打印机一台</w:t>
            </w:r>
          </w:p>
          <w:p>
            <w:pPr>
              <w:spacing w:line="400" w:lineRule="exact"/>
              <w:rPr>
                <w:rFonts w:ascii="宋体" w:hAnsi="宋体" w:cs="微软雅黑"/>
                <w:szCs w:val="21"/>
              </w:rPr>
            </w:pPr>
            <w:r>
              <w:rPr>
                <w:rFonts w:hint="eastAsia" w:ascii="宋体" w:hAnsi="宋体" w:cs="微软雅黑"/>
                <w:szCs w:val="21"/>
              </w:rPr>
              <w:t>3、专业探头放置架≥3个，支持脚踏开关</w:t>
            </w:r>
          </w:p>
          <w:p>
            <w:pPr>
              <w:spacing w:line="400" w:lineRule="exact"/>
              <w:rPr>
                <w:rFonts w:ascii="宋体" w:hAnsi="宋体" w:cs="微软雅黑"/>
                <w:szCs w:val="21"/>
              </w:rPr>
            </w:pPr>
            <w:r>
              <w:rPr>
                <w:rFonts w:hint="eastAsia" w:ascii="宋体" w:hAnsi="宋体" w:cs="微软雅黑"/>
                <w:szCs w:val="21"/>
              </w:rPr>
              <w:t>4、配置腹部探头、高频探头、腔内探头、心脏探头各一个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r>
              <w:rPr>
                <w:rFonts w:hint="eastAsia" w:ascii="宋体" w:hAnsi="宋体" w:cs="微软雅黑"/>
                <w:szCs w:val="21"/>
              </w:rPr>
              <w:t>4</w:t>
            </w:r>
          </w:p>
        </w:tc>
        <w:tc>
          <w:tcPr>
            <w:tcW w:w="803" w:type="dxa"/>
          </w:tcPr>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r>
              <w:rPr>
                <w:rFonts w:hint="eastAsia" w:ascii="宋体" w:hAnsi="宋体" w:cs="微软雅黑"/>
                <w:szCs w:val="21"/>
              </w:rPr>
              <w:t>移</w:t>
            </w:r>
          </w:p>
          <w:p>
            <w:pPr>
              <w:jc w:val="center"/>
              <w:rPr>
                <w:rFonts w:ascii="宋体" w:hAnsi="宋体" w:cs="微软雅黑"/>
                <w:szCs w:val="21"/>
              </w:rPr>
            </w:pPr>
            <w:r>
              <w:rPr>
                <w:rFonts w:hint="eastAsia" w:ascii="宋体" w:hAnsi="宋体" w:cs="微软雅黑"/>
                <w:szCs w:val="21"/>
              </w:rPr>
              <w:t>动</w:t>
            </w:r>
          </w:p>
          <w:p>
            <w:pPr>
              <w:jc w:val="center"/>
              <w:rPr>
                <w:rFonts w:ascii="宋体" w:hAnsi="宋体" w:cs="微软雅黑"/>
                <w:szCs w:val="21"/>
              </w:rPr>
            </w:pPr>
            <w:r>
              <w:rPr>
                <w:rFonts w:hint="eastAsia" w:ascii="宋体" w:hAnsi="宋体" w:cs="微软雅黑"/>
                <w:szCs w:val="21"/>
              </w:rPr>
              <w:t>空</w:t>
            </w:r>
          </w:p>
          <w:p>
            <w:pPr>
              <w:jc w:val="center"/>
              <w:rPr>
                <w:rFonts w:ascii="宋体" w:hAnsi="宋体" w:cs="微软雅黑"/>
                <w:szCs w:val="21"/>
              </w:rPr>
            </w:pPr>
            <w:r>
              <w:rPr>
                <w:rFonts w:hint="eastAsia" w:ascii="宋体" w:hAnsi="宋体" w:cs="微软雅黑"/>
                <w:szCs w:val="21"/>
              </w:rPr>
              <w:t>气</w:t>
            </w:r>
          </w:p>
          <w:p>
            <w:pPr>
              <w:jc w:val="center"/>
              <w:rPr>
                <w:rFonts w:ascii="宋体" w:hAnsi="宋体" w:cs="微软雅黑"/>
                <w:szCs w:val="21"/>
              </w:rPr>
            </w:pPr>
            <w:r>
              <w:rPr>
                <w:rFonts w:hint="eastAsia" w:ascii="宋体" w:hAnsi="宋体" w:cs="微软雅黑"/>
                <w:szCs w:val="21"/>
              </w:rPr>
              <w:t>消</w:t>
            </w:r>
          </w:p>
          <w:p>
            <w:pPr>
              <w:jc w:val="center"/>
              <w:rPr>
                <w:rFonts w:ascii="宋体" w:hAnsi="宋体" w:cs="微软雅黑"/>
                <w:szCs w:val="21"/>
              </w:rPr>
            </w:pPr>
            <w:r>
              <w:rPr>
                <w:rFonts w:hint="eastAsia" w:ascii="宋体" w:hAnsi="宋体" w:cs="微软雅黑"/>
                <w:szCs w:val="21"/>
              </w:rPr>
              <w:t>毒</w:t>
            </w:r>
          </w:p>
          <w:p>
            <w:pPr>
              <w:jc w:val="center"/>
              <w:rPr>
                <w:rFonts w:ascii="宋体" w:hAnsi="宋体" w:cs="微软雅黑"/>
                <w:szCs w:val="21"/>
              </w:rPr>
            </w:pPr>
            <w:r>
              <w:rPr>
                <w:rFonts w:hint="eastAsia" w:ascii="宋体" w:hAnsi="宋体" w:cs="微软雅黑"/>
                <w:szCs w:val="21"/>
              </w:rPr>
              <w:t>机</w:t>
            </w:r>
          </w:p>
        </w:tc>
        <w:tc>
          <w:tcPr>
            <w:tcW w:w="878" w:type="dxa"/>
          </w:tcPr>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r>
              <w:rPr>
                <w:rFonts w:hint="eastAsia" w:ascii="宋体" w:hAnsi="宋体" w:cs="微软雅黑"/>
                <w:szCs w:val="21"/>
              </w:rPr>
              <w:t>5</w:t>
            </w:r>
          </w:p>
        </w:tc>
        <w:tc>
          <w:tcPr>
            <w:tcW w:w="7521" w:type="dxa"/>
          </w:tcPr>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1.适用范围（m3）：≤100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2.消毒效果：设备持续工作1小时，可使100m3房间空气中的自然菌的消亡率≥90%，处理后空气中平均细菌总数≤67.9cfu/m3。根据评价标准，达到消毒合格要求</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3.臭氧残留量检测：室内空气中臭氧残留平均浓度均≤0.002mg/m3 </w:t>
            </w:r>
          </w:p>
          <w:p>
            <w:pPr>
              <w:spacing w:line="340" w:lineRule="exact"/>
              <w:ind w:left="315" w:hanging="315" w:hanging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4.净化效果：设备持续工作2小时，可使房间内空气洁净度为100万级的100m3房间中的空气洁净度达到10万级</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5.多级过滤净化功能：配合等离子，可去除烟雾、甲醛、氨、苯，清新空气</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6.循环风量（m3/h）：≥800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7.等离子寿命：等离子体发生器和等离子体电机机芯寿命≥25000小时</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8.人机共存：设备为动态消毒机，可在人机共存的环境中使用，且不生成二次污染</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9.PM2.5消除率： PM2.5颗粒物净化效率≥99%</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10.洁净空气输出比率：CADR洁净空气输出比率≥207.7m3/h</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11.等离子密度分布：等离子体空气净化消毒机用等离子体发生器部件的放电结构所产生的等离子体为一种密度较高的电晕放电。</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12.等离子密度分布：3.4X1017～4.6X1017m-3</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13.多档风速可调：提供手动、自动、定时三种工作模式供用户选择：</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14.工作模式：</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手动模式：默认消毒时间为2小时，按键调整工作时间；</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自动模式：设备检测到室内空气质量较低或尘埃粒子较多时，自动启动消毒功能；</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定时模式：按所设定的时间启停消毒，可设定五组定时消毒时间</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程控数量：程控程序数量不低于5组</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w:t>
            </w: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智能提示功能：具备等离子故障报警、滤网过期提示功能</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w:t>
            </w: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连续消毒：多个房间，空间可连续循环消毒</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w:t>
            </w: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安装方式：移动搁置</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w:t>
            </w: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噪声dB（A）：≤60</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节能免打扰：具备该功能。</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w:t>
            </w: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电磁兼容性：符合EN55011标准要求</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w:t>
            </w: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数字高精触摸键、一键式遥控器远程操控：面板独有“触摸感应”式高精键。采用最新工艺并经过上万次按压破坏性试验的高精技术，操作灵敏，点击迅捷，手感好且永不生锈、防水性、抗破损等安全性能操作极强。内容显示清晰、明亮，外观新颖美观</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w:t>
            </w: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中文和人性化的图形显示</w:t>
            </w: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让用户更直观的了解设备的运行状态，当出现报警时液晶屏也会同时显示故障提示，直观方便</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w:t>
            </w: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 xml:space="preserve">电源要求：工作电源: 220V 50Hz   额定功率（W）：≤80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w:t>
            </w: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 xml:space="preserve">外型尺寸（mm）：直径440X960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pStyle w:val="25"/>
              <w:ind w:firstLine="404"/>
              <w:rPr>
                <w:rFonts w:ascii="宋体" w:hAnsi="宋体" w:cs="微软雅黑"/>
                <w:sz w:val="21"/>
                <w:szCs w:val="21"/>
                <w:lang w:val="en-US" w:eastAsia="zh-CN"/>
              </w:rPr>
            </w:pPr>
          </w:p>
          <w:p>
            <w:pPr>
              <w:pStyle w:val="25"/>
              <w:ind w:firstLine="404"/>
              <w:rPr>
                <w:rFonts w:ascii="宋体" w:hAnsi="宋体" w:cs="微软雅黑"/>
                <w:sz w:val="21"/>
                <w:szCs w:val="21"/>
                <w:lang w:val="en-US" w:eastAsia="zh-CN"/>
              </w:rPr>
            </w:pPr>
          </w:p>
          <w:p>
            <w:pPr>
              <w:pStyle w:val="25"/>
              <w:ind w:firstLine="404"/>
              <w:rPr>
                <w:rFonts w:ascii="宋体" w:hAnsi="宋体" w:cs="微软雅黑"/>
                <w:sz w:val="21"/>
                <w:szCs w:val="21"/>
                <w:lang w:val="en-US" w:eastAsia="zh-CN"/>
              </w:rPr>
            </w:pPr>
          </w:p>
          <w:p>
            <w:pPr>
              <w:jc w:val="center"/>
              <w:rPr>
                <w:rFonts w:ascii="宋体" w:hAnsi="宋体" w:cs="微软雅黑"/>
                <w:szCs w:val="21"/>
              </w:rPr>
            </w:pPr>
            <w:r>
              <w:rPr>
                <w:rFonts w:hint="eastAsia" w:ascii="宋体" w:hAnsi="宋体" w:cs="微软雅黑"/>
                <w:szCs w:val="21"/>
              </w:rPr>
              <w:t>5</w:t>
            </w:r>
          </w:p>
        </w:tc>
        <w:tc>
          <w:tcPr>
            <w:tcW w:w="803" w:type="dxa"/>
          </w:tcPr>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pStyle w:val="25"/>
              <w:ind w:firstLine="404"/>
              <w:rPr>
                <w:rFonts w:ascii="宋体" w:hAnsi="宋体"/>
                <w:sz w:val="21"/>
                <w:szCs w:val="21"/>
                <w:lang w:val="en-US" w:eastAsia="zh-CN"/>
              </w:rPr>
            </w:pPr>
          </w:p>
          <w:p>
            <w:pPr>
              <w:ind w:firstLine="210" w:firstLineChars="100"/>
              <w:rPr>
                <w:rFonts w:ascii="宋体" w:hAnsi="宋体" w:cs="微软雅黑"/>
                <w:szCs w:val="21"/>
              </w:rPr>
            </w:pPr>
            <w:r>
              <w:rPr>
                <w:rFonts w:hint="eastAsia" w:ascii="宋体" w:hAnsi="宋体" w:cs="微软雅黑"/>
                <w:szCs w:val="21"/>
              </w:rPr>
              <w:t>十</w:t>
            </w:r>
          </w:p>
          <w:p>
            <w:pPr>
              <w:jc w:val="center"/>
              <w:rPr>
                <w:rFonts w:ascii="宋体" w:hAnsi="宋体" w:cs="微软雅黑"/>
                <w:szCs w:val="21"/>
              </w:rPr>
            </w:pPr>
            <w:r>
              <w:rPr>
                <w:rFonts w:hint="eastAsia" w:ascii="宋体" w:hAnsi="宋体" w:cs="微软雅黑"/>
                <w:szCs w:val="21"/>
              </w:rPr>
              <w:t>二</w:t>
            </w:r>
          </w:p>
          <w:p>
            <w:pPr>
              <w:jc w:val="center"/>
              <w:rPr>
                <w:rFonts w:ascii="宋体" w:hAnsi="宋体" w:cs="微软雅黑"/>
                <w:szCs w:val="21"/>
              </w:rPr>
            </w:pPr>
            <w:r>
              <w:rPr>
                <w:rFonts w:hint="eastAsia" w:ascii="宋体" w:hAnsi="宋体" w:cs="微软雅黑"/>
                <w:szCs w:val="21"/>
              </w:rPr>
              <w:t>导</w:t>
            </w:r>
          </w:p>
          <w:p>
            <w:pPr>
              <w:jc w:val="center"/>
              <w:rPr>
                <w:rFonts w:ascii="宋体" w:hAnsi="宋体" w:cs="微软雅黑"/>
                <w:szCs w:val="21"/>
              </w:rPr>
            </w:pPr>
            <w:r>
              <w:rPr>
                <w:rFonts w:hint="eastAsia" w:ascii="宋体" w:hAnsi="宋体" w:cs="微软雅黑"/>
                <w:szCs w:val="21"/>
              </w:rPr>
              <w:t>联</w:t>
            </w:r>
          </w:p>
          <w:p>
            <w:pPr>
              <w:jc w:val="center"/>
              <w:rPr>
                <w:rFonts w:ascii="宋体" w:hAnsi="宋体" w:cs="微软雅黑"/>
                <w:szCs w:val="21"/>
              </w:rPr>
            </w:pPr>
            <w:r>
              <w:rPr>
                <w:rFonts w:hint="eastAsia" w:ascii="宋体" w:hAnsi="宋体" w:cs="微软雅黑"/>
                <w:szCs w:val="21"/>
              </w:rPr>
              <w:t>心</w:t>
            </w:r>
          </w:p>
          <w:p>
            <w:pPr>
              <w:jc w:val="center"/>
              <w:rPr>
                <w:rFonts w:ascii="宋体" w:hAnsi="宋体" w:cs="微软雅黑"/>
                <w:szCs w:val="21"/>
              </w:rPr>
            </w:pPr>
            <w:r>
              <w:rPr>
                <w:rFonts w:hint="eastAsia" w:ascii="宋体" w:hAnsi="宋体" w:cs="微软雅黑"/>
                <w:szCs w:val="21"/>
              </w:rPr>
              <w:t>电</w:t>
            </w:r>
          </w:p>
          <w:p>
            <w:pPr>
              <w:jc w:val="center"/>
              <w:rPr>
                <w:rFonts w:ascii="宋体" w:hAnsi="宋体" w:cs="微软雅黑"/>
                <w:szCs w:val="21"/>
              </w:rPr>
            </w:pPr>
            <w:r>
              <w:rPr>
                <w:rFonts w:hint="eastAsia" w:ascii="宋体" w:hAnsi="宋体" w:cs="微软雅黑"/>
                <w:szCs w:val="21"/>
              </w:rPr>
              <w:t>图</w:t>
            </w:r>
          </w:p>
          <w:p>
            <w:pPr>
              <w:jc w:val="center"/>
              <w:rPr>
                <w:rFonts w:ascii="宋体" w:hAnsi="宋体" w:cs="微软雅黑"/>
                <w:szCs w:val="21"/>
              </w:rPr>
            </w:pPr>
            <w:r>
              <w:rPr>
                <w:rFonts w:hint="eastAsia" w:ascii="宋体" w:hAnsi="宋体" w:cs="微软雅黑"/>
                <w:szCs w:val="21"/>
              </w:rPr>
              <w:t>机</w:t>
            </w:r>
          </w:p>
        </w:tc>
        <w:tc>
          <w:tcPr>
            <w:tcW w:w="878" w:type="dxa"/>
          </w:tcPr>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r>
              <w:rPr>
                <w:rFonts w:hint="eastAsia" w:ascii="宋体" w:hAnsi="宋体" w:cs="微软雅黑"/>
                <w:kern w:val="0"/>
                <w:szCs w:val="21"/>
              </w:rPr>
              <w:t>1</w:t>
            </w:r>
          </w:p>
        </w:tc>
        <w:tc>
          <w:tcPr>
            <w:tcW w:w="7521" w:type="dxa"/>
          </w:tcPr>
          <w:p>
            <w:pPr>
              <w:spacing w:line="400" w:lineRule="exact"/>
              <w:rPr>
                <w:rFonts w:ascii="宋体" w:hAnsi="宋体" w:cs="微软雅黑"/>
                <w:szCs w:val="21"/>
              </w:rPr>
            </w:pPr>
            <w:r>
              <w:rPr>
                <w:rFonts w:hint="eastAsia" w:ascii="宋体" w:hAnsi="宋体" w:cs="微软雅黑"/>
                <w:szCs w:val="21"/>
              </w:rPr>
              <w:t xml:space="preserve">一、工作条件： </w:t>
            </w:r>
          </w:p>
          <w:p>
            <w:pPr>
              <w:spacing w:line="400" w:lineRule="exact"/>
              <w:rPr>
                <w:rFonts w:ascii="宋体" w:hAnsi="宋体" w:cs="微软雅黑"/>
                <w:szCs w:val="21"/>
              </w:rPr>
            </w:pPr>
            <w:r>
              <w:rPr>
                <w:rFonts w:hint="eastAsia" w:ascii="宋体" w:hAnsi="宋体" w:cs="微软雅黑"/>
                <w:szCs w:val="21"/>
              </w:rPr>
              <w:t>1.1  产品可在电源交流220V，50/60赫兹，室温5—40℃和相对湿度25%~80%的环境下正常工作</w:t>
            </w:r>
          </w:p>
          <w:p>
            <w:pPr>
              <w:spacing w:line="400" w:lineRule="exact"/>
              <w:rPr>
                <w:rFonts w:ascii="宋体" w:hAnsi="宋体" w:cs="微软雅黑"/>
                <w:szCs w:val="21"/>
              </w:rPr>
            </w:pPr>
            <w:r>
              <w:rPr>
                <w:rFonts w:hint="eastAsia" w:ascii="宋体" w:hAnsi="宋体" w:cs="微软雅黑"/>
                <w:szCs w:val="21"/>
              </w:rPr>
              <w:t>1.2  产品的电源插头符合中国标准，无需适配器</w:t>
            </w:r>
          </w:p>
          <w:p>
            <w:pPr>
              <w:spacing w:line="400" w:lineRule="exact"/>
              <w:rPr>
                <w:rFonts w:ascii="宋体" w:hAnsi="宋体" w:cs="微软雅黑"/>
                <w:szCs w:val="21"/>
              </w:rPr>
            </w:pPr>
            <w:r>
              <w:rPr>
                <w:rFonts w:hint="eastAsia" w:ascii="宋体" w:hAnsi="宋体" w:cs="微软雅黑"/>
                <w:szCs w:val="21"/>
              </w:rPr>
              <w:t>二、 ECG输入</w:t>
            </w:r>
          </w:p>
          <w:p>
            <w:pPr>
              <w:spacing w:line="400" w:lineRule="exact"/>
              <w:rPr>
                <w:rFonts w:ascii="宋体" w:hAnsi="宋体" w:cs="微软雅黑"/>
                <w:szCs w:val="21"/>
              </w:rPr>
            </w:pPr>
            <w:r>
              <w:rPr>
                <w:rFonts w:hint="eastAsia" w:ascii="宋体" w:hAnsi="宋体" w:cs="微软雅黑"/>
                <w:szCs w:val="21"/>
              </w:rPr>
              <w:t>2.1  ECG输入通道：标准12导联、Cabrera导联心电信息同步采集</w:t>
            </w:r>
          </w:p>
          <w:p>
            <w:pPr>
              <w:spacing w:line="400" w:lineRule="exact"/>
              <w:rPr>
                <w:rFonts w:ascii="宋体" w:hAnsi="宋体" w:cs="微软雅黑"/>
                <w:szCs w:val="21"/>
              </w:rPr>
            </w:pPr>
            <w:r>
              <w:rPr>
                <w:rFonts w:hint="eastAsia" w:ascii="宋体" w:hAnsi="宋体" w:cs="微软雅黑"/>
                <w:szCs w:val="21"/>
              </w:rPr>
              <w:t>2.2  输入阻抗：≥50MΩ（10Hz）</w:t>
            </w:r>
          </w:p>
          <w:p>
            <w:pPr>
              <w:spacing w:line="400" w:lineRule="exact"/>
              <w:rPr>
                <w:rFonts w:ascii="宋体" w:hAnsi="宋体" w:cs="微软雅黑"/>
                <w:szCs w:val="21"/>
              </w:rPr>
            </w:pPr>
            <w:r>
              <w:rPr>
                <w:rFonts w:hint="eastAsia" w:ascii="宋体" w:hAnsi="宋体" w:cs="微软雅黑"/>
                <w:szCs w:val="21"/>
              </w:rPr>
              <w:t>2.3  频率响应：0.01-350Hz (-3db)</w:t>
            </w:r>
          </w:p>
          <w:p>
            <w:pPr>
              <w:spacing w:line="400" w:lineRule="exact"/>
              <w:rPr>
                <w:rFonts w:ascii="宋体" w:hAnsi="宋体" w:cs="微软雅黑"/>
                <w:szCs w:val="21"/>
              </w:rPr>
            </w:pPr>
            <w:r>
              <w:rPr>
                <w:rFonts w:hint="eastAsia" w:ascii="宋体" w:hAnsi="宋体" w:cs="微软雅黑"/>
                <w:szCs w:val="21"/>
              </w:rPr>
              <w:t>2.4  定标电压：1mV±2%</w:t>
            </w:r>
          </w:p>
          <w:p>
            <w:pPr>
              <w:spacing w:line="400" w:lineRule="exact"/>
              <w:rPr>
                <w:rFonts w:ascii="宋体" w:hAnsi="宋体" w:cs="微软雅黑"/>
                <w:szCs w:val="21"/>
              </w:rPr>
            </w:pPr>
            <w:r>
              <w:rPr>
                <w:rFonts w:hint="eastAsia" w:ascii="宋体" w:hAnsi="宋体"/>
                <w:szCs w:val="21"/>
              </w:rPr>
              <w:t>★</w:t>
            </w:r>
            <w:r>
              <w:rPr>
                <w:rFonts w:hint="eastAsia" w:ascii="宋体" w:hAnsi="宋体" w:cs="微软雅黑"/>
                <w:szCs w:val="21"/>
              </w:rPr>
              <w:t>2.5  耐极化电压：±6</w:t>
            </w:r>
            <w:r>
              <w:rPr>
                <w:rFonts w:ascii="宋体" w:hAnsi="宋体" w:cs="微软雅黑"/>
                <w:szCs w:val="21"/>
              </w:rPr>
              <w:t>1</w:t>
            </w:r>
            <w:r>
              <w:rPr>
                <w:rFonts w:hint="eastAsia" w:ascii="宋体" w:hAnsi="宋体" w:cs="微软雅黑"/>
                <w:szCs w:val="21"/>
              </w:rPr>
              <w:t>0mV  ±1%</w:t>
            </w:r>
          </w:p>
          <w:p>
            <w:pPr>
              <w:spacing w:line="400" w:lineRule="exact"/>
              <w:rPr>
                <w:rFonts w:ascii="宋体" w:hAnsi="宋体" w:cs="微软雅黑"/>
                <w:szCs w:val="21"/>
              </w:rPr>
            </w:pPr>
            <w:r>
              <w:rPr>
                <w:rFonts w:hint="eastAsia" w:ascii="宋体" w:hAnsi="宋体" w:cs="微软雅黑"/>
                <w:szCs w:val="21"/>
              </w:rPr>
              <w:t>2.6  内部噪声：≤15µVp-p</w:t>
            </w:r>
          </w:p>
          <w:p>
            <w:pPr>
              <w:spacing w:line="400" w:lineRule="exact"/>
              <w:rPr>
                <w:rFonts w:ascii="宋体" w:hAnsi="宋体" w:cs="微软雅黑"/>
                <w:szCs w:val="21"/>
              </w:rPr>
            </w:pPr>
            <w:r>
              <w:rPr>
                <w:rFonts w:hint="eastAsia" w:ascii="宋体" w:hAnsi="宋体" w:cs="微软雅黑"/>
                <w:szCs w:val="21"/>
              </w:rPr>
              <w:t>2.7  时间常数：≥3.2s</w:t>
            </w:r>
          </w:p>
          <w:p>
            <w:pPr>
              <w:spacing w:line="400" w:lineRule="exact"/>
              <w:rPr>
                <w:rFonts w:ascii="宋体" w:hAnsi="宋体" w:cs="微软雅黑"/>
                <w:szCs w:val="21"/>
              </w:rPr>
            </w:pPr>
            <w:r>
              <w:rPr>
                <w:rFonts w:hint="eastAsia" w:ascii="宋体" w:hAnsi="宋体" w:cs="微软雅黑"/>
                <w:szCs w:val="21"/>
              </w:rPr>
              <w:t>2.8 共模抑制比：≥130dB</w:t>
            </w:r>
          </w:p>
          <w:p>
            <w:pPr>
              <w:spacing w:line="400" w:lineRule="exact"/>
              <w:rPr>
                <w:rFonts w:ascii="宋体" w:hAnsi="宋体" w:cs="微软雅黑"/>
                <w:szCs w:val="21"/>
              </w:rPr>
            </w:pPr>
            <w:r>
              <w:rPr>
                <w:rFonts w:hint="eastAsia" w:ascii="宋体" w:hAnsi="宋体" w:cs="微软雅黑"/>
                <w:szCs w:val="21"/>
              </w:rPr>
              <w:t>2.9  除颤保护：具有抗除颤电击保护功能</w:t>
            </w:r>
          </w:p>
          <w:p>
            <w:pPr>
              <w:spacing w:line="400" w:lineRule="exact"/>
              <w:rPr>
                <w:rFonts w:ascii="宋体" w:hAnsi="宋体" w:cs="微软雅黑"/>
                <w:szCs w:val="21"/>
              </w:rPr>
            </w:pPr>
            <w:r>
              <w:rPr>
                <w:rFonts w:hint="eastAsia" w:ascii="宋体" w:hAnsi="宋体" w:cs="微软雅黑"/>
                <w:szCs w:val="21"/>
              </w:rPr>
              <w:t>2.10 导联线：导联线内附抗除颤电击保护功能，并具有防缠绕设计</w:t>
            </w:r>
          </w:p>
          <w:p>
            <w:pPr>
              <w:spacing w:line="400" w:lineRule="exact"/>
              <w:rPr>
                <w:rFonts w:ascii="宋体" w:hAnsi="宋体" w:cs="微软雅黑"/>
                <w:szCs w:val="21"/>
              </w:rPr>
            </w:pPr>
            <w:r>
              <w:rPr>
                <w:rFonts w:hint="eastAsia" w:ascii="宋体" w:hAnsi="宋体" w:cs="微软雅黑"/>
                <w:szCs w:val="21"/>
              </w:rPr>
              <w:t>2.11 中英文输入及操作提示,全触屏操作，中文输入支持手写和拼音、五笔输入法；</w:t>
            </w:r>
          </w:p>
          <w:p>
            <w:pPr>
              <w:spacing w:line="400" w:lineRule="exact"/>
              <w:rPr>
                <w:rFonts w:ascii="宋体" w:hAnsi="宋体" w:cs="微软雅黑"/>
                <w:szCs w:val="21"/>
              </w:rPr>
            </w:pPr>
            <w:r>
              <w:rPr>
                <w:rFonts w:hint="eastAsia" w:ascii="宋体" w:hAnsi="宋体" w:cs="微软雅黑"/>
                <w:szCs w:val="21"/>
              </w:rPr>
              <w:t>三、技术及性能：</w:t>
            </w:r>
          </w:p>
          <w:p>
            <w:pPr>
              <w:spacing w:line="400" w:lineRule="exact"/>
              <w:rPr>
                <w:rFonts w:ascii="宋体" w:hAnsi="宋体" w:cs="微软雅黑"/>
                <w:szCs w:val="21"/>
              </w:rPr>
            </w:pPr>
            <w:r>
              <w:rPr>
                <w:rFonts w:hint="eastAsia" w:ascii="宋体" w:hAnsi="宋体" w:cs="微软雅黑"/>
                <w:szCs w:val="21"/>
              </w:rPr>
              <w:t>3.1  A/D转换：24bit</w:t>
            </w:r>
          </w:p>
          <w:p>
            <w:pPr>
              <w:spacing w:line="400" w:lineRule="exact"/>
              <w:rPr>
                <w:rFonts w:ascii="宋体" w:hAnsi="宋体" w:cs="微软雅黑"/>
                <w:szCs w:val="21"/>
              </w:rPr>
            </w:pPr>
            <w:r>
              <w:rPr>
                <w:rFonts w:hint="eastAsia" w:ascii="宋体" w:hAnsi="宋体"/>
                <w:szCs w:val="21"/>
              </w:rPr>
              <w:t>★</w:t>
            </w:r>
            <w:r>
              <w:rPr>
                <w:rFonts w:hint="eastAsia" w:ascii="宋体" w:hAnsi="宋体" w:cs="微软雅黑"/>
                <w:szCs w:val="21"/>
              </w:rPr>
              <w:t>3.2 采样率：</w:t>
            </w:r>
            <w:r>
              <w:rPr>
                <w:rFonts w:ascii="宋体" w:hAnsi="宋体" w:cs="微软雅黑"/>
                <w:szCs w:val="21"/>
              </w:rPr>
              <w:t>32000</w:t>
            </w:r>
            <w:r>
              <w:rPr>
                <w:rFonts w:hint="eastAsia" w:ascii="宋体" w:hAnsi="宋体" w:cs="微软雅黑"/>
                <w:szCs w:val="21"/>
              </w:rPr>
              <w:t>Hz</w:t>
            </w:r>
          </w:p>
          <w:p>
            <w:pPr>
              <w:spacing w:line="400" w:lineRule="exact"/>
              <w:rPr>
                <w:rFonts w:ascii="宋体" w:hAnsi="宋体" w:cs="微软雅黑"/>
                <w:szCs w:val="21"/>
              </w:rPr>
            </w:pPr>
            <w:r>
              <w:rPr>
                <w:rFonts w:hint="eastAsia" w:ascii="宋体" w:hAnsi="宋体" w:cs="微软雅黑"/>
                <w:szCs w:val="21"/>
              </w:rPr>
              <w:t>3.3  灵敏度选择：2.5、5、10、20mm/mV±2%</w:t>
            </w:r>
          </w:p>
          <w:p>
            <w:pPr>
              <w:spacing w:line="400" w:lineRule="exact"/>
              <w:rPr>
                <w:rFonts w:ascii="宋体" w:hAnsi="宋体" w:cs="微软雅黑"/>
                <w:szCs w:val="21"/>
              </w:rPr>
            </w:pPr>
            <w:r>
              <w:rPr>
                <w:rFonts w:hint="eastAsia" w:ascii="宋体" w:hAnsi="宋体" w:cs="微软雅黑"/>
                <w:szCs w:val="21"/>
              </w:rPr>
              <w:t>3.4  抗干扰滤波：具有交流滤波、肌电滤波、基线漂移滤波、低通滤波功能</w:t>
            </w:r>
          </w:p>
          <w:p>
            <w:pPr>
              <w:spacing w:line="400" w:lineRule="exact"/>
              <w:rPr>
                <w:rFonts w:ascii="宋体" w:hAnsi="宋体" w:cs="微软雅黑"/>
                <w:szCs w:val="21"/>
              </w:rPr>
            </w:pPr>
            <w:r>
              <w:rPr>
                <w:rFonts w:hint="eastAsia" w:ascii="宋体" w:hAnsi="宋体" w:cs="微软雅黑"/>
                <w:szCs w:val="21"/>
              </w:rPr>
              <w:t>3.6  自诊断功能：具有设备自诊断及故障提示功能</w:t>
            </w:r>
          </w:p>
          <w:p>
            <w:pPr>
              <w:spacing w:line="400" w:lineRule="exact"/>
              <w:rPr>
                <w:rFonts w:ascii="宋体" w:hAnsi="宋体" w:cs="微软雅黑"/>
                <w:szCs w:val="21"/>
              </w:rPr>
            </w:pPr>
            <w:r>
              <w:rPr>
                <w:rFonts w:hint="eastAsia" w:ascii="宋体" w:hAnsi="宋体" w:cs="微软雅黑"/>
                <w:szCs w:val="21"/>
              </w:rPr>
              <w:t>3.7  支持心脏起搏信号检测</w:t>
            </w:r>
          </w:p>
          <w:p>
            <w:pPr>
              <w:spacing w:line="400" w:lineRule="exact"/>
              <w:rPr>
                <w:rFonts w:ascii="宋体" w:hAnsi="宋体" w:cs="微软雅黑"/>
                <w:szCs w:val="21"/>
              </w:rPr>
            </w:pPr>
            <w:r>
              <w:rPr>
                <w:rFonts w:hint="eastAsia" w:ascii="宋体" w:hAnsi="宋体" w:cs="微软雅黑"/>
                <w:szCs w:val="21"/>
              </w:rPr>
              <w:t>3.8  支持预采集、实时采集、触发采集、周期采集等多种采集方式</w:t>
            </w:r>
          </w:p>
          <w:p>
            <w:pPr>
              <w:spacing w:line="400" w:lineRule="exact"/>
              <w:rPr>
                <w:rFonts w:ascii="宋体" w:hAnsi="宋体" w:cs="微软雅黑"/>
                <w:szCs w:val="21"/>
              </w:rPr>
            </w:pPr>
            <w:r>
              <w:rPr>
                <w:rFonts w:hint="eastAsia" w:ascii="宋体" w:hAnsi="宋体" w:cs="微软雅黑"/>
                <w:szCs w:val="21"/>
              </w:rPr>
              <w:t>3.9  本机支持有线、无线WiFi方式连接互联网；</w:t>
            </w:r>
          </w:p>
          <w:p>
            <w:pPr>
              <w:spacing w:line="400" w:lineRule="exact"/>
              <w:rPr>
                <w:rFonts w:ascii="宋体" w:hAnsi="宋体" w:cs="微软雅黑"/>
                <w:szCs w:val="21"/>
              </w:rPr>
            </w:pPr>
            <w:r>
              <w:rPr>
                <w:rFonts w:hint="eastAsia" w:ascii="宋体" w:hAnsi="宋体" w:cs="微软雅黑"/>
                <w:szCs w:val="21"/>
              </w:rPr>
              <w:t>四、存储器</w:t>
            </w:r>
          </w:p>
          <w:p>
            <w:pPr>
              <w:spacing w:line="400" w:lineRule="exact"/>
              <w:rPr>
                <w:rFonts w:ascii="宋体" w:hAnsi="宋体" w:cs="微软雅黑"/>
                <w:szCs w:val="21"/>
              </w:rPr>
            </w:pPr>
            <w:r>
              <w:rPr>
                <w:rFonts w:hint="eastAsia" w:ascii="宋体" w:hAnsi="宋体" w:cs="微软雅黑"/>
                <w:szCs w:val="21"/>
              </w:rPr>
              <w:t>4.1  设备内置存储器，本机可存储≥1000例</w:t>
            </w:r>
          </w:p>
          <w:p>
            <w:pPr>
              <w:spacing w:line="400" w:lineRule="exact"/>
              <w:rPr>
                <w:rFonts w:ascii="宋体" w:hAnsi="宋体" w:cs="微软雅黑"/>
                <w:szCs w:val="21"/>
              </w:rPr>
            </w:pPr>
            <w:r>
              <w:rPr>
                <w:rFonts w:hint="eastAsia" w:ascii="宋体" w:hAnsi="宋体" w:cs="微软雅黑"/>
                <w:szCs w:val="21"/>
              </w:rPr>
              <w:t>4.2  支持外接U盘、SD卡扩展存储空间</w:t>
            </w:r>
          </w:p>
          <w:p>
            <w:pPr>
              <w:spacing w:line="400" w:lineRule="exact"/>
              <w:rPr>
                <w:rFonts w:ascii="宋体" w:hAnsi="宋体" w:cs="微软雅黑"/>
                <w:szCs w:val="21"/>
              </w:rPr>
            </w:pPr>
            <w:r>
              <w:rPr>
                <w:rFonts w:hint="eastAsia" w:ascii="宋体" w:hAnsi="宋体" w:cs="微软雅黑"/>
                <w:szCs w:val="21"/>
              </w:rPr>
              <w:t>4.3  数据储存格式：pdf、png、ZQECG；</w:t>
            </w:r>
          </w:p>
          <w:p>
            <w:pPr>
              <w:spacing w:line="400" w:lineRule="exact"/>
              <w:rPr>
                <w:rFonts w:ascii="宋体" w:hAnsi="宋体" w:cs="微软雅黑"/>
                <w:szCs w:val="21"/>
              </w:rPr>
            </w:pPr>
            <w:r>
              <w:rPr>
                <w:rFonts w:hint="eastAsia" w:ascii="宋体" w:hAnsi="宋体" w:cs="微软雅黑"/>
                <w:szCs w:val="21"/>
              </w:rPr>
              <w:t>五、 外观：</w:t>
            </w:r>
          </w:p>
          <w:p>
            <w:pPr>
              <w:spacing w:line="400" w:lineRule="exact"/>
              <w:rPr>
                <w:rFonts w:ascii="宋体" w:hAnsi="宋体" w:cs="微软雅黑"/>
                <w:szCs w:val="21"/>
              </w:rPr>
            </w:pPr>
            <w:r>
              <w:rPr>
                <w:rFonts w:hint="eastAsia" w:ascii="宋体" w:hAnsi="宋体"/>
                <w:szCs w:val="21"/>
              </w:rPr>
              <w:t>★</w:t>
            </w:r>
            <w:r>
              <w:rPr>
                <w:rFonts w:hint="eastAsia" w:ascii="宋体" w:hAnsi="宋体" w:cs="微软雅黑"/>
                <w:szCs w:val="21"/>
              </w:rPr>
              <w:t>5.1  10.4英寸1024*768点彩色LED触摸屏</w:t>
            </w:r>
          </w:p>
          <w:p>
            <w:pPr>
              <w:spacing w:line="400" w:lineRule="exact"/>
              <w:rPr>
                <w:rFonts w:ascii="宋体" w:hAnsi="宋体" w:cs="微软雅黑"/>
                <w:szCs w:val="21"/>
              </w:rPr>
            </w:pPr>
            <w:r>
              <w:rPr>
                <w:rFonts w:hint="eastAsia" w:ascii="宋体" w:hAnsi="宋体" w:cs="微软雅黑"/>
                <w:szCs w:val="21"/>
              </w:rPr>
              <w:t>5.3  显示信息：同屏显示12道心电波形</w:t>
            </w:r>
          </w:p>
          <w:p>
            <w:pPr>
              <w:spacing w:line="400" w:lineRule="exact"/>
              <w:rPr>
                <w:rFonts w:ascii="宋体" w:hAnsi="宋体" w:cs="微软雅黑"/>
                <w:szCs w:val="21"/>
              </w:rPr>
            </w:pPr>
            <w:r>
              <w:rPr>
                <w:rFonts w:hint="eastAsia" w:ascii="宋体" w:hAnsi="宋体" w:cs="微软雅黑"/>
                <w:szCs w:val="21"/>
              </w:rPr>
              <w:t>5.4  显示内容包含波形、心率、导联、走纸速度、增益、滤波器、时间、电池电量指示、输入法、文件、信息提示区、患者信息等</w:t>
            </w:r>
          </w:p>
          <w:p>
            <w:pPr>
              <w:spacing w:line="400" w:lineRule="exact"/>
              <w:rPr>
                <w:rFonts w:ascii="宋体" w:hAnsi="宋体" w:cs="微软雅黑"/>
                <w:szCs w:val="21"/>
              </w:rPr>
            </w:pPr>
            <w:r>
              <w:rPr>
                <w:rFonts w:hint="eastAsia" w:ascii="宋体" w:hAnsi="宋体" w:cs="微软雅黑"/>
                <w:szCs w:val="21"/>
              </w:rPr>
              <w:t>5.5设有导联放置指示，方便护士及实习医生使用；</w:t>
            </w:r>
          </w:p>
          <w:p>
            <w:pPr>
              <w:spacing w:line="400" w:lineRule="exact"/>
              <w:rPr>
                <w:rFonts w:ascii="宋体" w:hAnsi="宋体" w:cs="微软雅黑"/>
                <w:szCs w:val="21"/>
              </w:rPr>
            </w:pPr>
            <w:r>
              <w:rPr>
                <w:rFonts w:hint="eastAsia" w:ascii="宋体" w:hAnsi="宋体" w:cs="微软雅黑"/>
                <w:szCs w:val="21"/>
              </w:rPr>
              <w:t>六、记录器：</w:t>
            </w:r>
          </w:p>
          <w:p>
            <w:pPr>
              <w:spacing w:line="400" w:lineRule="exact"/>
              <w:rPr>
                <w:rFonts w:ascii="宋体" w:hAnsi="宋体" w:cs="微软雅黑"/>
                <w:szCs w:val="21"/>
              </w:rPr>
            </w:pPr>
            <w:r>
              <w:rPr>
                <w:rFonts w:hint="eastAsia" w:ascii="宋体" w:hAnsi="宋体"/>
                <w:szCs w:val="21"/>
              </w:rPr>
              <w:t>★</w:t>
            </w:r>
            <w:r>
              <w:rPr>
                <w:rFonts w:hint="eastAsia" w:ascii="宋体" w:hAnsi="宋体" w:cs="微软雅黑"/>
                <w:szCs w:val="21"/>
              </w:rPr>
              <w:t>6.1  轴联动热敏打印机技术 multi-axisTP®，可确保在任何环境（运动中的救护车、不平整的野外场地）都能平滑清晰地记录每一份心电报告</w:t>
            </w:r>
          </w:p>
          <w:p>
            <w:pPr>
              <w:spacing w:line="400" w:lineRule="exact"/>
              <w:rPr>
                <w:rFonts w:ascii="宋体" w:hAnsi="宋体" w:cs="微软雅黑"/>
                <w:szCs w:val="21"/>
              </w:rPr>
            </w:pPr>
            <w:r>
              <w:rPr>
                <w:rFonts w:hint="eastAsia" w:ascii="宋体" w:hAnsi="宋体" w:cs="微软雅黑"/>
                <w:szCs w:val="21"/>
              </w:rPr>
              <w:t>6.2  走纸速度：5、6.25、12.5、25、50 mm/s ±2%</w:t>
            </w:r>
          </w:p>
          <w:p>
            <w:pPr>
              <w:spacing w:line="400" w:lineRule="exact"/>
              <w:rPr>
                <w:rFonts w:ascii="宋体" w:hAnsi="宋体" w:cs="微软雅黑"/>
                <w:szCs w:val="21"/>
              </w:rPr>
            </w:pPr>
            <w:r>
              <w:rPr>
                <w:rFonts w:hint="eastAsia" w:ascii="宋体" w:hAnsi="宋体" w:cs="微软雅黑"/>
                <w:szCs w:val="21"/>
              </w:rPr>
              <w:t xml:space="preserve">6.3  记录模式：手动/自动打印：3CH、3CH+1R、3CH+3R、6CH、6CH+1R、12CH </w:t>
            </w:r>
          </w:p>
          <w:p>
            <w:pPr>
              <w:spacing w:line="400" w:lineRule="exact"/>
              <w:rPr>
                <w:rFonts w:ascii="宋体" w:hAnsi="宋体" w:cs="微软雅黑"/>
                <w:szCs w:val="21"/>
              </w:rPr>
            </w:pPr>
            <w:r>
              <w:rPr>
                <w:rFonts w:hint="eastAsia" w:ascii="宋体" w:hAnsi="宋体" w:cs="微软雅黑"/>
                <w:szCs w:val="21"/>
              </w:rPr>
              <w:t>6.4  记录纸规格：折叠纸，</w:t>
            </w:r>
            <w:r>
              <w:rPr>
                <w:rFonts w:ascii="宋体" w:hAnsi="宋体" w:cs="微软雅黑"/>
                <w:szCs w:val="21"/>
              </w:rPr>
              <w:t>110</w:t>
            </w:r>
            <w:r>
              <w:rPr>
                <w:rFonts w:hint="eastAsia" w:ascii="宋体" w:hAnsi="宋体" w:cs="微软雅黑"/>
                <w:szCs w:val="21"/>
              </w:rPr>
              <w:t>mm</w:t>
            </w:r>
          </w:p>
          <w:p>
            <w:pPr>
              <w:spacing w:line="400" w:lineRule="exact"/>
              <w:rPr>
                <w:rFonts w:ascii="宋体" w:hAnsi="宋体" w:cs="微软雅黑"/>
                <w:szCs w:val="21"/>
              </w:rPr>
            </w:pPr>
            <w:r>
              <w:rPr>
                <w:rFonts w:hint="eastAsia" w:ascii="宋体" w:hAnsi="宋体" w:cs="微软雅黑"/>
                <w:szCs w:val="21"/>
              </w:rPr>
              <w:t>6.5  打印方式：实时同步或连续12道心电波形打印</w:t>
            </w:r>
          </w:p>
          <w:p>
            <w:pPr>
              <w:spacing w:line="400" w:lineRule="exact"/>
              <w:rPr>
                <w:rFonts w:ascii="宋体" w:hAnsi="宋体" w:cs="微软雅黑"/>
                <w:szCs w:val="21"/>
              </w:rPr>
            </w:pPr>
            <w:r>
              <w:rPr>
                <w:rFonts w:hint="eastAsia" w:ascii="宋体" w:hAnsi="宋体" w:cs="微软雅黑"/>
                <w:szCs w:val="21"/>
              </w:rPr>
              <w:t>6.6  记录内容：心电波形、分析结果、明尼苏达码以及导联名称、走纸速度、增益、滤波器、日期、患者信息、标记等</w:t>
            </w:r>
          </w:p>
          <w:p>
            <w:pPr>
              <w:spacing w:line="400" w:lineRule="exact"/>
              <w:rPr>
                <w:rFonts w:ascii="宋体" w:hAnsi="宋体" w:cs="微软雅黑"/>
                <w:szCs w:val="21"/>
              </w:rPr>
            </w:pPr>
            <w:r>
              <w:rPr>
                <w:rFonts w:hint="eastAsia" w:ascii="宋体" w:hAnsi="宋体" w:cs="微软雅黑"/>
                <w:szCs w:val="21"/>
              </w:rPr>
              <w:t>6.7  支持直接外接激光打印机，通过A4纸打印心电波形和报告</w:t>
            </w:r>
          </w:p>
          <w:p>
            <w:pPr>
              <w:spacing w:line="400" w:lineRule="exact"/>
              <w:rPr>
                <w:rFonts w:ascii="宋体" w:hAnsi="宋体" w:cs="微软雅黑"/>
                <w:szCs w:val="21"/>
              </w:rPr>
            </w:pPr>
            <w:r>
              <w:rPr>
                <w:rFonts w:hint="eastAsia" w:ascii="宋体" w:hAnsi="宋体" w:cs="微软雅黑"/>
                <w:szCs w:val="21"/>
              </w:rPr>
              <w:t>6.8  具备在无网格纸上打印网格功能</w:t>
            </w:r>
          </w:p>
          <w:p>
            <w:pPr>
              <w:spacing w:line="400" w:lineRule="exact"/>
              <w:rPr>
                <w:rFonts w:ascii="宋体" w:hAnsi="宋体" w:cs="微软雅黑"/>
                <w:szCs w:val="21"/>
              </w:rPr>
            </w:pPr>
            <w:r>
              <w:rPr>
                <w:rFonts w:hint="eastAsia" w:ascii="宋体" w:hAnsi="宋体" w:cs="微软雅黑"/>
                <w:szCs w:val="21"/>
              </w:rPr>
              <w:t>6.9  支持60s波形冻结与回放。</w:t>
            </w:r>
          </w:p>
          <w:p>
            <w:pPr>
              <w:spacing w:line="400" w:lineRule="exact"/>
              <w:rPr>
                <w:rFonts w:ascii="宋体" w:hAnsi="宋体" w:cs="微软雅黑"/>
                <w:szCs w:val="21"/>
              </w:rPr>
            </w:pPr>
            <w:r>
              <w:rPr>
                <w:rFonts w:hint="eastAsia" w:ascii="宋体" w:hAnsi="宋体" w:cs="微软雅黑"/>
                <w:szCs w:val="21"/>
              </w:rPr>
              <w:t>6.10 支持已保存病例的电影回放和选择任意一段波形打印。</w:t>
            </w:r>
          </w:p>
          <w:p>
            <w:pPr>
              <w:spacing w:line="400" w:lineRule="exact"/>
              <w:rPr>
                <w:rFonts w:ascii="宋体" w:hAnsi="宋体" w:cs="微软雅黑"/>
                <w:szCs w:val="21"/>
              </w:rPr>
            </w:pPr>
            <w:r>
              <w:rPr>
                <w:rFonts w:hint="eastAsia" w:ascii="宋体" w:hAnsi="宋体" w:cs="微软雅黑"/>
                <w:szCs w:val="21"/>
              </w:rPr>
              <w:t>6.11 支持病例重新编辑与重新诊断。</w:t>
            </w:r>
          </w:p>
          <w:p>
            <w:pPr>
              <w:spacing w:line="400" w:lineRule="exact"/>
              <w:rPr>
                <w:rFonts w:ascii="宋体" w:hAnsi="宋体" w:cs="微软雅黑"/>
                <w:szCs w:val="21"/>
              </w:rPr>
            </w:pPr>
            <w:r>
              <w:rPr>
                <w:rFonts w:hint="eastAsia" w:ascii="宋体" w:hAnsi="宋体" w:cs="微软雅黑"/>
                <w:szCs w:val="21"/>
              </w:rPr>
              <w:t>6.12 支持诊断结论模板化病例输入，只需输入相关病例首字母即可选择相应病例</w:t>
            </w:r>
          </w:p>
          <w:p>
            <w:pPr>
              <w:spacing w:line="400" w:lineRule="exact"/>
              <w:rPr>
                <w:rFonts w:ascii="宋体" w:hAnsi="宋体" w:cs="微软雅黑"/>
                <w:szCs w:val="21"/>
              </w:rPr>
            </w:pPr>
            <w:r>
              <w:rPr>
                <w:rFonts w:hint="eastAsia" w:ascii="宋体" w:hAnsi="宋体" w:cs="微软雅黑"/>
                <w:szCs w:val="21"/>
              </w:rPr>
              <w:t>6.13 支持自定义病例模板的添加；</w:t>
            </w:r>
          </w:p>
          <w:p>
            <w:pPr>
              <w:spacing w:line="400" w:lineRule="exact"/>
              <w:rPr>
                <w:rFonts w:ascii="宋体" w:hAnsi="宋体" w:cs="微软雅黑"/>
                <w:szCs w:val="21"/>
              </w:rPr>
            </w:pPr>
            <w:r>
              <w:rPr>
                <w:rFonts w:hint="eastAsia" w:ascii="宋体" w:hAnsi="宋体" w:cs="微软雅黑"/>
                <w:szCs w:val="21"/>
              </w:rPr>
              <w:t>七、外部输入接口：</w:t>
            </w:r>
          </w:p>
          <w:p>
            <w:pPr>
              <w:spacing w:line="400" w:lineRule="exact"/>
              <w:rPr>
                <w:rFonts w:ascii="宋体" w:hAnsi="宋体" w:cs="微软雅黑"/>
                <w:szCs w:val="21"/>
              </w:rPr>
            </w:pPr>
            <w:r>
              <w:rPr>
                <w:rFonts w:hint="eastAsia" w:ascii="宋体" w:hAnsi="宋体" w:cs="微软雅黑"/>
                <w:szCs w:val="21"/>
              </w:rPr>
              <w:t>7.1  USB接口（2个），SD卡接口（1个），网络接口（1个），导联接口（1个）</w:t>
            </w:r>
          </w:p>
          <w:p>
            <w:pPr>
              <w:spacing w:line="400" w:lineRule="exact"/>
              <w:rPr>
                <w:rFonts w:ascii="宋体" w:hAnsi="宋体" w:cs="微软雅黑"/>
                <w:szCs w:val="21"/>
              </w:rPr>
            </w:pPr>
            <w:r>
              <w:rPr>
                <w:rFonts w:hint="eastAsia" w:ascii="宋体" w:hAnsi="宋体" w:cs="微软雅黑"/>
                <w:szCs w:val="21"/>
              </w:rPr>
              <w:t>7.2  支持外接条码扫描仪和磁卡读卡器，支持即插即用</w:t>
            </w:r>
          </w:p>
          <w:p>
            <w:pPr>
              <w:spacing w:line="400" w:lineRule="exact"/>
              <w:rPr>
                <w:rFonts w:ascii="宋体" w:hAnsi="宋体" w:cs="微软雅黑"/>
                <w:szCs w:val="21"/>
              </w:rPr>
            </w:pPr>
            <w:r>
              <w:rPr>
                <w:rFonts w:hint="eastAsia" w:ascii="宋体" w:hAnsi="宋体" w:cs="微软雅黑"/>
                <w:szCs w:val="21"/>
              </w:rPr>
              <w:t>7.3  支持输出PDF\ PNG\ECG\JPG（选配）\XML（选配）\SCP（选配）\DICOM（选配）格式标准协议，满足医院联网需求</w:t>
            </w:r>
          </w:p>
          <w:p>
            <w:pPr>
              <w:spacing w:line="400" w:lineRule="exact"/>
              <w:rPr>
                <w:rFonts w:ascii="宋体" w:hAnsi="宋体" w:cs="微软雅黑"/>
                <w:szCs w:val="21"/>
              </w:rPr>
            </w:pPr>
            <w:r>
              <w:rPr>
                <w:rFonts w:hint="eastAsia" w:ascii="宋体" w:hAnsi="宋体" w:cs="微软雅黑"/>
                <w:szCs w:val="21"/>
              </w:rPr>
              <w:t>7.4 支持本机直接接入第三方网络系统、医院的HIS\EMR等系统</w:t>
            </w:r>
          </w:p>
          <w:p>
            <w:pPr>
              <w:spacing w:line="400" w:lineRule="exact"/>
              <w:rPr>
                <w:rFonts w:ascii="宋体" w:hAnsi="宋体" w:cs="微软雅黑"/>
                <w:szCs w:val="21"/>
              </w:rPr>
            </w:pPr>
            <w:r>
              <w:rPr>
                <w:rFonts w:hint="eastAsia" w:ascii="宋体" w:hAnsi="宋体"/>
                <w:szCs w:val="21"/>
              </w:rPr>
              <w:t>★</w:t>
            </w:r>
            <w:r>
              <w:rPr>
                <w:rFonts w:hint="eastAsia" w:ascii="宋体" w:hAnsi="宋体" w:cs="微软雅黑"/>
                <w:szCs w:val="21"/>
              </w:rPr>
              <w:t>7.5 支持本机直接Email发送PNG、PDF格式报告，方便异地远程会诊；</w:t>
            </w:r>
          </w:p>
          <w:p>
            <w:pPr>
              <w:spacing w:line="400" w:lineRule="exact"/>
              <w:rPr>
                <w:rFonts w:ascii="宋体" w:hAnsi="宋体" w:cs="微软雅黑"/>
                <w:szCs w:val="21"/>
              </w:rPr>
            </w:pPr>
            <w:r>
              <w:rPr>
                <w:rFonts w:hint="eastAsia" w:ascii="宋体" w:hAnsi="宋体" w:cs="微软雅黑"/>
                <w:szCs w:val="21"/>
              </w:rPr>
              <w:t>八、电源：交直流两用　自动转换</w:t>
            </w:r>
          </w:p>
          <w:p>
            <w:pPr>
              <w:spacing w:line="400" w:lineRule="exact"/>
              <w:rPr>
                <w:rFonts w:ascii="宋体" w:hAnsi="宋体" w:cs="微软雅黑"/>
                <w:szCs w:val="21"/>
              </w:rPr>
            </w:pPr>
            <w:r>
              <w:rPr>
                <w:rFonts w:hint="eastAsia" w:ascii="宋体" w:hAnsi="宋体" w:cs="微软雅黑"/>
                <w:szCs w:val="21"/>
              </w:rPr>
              <w:t>8.1  交流电源：交流 220V  50Hz</w:t>
            </w:r>
          </w:p>
          <w:p>
            <w:pPr>
              <w:spacing w:line="400" w:lineRule="exact"/>
              <w:rPr>
                <w:rFonts w:ascii="宋体" w:hAnsi="宋体" w:cs="微软雅黑"/>
                <w:szCs w:val="21"/>
              </w:rPr>
            </w:pPr>
            <w:r>
              <w:rPr>
                <w:rFonts w:hint="eastAsia" w:ascii="宋体" w:hAnsi="宋体" w:cs="微软雅黑"/>
                <w:szCs w:val="21"/>
              </w:rPr>
              <w:t>8.2  直流电源：内置可充电锂离子电池，充满电后可连续工作3小时以上；</w:t>
            </w:r>
          </w:p>
          <w:p>
            <w:pPr>
              <w:spacing w:line="400" w:lineRule="exact"/>
              <w:rPr>
                <w:rFonts w:ascii="宋体" w:hAnsi="宋体" w:cs="微软雅黑"/>
                <w:szCs w:val="21"/>
              </w:rPr>
            </w:pPr>
            <w:r>
              <w:rPr>
                <w:rFonts w:hint="eastAsia" w:ascii="宋体" w:hAnsi="宋体" w:cs="微软雅黑"/>
                <w:szCs w:val="21"/>
              </w:rPr>
              <w:t>九、配置：</w:t>
            </w:r>
          </w:p>
          <w:p>
            <w:pPr>
              <w:spacing w:line="400" w:lineRule="exact"/>
              <w:rPr>
                <w:rFonts w:ascii="宋体" w:hAnsi="宋体" w:cs="微软雅黑"/>
                <w:szCs w:val="21"/>
              </w:rPr>
            </w:pPr>
            <w:r>
              <w:rPr>
                <w:rFonts w:hint="eastAsia" w:ascii="宋体" w:hAnsi="宋体" w:cs="微软雅黑"/>
                <w:szCs w:val="21"/>
              </w:rPr>
              <w:t>9.1. 标准配置：主机1台，导联线1条，肢电极4个，胸电极6个，热敏打印纸1本，电源线1根，接地线1根，其它必要辅件一套；</w:t>
            </w:r>
          </w:p>
          <w:p>
            <w:pPr>
              <w:spacing w:line="400" w:lineRule="exact"/>
              <w:rPr>
                <w:rFonts w:ascii="宋体" w:hAnsi="宋体" w:cs="微软雅黑"/>
                <w:szCs w:val="21"/>
              </w:rPr>
            </w:pPr>
            <w:r>
              <w:rPr>
                <w:rFonts w:hint="eastAsia" w:ascii="宋体" w:hAnsi="宋体" w:cs="微软雅黑"/>
                <w:szCs w:val="21"/>
              </w:rPr>
              <w:t>十、分析扩展</w:t>
            </w:r>
          </w:p>
          <w:p>
            <w:pPr>
              <w:spacing w:line="400" w:lineRule="exact"/>
              <w:rPr>
                <w:rFonts w:ascii="宋体" w:hAnsi="宋体" w:cs="微软雅黑"/>
                <w:szCs w:val="21"/>
              </w:rPr>
            </w:pPr>
            <w:r>
              <w:rPr>
                <w:rFonts w:hint="eastAsia" w:ascii="宋体" w:hAnsi="宋体"/>
                <w:szCs w:val="21"/>
              </w:rPr>
              <w:t>★</w:t>
            </w:r>
            <w:r>
              <w:rPr>
                <w:rFonts w:hint="eastAsia" w:ascii="宋体" w:hAnsi="宋体" w:cs="微软雅黑"/>
                <w:szCs w:val="21"/>
              </w:rPr>
              <w:t>支持GLASGOW大学心电算法，可根据患者年龄、性别、种族、用药做出精确诊断，对急性心肌缺血、室颤室速、极度心动过缓、恶性心律失常等能进行有效判断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r>
              <w:rPr>
                <w:rFonts w:hint="eastAsia" w:ascii="宋体" w:hAnsi="宋体" w:cs="微软雅黑"/>
                <w:szCs w:val="21"/>
              </w:rPr>
              <w:t>6</w:t>
            </w:r>
          </w:p>
        </w:tc>
        <w:tc>
          <w:tcPr>
            <w:tcW w:w="803" w:type="dxa"/>
          </w:tcPr>
          <w:p>
            <w:pPr>
              <w:spacing w:line="400" w:lineRule="exact"/>
              <w:jc w:val="center"/>
              <w:rPr>
                <w:rFonts w:ascii="宋体" w:hAnsi="宋体" w:cs="微软雅黑"/>
                <w:szCs w:val="21"/>
              </w:rPr>
            </w:pPr>
          </w:p>
          <w:p>
            <w:pPr>
              <w:spacing w:line="400" w:lineRule="exact"/>
              <w:jc w:val="center"/>
              <w:rPr>
                <w:rFonts w:ascii="宋体" w:hAnsi="宋体" w:cs="微软雅黑"/>
                <w:szCs w:val="21"/>
              </w:rPr>
            </w:pPr>
          </w:p>
          <w:p>
            <w:pPr>
              <w:spacing w:line="400" w:lineRule="exact"/>
              <w:jc w:val="center"/>
              <w:rPr>
                <w:rFonts w:ascii="宋体" w:hAnsi="宋体" w:cs="微软雅黑"/>
                <w:szCs w:val="21"/>
              </w:rPr>
            </w:pPr>
          </w:p>
          <w:p>
            <w:pPr>
              <w:spacing w:line="400" w:lineRule="exact"/>
              <w:jc w:val="center"/>
              <w:rPr>
                <w:rFonts w:ascii="宋体" w:hAnsi="宋体" w:cs="微软雅黑"/>
                <w:szCs w:val="21"/>
              </w:rPr>
            </w:pPr>
          </w:p>
          <w:p>
            <w:pPr>
              <w:spacing w:line="400" w:lineRule="exact"/>
              <w:jc w:val="center"/>
              <w:rPr>
                <w:rFonts w:ascii="宋体" w:hAnsi="宋体" w:cs="微软雅黑"/>
                <w:szCs w:val="21"/>
              </w:rPr>
            </w:pPr>
          </w:p>
          <w:p>
            <w:pPr>
              <w:spacing w:line="400" w:lineRule="exact"/>
              <w:jc w:val="center"/>
              <w:rPr>
                <w:rFonts w:ascii="宋体" w:hAnsi="宋体" w:cs="微软雅黑"/>
                <w:szCs w:val="21"/>
              </w:rPr>
            </w:pPr>
          </w:p>
          <w:p>
            <w:pPr>
              <w:spacing w:line="400" w:lineRule="exact"/>
              <w:jc w:val="center"/>
              <w:rPr>
                <w:rFonts w:ascii="宋体" w:hAnsi="宋体" w:cs="微软雅黑"/>
                <w:szCs w:val="21"/>
              </w:rPr>
            </w:pPr>
          </w:p>
          <w:p>
            <w:pPr>
              <w:spacing w:line="400" w:lineRule="exact"/>
              <w:jc w:val="center"/>
              <w:rPr>
                <w:rFonts w:ascii="宋体" w:hAnsi="宋体" w:cs="微软雅黑"/>
                <w:szCs w:val="21"/>
              </w:rPr>
            </w:pPr>
            <w:r>
              <w:rPr>
                <w:rFonts w:hint="eastAsia" w:ascii="宋体" w:hAnsi="宋体" w:cs="微软雅黑"/>
                <w:szCs w:val="21"/>
              </w:rPr>
              <w:t>移</w:t>
            </w:r>
          </w:p>
          <w:p>
            <w:pPr>
              <w:spacing w:line="400" w:lineRule="exact"/>
              <w:jc w:val="center"/>
              <w:rPr>
                <w:rFonts w:ascii="宋体" w:hAnsi="宋体" w:cs="微软雅黑"/>
                <w:szCs w:val="21"/>
              </w:rPr>
            </w:pPr>
            <w:r>
              <w:rPr>
                <w:rFonts w:hint="eastAsia" w:ascii="宋体" w:hAnsi="宋体" w:cs="微软雅黑"/>
                <w:szCs w:val="21"/>
              </w:rPr>
              <w:t>动</w:t>
            </w:r>
          </w:p>
          <w:p>
            <w:pPr>
              <w:spacing w:line="400" w:lineRule="exact"/>
              <w:jc w:val="center"/>
              <w:rPr>
                <w:rFonts w:ascii="宋体" w:hAnsi="宋体" w:cs="微软雅黑"/>
                <w:szCs w:val="21"/>
              </w:rPr>
            </w:pPr>
            <w:r>
              <w:rPr>
                <w:rFonts w:hint="eastAsia" w:ascii="宋体" w:hAnsi="宋体" w:cs="微软雅黑"/>
                <w:szCs w:val="21"/>
              </w:rPr>
              <w:t>数</w:t>
            </w:r>
          </w:p>
          <w:p>
            <w:pPr>
              <w:spacing w:line="400" w:lineRule="exact"/>
              <w:jc w:val="center"/>
              <w:rPr>
                <w:rFonts w:ascii="宋体" w:hAnsi="宋体" w:cs="微软雅黑"/>
                <w:szCs w:val="21"/>
              </w:rPr>
            </w:pPr>
            <w:r>
              <w:rPr>
                <w:rFonts w:hint="eastAsia" w:ascii="宋体" w:hAnsi="宋体" w:cs="微软雅黑"/>
                <w:szCs w:val="21"/>
              </w:rPr>
              <w:t>字</w:t>
            </w:r>
          </w:p>
          <w:p>
            <w:pPr>
              <w:spacing w:line="400" w:lineRule="exact"/>
              <w:jc w:val="center"/>
              <w:rPr>
                <w:rFonts w:ascii="宋体" w:hAnsi="宋体" w:cs="微软雅黑"/>
                <w:szCs w:val="21"/>
              </w:rPr>
            </w:pPr>
            <w:r>
              <w:rPr>
                <w:rFonts w:hint="eastAsia" w:ascii="宋体" w:hAnsi="宋体" w:cs="微软雅黑"/>
                <w:szCs w:val="21"/>
              </w:rPr>
              <w:t>化</w:t>
            </w:r>
          </w:p>
          <w:p>
            <w:pPr>
              <w:spacing w:line="400" w:lineRule="exact"/>
              <w:jc w:val="center"/>
              <w:rPr>
                <w:rFonts w:ascii="宋体" w:hAnsi="宋体" w:cs="微软雅黑"/>
                <w:szCs w:val="21"/>
              </w:rPr>
            </w:pPr>
            <w:r>
              <w:rPr>
                <w:rFonts w:hint="eastAsia" w:ascii="宋体" w:hAnsi="宋体" w:cs="微软雅黑"/>
                <w:szCs w:val="21"/>
              </w:rPr>
              <w:t>X</w:t>
            </w:r>
          </w:p>
          <w:p>
            <w:pPr>
              <w:spacing w:line="400" w:lineRule="exact"/>
              <w:jc w:val="center"/>
              <w:rPr>
                <w:rFonts w:ascii="宋体" w:hAnsi="宋体" w:cs="微软雅黑"/>
                <w:szCs w:val="21"/>
              </w:rPr>
            </w:pPr>
            <w:r>
              <w:rPr>
                <w:rFonts w:hint="eastAsia" w:ascii="宋体" w:hAnsi="宋体" w:cs="微软雅黑"/>
                <w:szCs w:val="21"/>
              </w:rPr>
              <w:t>射</w:t>
            </w:r>
          </w:p>
          <w:p>
            <w:pPr>
              <w:spacing w:line="400" w:lineRule="exact"/>
              <w:jc w:val="center"/>
              <w:rPr>
                <w:rFonts w:ascii="宋体" w:hAnsi="宋体" w:cs="微软雅黑"/>
                <w:szCs w:val="21"/>
              </w:rPr>
            </w:pPr>
            <w:r>
              <w:rPr>
                <w:rFonts w:hint="eastAsia" w:ascii="宋体" w:hAnsi="宋体" w:cs="微软雅黑"/>
                <w:szCs w:val="21"/>
              </w:rPr>
              <w:t>线</w:t>
            </w:r>
          </w:p>
          <w:p>
            <w:pPr>
              <w:spacing w:line="400" w:lineRule="exact"/>
              <w:jc w:val="center"/>
              <w:rPr>
                <w:rFonts w:ascii="宋体" w:hAnsi="宋体" w:cs="微软雅黑"/>
                <w:szCs w:val="21"/>
              </w:rPr>
            </w:pPr>
            <w:r>
              <w:rPr>
                <w:rFonts w:hint="eastAsia" w:ascii="宋体" w:hAnsi="宋体" w:cs="微软雅黑"/>
                <w:szCs w:val="21"/>
              </w:rPr>
              <w:t>成</w:t>
            </w:r>
          </w:p>
          <w:p>
            <w:pPr>
              <w:spacing w:line="400" w:lineRule="exact"/>
              <w:jc w:val="center"/>
              <w:rPr>
                <w:rFonts w:ascii="宋体" w:hAnsi="宋体" w:cs="微软雅黑"/>
                <w:szCs w:val="21"/>
              </w:rPr>
            </w:pPr>
            <w:r>
              <w:rPr>
                <w:rFonts w:hint="eastAsia" w:ascii="宋体" w:hAnsi="宋体" w:cs="微软雅黑"/>
                <w:szCs w:val="21"/>
              </w:rPr>
              <w:t>像</w:t>
            </w:r>
          </w:p>
          <w:p>
            <w:pPr>
              <w:spacing w:line="400" w:lineRule="exact"/>
              <w:jc w:val="center"/>
              <w:rPr>
                <w:rFonts w:ascii="宋体" w:hAnsi="宋体" w:cs="微软雅黑"/>
                <w:szCs w:val="21"/>
              </w:rPr>
            </w:pPr>
            <w:r>
              <w:rPr>
                <w:rFonts w:hint="eastAsia" w:ascii="宋体" w:hAnsi="宋体" w:cs="微软雅黑"/>
                <w:szCs w:val="21"/>
              </w:rPr>
              <w:t>系</w:t>
            </w:r>
          </w:p>
          <w:p>
            <w:pPr>
              <w:spacing w:line="400" w:lineRule="exact"/>
              <w:jc w:val="center"/>
              <w:rPr>
                <w:rFonts w:ascii="宋体" w:hAnsi="宋体" w:cs="微软雅黑"/>
                <w:szCs w:val="21"/>
              </w:rPr>
            </w:pPr>
            <w:r>
              <w:rPr>
                <w:rFonts w:hint="eastAsia" w:ascii="宋体" w:hAnsi="宋体" w:cs="微软雅黑"/>
                <w:szCs w:val="21"/>
              </w:rPr>
              <w:t>统</w:t>
            </w:r>
          </w:p>
        </w:tc>
        <w:tc>
          <w:tcPr>
            <w:tcW w:w="878" w:type="dxa"/>
          </w:tcPr>
          <w:p>
            <w:pPr>
              <w:spacing w:line="400" w:lineRule="exact"/>
              <w:jc w:val="center"/>
              <w:rPr>
                <w:rFonts w:ascii="宋体" w:hAnsi="宋体" w:cs="微软雅黑"/>
                <w:szCs w:val="21"/>
              </w:rPr>
            </w:pPr>
          </w:p>
          <w:p>
            <w:pPr>
              <w:spacing w:line="400" w:lineRule="exact"/>
              <w:jc w:val="center"/>
              <w:rPr>
                <w:rFonts w:ascii="宋体" w:hAnsi="宋体" w:cs="微软雅黑"/>
                <w:szCs w:val="21"/>
              </w:rPr>
            </w:pPr>
          </w:p>
          <w:p>
            <w:pPr>
              <w:spacing w:line="400" w:lineRule="exact"/>
              <w:jc w:val="center"/>
              <w:rPr>
                <w:rFonts w:ascii="宋体" w:hAnsi="宋体" w:cs="微软雅黑"/>
                <w:szCs w:val="21"/>
              </w:rPr>
            </w:pPr>
          </w:p>
          <w:p>
            <w:pPr>
              <w:spacing w:line="400" w:lineRule="exact"/>
              <w:jc w:val="center"/>
              <w:rPr>
                <w:rFonts w:ascii="宋体" w:hAnsi="宋体" w:cs="微软雅黑"/>
                <w:szCs w:val="21"/>
              </w:rPr>
            </w:pPr>
          </w:p>
          <w:p>
            <w:pPr>
              <w:spacing w:line="400" w:lineRule="exact"/>
              <w:jc w:val="center"/>
              <w:rPr>
                <w:rFonts w:ascii="宋体" w:hAnsi="宋体" w:cs="微软雅黑"/>
                <w:szCs w:val="21"/>
              </w:rPr>
            </w:pPr>
          </w:p>
          <w:p>
            <w:pPr>
              <w:spacing w:line="400" w:lineRule="exact"/>
              <w:jc w:val="center"/>
              <w:rPr>
                <w:rFonts w:ascii="宋体" w:hAnsi="宋体" w:cs="微软雅黑"/>
                <w:szCs w:val="21"/>
              </w:rPr>
            </w:pPr>
          </w:p>
          <w:p>
            <w:pPr>
              <w:spacing w:line="400" w:lineRule="exact"/>
              <w:jc w:val="center"/>
              <w:rPr>
                <w:rFonts w:ascii="宋体" w:hAnsi="宋体" w:cs="微软雅黑"/>
                <w:szCs w:val="21"/>
              </w:rPr>
            </w:pPr>
          </w:p>
          <w:p>
            <w:pPr>
              <w:spacing w:line="400" w:lineRule="exact"/>
              <w:jc w:val="center"/>
              <w:rPr>
                <w:rFonts w:ascii="宋体" w:hAnsi="宋体" w:cs="微软雅黑"/>
                <w:szCs w:val="21"/>
              </w:rPr>
            </w:pPr>
          </w:p>
          <w:p>
            <w:pPr>
              <w:spacing w:line="400" w:lineRule="exact"/>
              <w:jc w:val="center"/>
              <w:rPr>
                <w:rFonts w:ascii="宋体" w:hAnsi="宋体" w:cs="微软雅黑"/>
                <w:szCs w:val="21"/>
              </w:rPr>
            </w:pPr>
          </w:p>
          <w:p>
            <w:pPr>
              <w:spacing w:line="400" w:lineRule="exact"/>
              <w:jc w:val="center"/>
              <w:rPr>
                <w:rFonts w:ascii="宋体" w:hAnsi="宋体" w:cs="微软雅黑"/>
                <w:szCs w:val="21"/>
              </w:rPr>
            </w:pPr>
          </w:p>
          <w:p>
            <w:pPr>
              <w:spacing w:line="400" w:lineRule="exact"/>
              <w:jc w:val="center"/>
              <w:rPr>
                <w:rFonts w:ascii="宋体" w:hAnsi="宋体" w:cs="微软雅黑"/>
                <w:szCs w:val="21"/>
              </w:rPr>
            </w:pPr>
          </w:p>
          <w:p>
            <w:pPr>
              <w:spacing w:line="400" w:lineRule="exact"/>
              <w:jc w:val="center"/>
              <w:rPr>
                <w:rFonts w:ascii="宋体" w:hAnsi="宋体" w:cs="微软雅黑"/>
                <w:szCs w:val="21"/>
              </w:rPr>
            </w:pPr>
          </w:p>
          <w:p>
            <w:pPr>
              <w:spacing w:line="400" w:lineRule="exact"/>
              <w:jc w:val="center"/>
              <w:rPr>
                <w:rFonts w:ascii="宋体" w:hAnsi="宋体" w:cs="微软雅黑"/>
                <w:szCs w:val="21"/>
              </w:rPr>
            </w:pPr>
          </w:p>
          <w:p>
            <w:pPr>
              <w:spacing w:line="400" w:lineRule="exact"/>
              <w:jc w:val="center"/>
              <w:rPr>
                <w:rFonts w:ascii="宋体" w:hAnsi="宋体" w:cs="微软雅黑"/>
                <w:szCs w:val="21"/>
              </w:rPr>
            </w:pPr>
            <w:r>
              <w:rPr>
                <w:rFonts w:hint="eastAsia" w:ascii="宋体" w:hAnsi="宋体" w:cs="微软雅黑"/>
                <w:szCs w:val="21"/>
              </w:rPr>
              <w:t>1</w:t>
            </w:r>
          </w:p>
        </w:tc>
        <w:tc>
          <w:tcPr>
            <w:tcW w:w="7521" w:type="dxa"/>
          </w:tcPr>
          <w:p>
            <w:pPr>
              <w:spacing w:line="400" w:lineRule="exact"/>
              <w:rPr>
                <w:rFonts w:ascii="宋体" w:hAnsi="宋体" w:cs="微软雅黑"/>
                <w:szCs w:val="21"/>
              </w:rPr>
            </w:pPr>
            <w:r>
              <w:rPr>
                <w:rFonts w:hint="eastAsia" w:ascii="宋体" w:hAnsi="宋体" w:cs="微软雅黑"/>
                <w:szCs w:val="21"/>
              </w:rPr>
              <w:t>一、基本要求</w:t>
            </w:r>
          </w:p>
          <w:p>
            <w:pPr>
              <w:spacing w:line="400" w:lineRule="exact"/>
              <w:rPr>
                <w:rFonts w:ascii="宋体" w:hAnsi="宋体" w:cs="微软雅黑"/>
                <w:szCs w:val="21"/>
              </w:rPr>
            </w:pPr>
            <w:r>
              <w:rPr>
                <w:rFonts w:hint="eastAsia" w:ascii="宋体" w:hAnsi="宋体" w:cs="微软雅黑"/>
                <w:szCs w:val="21"/>
              </w:rPr>
              <w:t>功能要求：该设备主要用于床旁X线摄影，可进行全胸、全腹、四肢、脊柱等各部位数字化X线摄影。摄影资料可以即刻显示，并可以储存在大容量硬盘里，可以连接PACS网络或者直接打印图像</w:t>
            </w:r>
          </w:p>
          <w:p>
            <w:pPr>
              <w:spacing w:line="400" w:lineRule="exact"/>
              <w:rPr>
                <w:rFonts w:ascii="宋体" w:hAnsi="宋体" w:cs="微软雅黑"/>
                <w:szCs w:val="21"/>
              </w:rPr>
            </w:pPr>
            <w:r>
              <w:rPr>
                <w:rFonts w:hint="eastAsia" w:ascii="宋体" w:hAnsi="宋体" w:cs="微软雅黑"/>
                <w:szCs w:val="21"/>
              </w:rPr>
              <w:t>兼容性要求：投标设备平板探测器与X线管为同一品牌；</w:t>
            </w:r>
          </w:p>
          <w:p>
            <w:pPr>
              <w:numPr>
                <w:ilvl w:val="0"/>
                <w:numId w:val="4"/>
              </w:numPr>
              <w:spacing w:line="400" w:lineRule="exact"/>
              <w:rPr>
                <w:rFonts w:ascii="宋体" w:hAnsi="宋体" w:cs="微软雅黑"/>
                <w:szCs w:val="21"/>
              </w:rPr>
            </w:pPr>
            <w:r>
              <w:rPr>
                <w:rFonts w:hint="eastAsia" w:ascii="宋体" w:hAnsi="宋体" w:cs="微软雅黑"/>
                <w:szCs w:val="21"/>
              </w:rPr>
              <w:t>配置参数要求</w:t>
            </w:r>
          </w:p>
          <w:p>
            <w:pPr>
              <w:spacing w:line="400" w:lineRule="exact"/>
              <w:rPr>
                <w:rFonts w:ascii="宋体" w:hAnsi="宋体" w:cs="微软雅黑"/>
                <w:szCs w:val="21"/>
              </w:rPr>
            </w:pPr>
            <w:r>
              <w:rPr>
                <w:rFonts w:hint="eastAsia" w:ascii="宋体" w:hAnsi="宋体" w:cs="楷体"/>
                <w:color w:val="000000"/>
                <w:kern w:val="0"/>
                <w:szCs w:val="21"/>
              </w:rPr>
              <w:t>1、</w:t>
            </w:r>
            <w:r>
              <w:rPr>
                <w:rFonts w:hint="eastAsia" w:ascii="宋体" w:hAnsi="宋体" w:cs="微软雅黑"/>
                <w:szCs w:val="21"/>
              </w:rPr>
              <w:t>移动DR机架系统</w:t>
            </w:r>
          </w:p>
          <w:p>
            <w:pPr>
              <w:spacing w:line="400" w:lineRule="exact"/>
              <w:rPr>
                <w:rFonts w:ascii="宋体" w:hAnsi="宋体" w:cs="微软雅黑"/>
                <w:szCs w:val="21"/>
              </w:rPr>
            </w:pPr>
            <w:r>
              <w:rPr>
                <w:rFonts w:hint="eastAsia" w:ascii="宋体" w:hAnsi="宋体" w:cs="微软雅黑"/>
                <w:szCs w:val="21"/>
              </w:rPr>
              <w:t>1.1</w:t>
            </w:r>
            <w:r>
              <w:rPr>
                <w:rFonts w:hint="eastAsia" w:ascii="宋体" w:hAnsi="宋体" w:cs="微软雅黑"/>
                <w:szCs w:val="21"/>
              </w:rPr>
              <w:tab/>
            </w:r>
            <w:r>
              <w:rPr>
                <w:rFonts w:hint="eastAsia" w:ascii="宋体" w:hAnsi="宋体" w:cs="微软雅黑"/>
                <w:szCs w:val="21"/>
              </w:rPr>
              <w:t>X线管支撑立柱机构：双节升降柱</w:t>
            </w:r>
          </w:p>
          <w:p>
            <w:pPr>
              <w:spacing w:line="400" w:lineRule="exact"/>
              <w:rPr>
                <w:rFonts w:ascii="宋体" w:hAnsi="宋体" w:cs="微软雅黑"/>
                <w:szCs w:val="21"/>
              </w:rPr>
            </w:pPr>
            <w:r>
              <w:rPr>
                <w:rFonts w:hint="eastAsia" w:ascii="宋体" w:hAnsi="宋体"/>
                <w:szCs w:val="21"/>
              </w:rPr>
              <w:t>★</w:t>
            </w:r>
            <w:r>
              <w:rPr>
                <w:rFonts w:hint="eastAsia" w:ascii="宋体" w:hAnsi="宋体" w:cs="微软雅黑"/>
                <w:szCs w:val="21"/>
              </w:rPr>
              <w:t>1.2第二节立柱降至最低点，顶端距地距离</w:t>
            </w:r>
            <w:r>
              <w:rPr>
                <w:rFonts w:hint="eastAsia" w:ascii="宋体" w:hAnsi="宋体" w:cs="微软雅黑"/>
                <w:szCs w:val="21"/>
              </w:rPr>
              <w:tab/>
            </w:r>
            <w:r>
              <w:rPr>
                <w:rFonts w:hint="eastAsia" w:ascii="宋体" w:hAnsi="宋体" w:cs="微软雅黑"/>
                <w:szCs w:val="21"/>
              </w:rPr>
              <w:t>≤1400mm</w:t>
            </w:r>
          </w:p>
          <w:p>
            <w:pPr>
              <w:spacing w:line="400" w:lineRule="exact"/>
              <w:rPr>
                <w:rFonts w:ascii="宋体" w:hAnsi="宋体" w:cs="微软雅黑"/>
                <w:szCs w:val="21"/>
              </w:rPr>
            </w:pPr>
            <w:r>
              <w:rPr>
                <w:rFonts w:hint="eastAsia" w:ascii="宋体" w:hAnsi="宋体" w:cs="微软雅黑"/>
                <w:szCs w:val="21"/>
              </w:rPr>
              <w:t>1.3</w:t>
            </w:r>
            <w:r>
              <w:rPr>
                <w:rFonts w:hint="eastAsia" w:ascii="宋体" w:hAnsi="宋体" w:cs="微软雅黑"/>
                <w:szCs w:val="21"/>
              </w:rPr>
              <w:tab/>
            </w:r>
            <w:r>
              <w:rPr>
                <w:rFonts w:hint="eastAsia" w:ascii="宋体" w:hAnsi="宋体" w:cs="微软雅黑"/>
                <w:szCs w:val="21"/>
              </w:rPr>
              <w:t>X线管中心距地最小距离</w:t>
            </w:r>
            <w:r>
              <w:rPr>
                <w:rFonts w:hint="eastAsia" w:ascii="宋体" w:hAnsi="宋体" w:cs="微软雅黑"/>
                <w:szCs w:val="21"/>
              </w:rPr>
              <w:tab/>
            </w:r>
            <w:r>
              <w:rPr>
                <w:rFonts w:hint="eastAsia" w:ascii="宋体" w:hAnsi="宋体" w:cs="微软雅黑"/>
                <w:szCs w:val="21"/>
              </w:rPr>
              <w:t>≤600mm</w:t>
            </w:r>
          </w:p>
          <w:p>
            <w:pPr>
              <w:spacing w:line="400" w:lineRule="exact"/>
              <w:rPr>
                <w:rFonts w:ascii="宋体" w:hAnsi="宋体" w:cs="微软雅黑"/>
                <w:szCs w:val="21"/>
              </w:rPr>
            </w:pPr>
            <w:r>
              <w:rPr>
                <w:rFonts w:hint="eastAsia" w:ascii="宋体" w:hAnsi="宋体" w:cs="微软雅黑"/>
                <w:szCs w:val="21"/>
              </w:rPr>
              <w:t>1.4</w:t>
            </w:r>
            <w:r>
              <w:rPr>
                <w:rFonts w:hint="eastAsia" w:ascii="宋体" w:hAnsi="宋体" w:cs="微软雅黑"/>
                <w:szCs w:val="21"/>
              </w:rPr>
              <w:tab/>
            </w:r>
            <w:r>
              <w:rPr>
                <w:rFonts w:hint="eastAsia" w:ascii="宋体" w:hAnsi="宋体" w:cs="微软雅黑"/>
                <w:szCs w:val="21"/>
              </w:rPr>
              <w:t>X线管中心距地最大距离</w:t>
            </w:r>
            <w:r>
              <w:rPr>
                <w:rFonts w:hint="eastAsia" w:ascii="宋体" w:hAnsi="宋体" w:cs="微软雅黑"/>
                <w:szCs w:val="21"/>
              </w:rPr>
              <w:tab/>
            </w:r>
            <w:r>
              <w:rPr>
                <w:rFonts w:hint="eastAsia" w:ascii="宋体" w:hAnsi="宋体" w:cs="微软雅黑"/>
                <w:szCs w:val="21"/>
              </w:rPr>
              <w:t>≥1900mm</w:t>
            </w:r>
          </w:p>
          <w:p>
            <w:pPr>
              <w:spacing w:line="400" w:lineRule="exact"/>
              <w:rPr>
                <w:rFonts w:ascii="宋体" w:hAnsi="宋体" w:cs="微软雅黑"/>
                <w:szCs w:val="21"/>
              </w:rPr>
            </w:pPr>
            <w:r>
              <w:rPr>
                <w:rFonts w:hint="eastAsia" w:ascii="宋体" w:hAnsi="宋体" w:cs="微软雅黑"/>
                <w:szCs w:val="21"/>
              </w:rPr>
              <w:t>1.5</w:t>
            </w:r>
            <w:r>
              <w:rPr>
                <w:rFonts w:hint="eastAsia" w:ascii="宋体" w:hAnsi="宋体" w:cs="微软雅黑"/>
                <w:szCs w:val="21"/>
              </w:rPr>
              <w:tab/>
            </w:r>
            <w:r>
              <w:rPr>
                <w:rFonts w:hint="eastAsia" w:ascii="宋体" w:hAnsi="宋体" w:cs="微软雅黑"/>
                <w:szCs w:val="21"/>
              </w:rPr>
              <w:t>X线管支撑横臂伸缩行程</w:t>
            </w:r>
            <w:r>
              <w:rPr>
                <w:rFonts w:hint="eastAsia" w:ascii="宋体" w:hAnsi="宋体" w:cs="微软雅黑"/>
                <w:szCs w:val="21"/>
              </w:rPr>
              <w:tab/>
            </w:r>
            <w:r>
              <w:rPr>
                <w:rFonts w:hint="eastAsia" w:ascii="宋体" w:hAnsi="宋体" w:cs="微软雅黑"/>
                <w:szCs w:val="21"/>
              </w:rPr>
              <w:t>≥690mm</w:t>
            </w:r>
          </w:p>
          <w:p>
            <w:pPr>
              <w:spacing w:line="400" w:lineRule="exact"/>
              <w:rPr>
                <w:rFonts w:ascii="宋体" w:hAnsi="宋体" w:cs="微软雅黑"/>
                <w:szCs w:val="21"/>
              </w:rPr>
            </w:pPr>
            <w:r>
              <w:rPr>
                <w:rFonts w:hint="eastAsia" w:ascii="宋体" w:hAnsi="宋体" w:cs="微软雅黑"/>
                <w:szCs w:val="21"/>
              </w:rPr>
              <w:t>1.6</w:t>
            </w:r>
            <w:r>
              <w:rPr>
                <w:rFonts w:hint="eastAsia" w:ascii="宋体" w:hAnsi="宋体" w:cs="微软雅黑"/>
                <w:szCs w:val="21"/>
              </w:rPr>
              <w:tab/>
            </w:r>
            <w:r>
              <w:rPr>
                <w:rFonts w:hint="eastAsia" w:ascii="宋体" w:hAnsi="宋体" w:cs="微软雅黑"/>
                <w:szCs w:val="21"/>
              </w:rPr>
              <w:t>X线管中心距立柱最大距离</w:t>
            </w:r>
            <w:r>
              <w:rPr>
                <w:rFonts w:hint="eastAsia" w:ascii="宋体" w:hAnsi="宋体" w:cs="微软雅黑"/>
                <w:szCs w:val="21"/>
              </w:rPr>
              <w:tab/>
            </w:r>
            <w:r>
              <w:rPr>
                <w:rFonts w:hint="eastAsia" w:ascii="宋体" w:hAnsi="宋体" w:cs="微软雅黑"/>
                <w:szCs w:val="21"/>
              </w:rPr>
              <w:t>≥1200mm</w:t>
            </w:r>
          </w:p>
          <w:p>
            <w:pPr>
              <w:spacing w:line="400" w:lineRule="exact"/>
              <w:rPr>
                <w:rFonts w:ascii="宋体" w:hAnsi="宋体" w:cs="微软雅黑"/>
                <w:szCs w:val="21"/>
              </w:rPr>
            </w:pPr>
            <w:r>
              <w:rPr>
                <w:rFonts w:hint="eastAsia" w:ascii="宋体" w:hAnsi="宋体" w:cs="微软雅黑"/>
                <w:szCs w:val="21"/>
              </w:rPr>
              <w:t>1.7</w:t>
            </w:r>
            <w:r>
              <w:rPr>
                <w:rFonts w:hint="eastAsia" w:ascii="宋体" w:hAnsi="宋体" w:cs="微软雅黑"/>
                <w:szCs w:val="21"/>
              </w:rPr>
              <w:tab/>
            </w:r>
            <w:r>
              <w:rPr>
                <w:rFonts w:hint="eastAsia" w:ascii="宋体" w:hAnsi="宋体" w:cs="微软雅黑"/>
                <w:szCs w:val="21"/>
              </w:rPr>
              <w:t>X线管立柱旋转范围±300°</w:t>
            </w:r>
          </w:p>
          <w:p>
            <w:pPr>
              <w:spacing w:line="400" w:lineRule="exact"/>
              <w:rPr>
                <w:rFonts w:ascii="宋体" w:hAnsi="宋体" w:cs="微软雅黑"/>
                <w:szCs w:val="21"/>
              </w:rPr>
            </w:pPr>
            <w:r>
              <w:rPr>
                <w:rFonts w:hint="eastAsia" w:ascii="宋体" w:hAnsi="宋体" w:cs="微软雅黑"/>
                <w:szCs w:val="21"/>
              </w:rPr>
              <w:t>1.8</w:t>
            </w:r>
            <w:r>
              <w:rPr>
                <w:rFonts w:hint="eastAsia" w:ascii="宋体" w:hAnsi="宋体" w:cs="微软雅黑"/>
                <w:szCs w:val="21"/>
              </w:rPr>
              <w:tab/>
            </w:r>
            <w:r>
              <w:rPr>
                <w:rFonts w:hint="eastAsia" w:ascii="宋体" w:hAnsi="宋体" w:cs="微软雅黑"/>
                <w:szCs w:val="21"/>
              </w:rPr>
              <w:t>X线管沿横臂旋转范围</w:t>
            </w:r>
            <w:r>
              <w:rPr>
                <w:rFonts w:hint="eastAsia" w:ascii="宋体" w:hAnsi="宋体" w:cs="微软雅黑"/>
                <w:szCs w:val="21"/>
              </w:rPr>
              <w:tab/>
            </w:r>
            <w:r>
              <w:rPr>
                <w:rFonts w:hint="eastAsia" w:ascii="宋体" w:hAnsi="宋体" w:cs="微软雅黑"/>
                <w:szCs w:val="21"/>
              </w:rPr>
              <w:t>±180°</w:t>
            </w:r>
          </w:p>
          <w:p>
            <w:pPr>
              <w:spacing w:line="400" w:lineRule="exact"/>
              <w:rPr>
                <w:rFonts w:ascii="宋体" w:hAnsi="宋体" w:cs="微软雅黑"/>
                <w:szCs w:val="21"/>
              </w:rPr>
            </w:pPr>
            <w:r>
              <w:rPr>
                <w:rFonts w:hint="eastAsia" w:ascii="宋体" w:hAnsi="宋体" w:cs="微软雅黑"/>
                <w:szCs w:val="21"/>
              </w:rPr>
              <w:t>1.9</w:t>
            </w:r>
            <w:r>
              <w:rPr>
                <w:rFonts w:hint="eastAsia" w:ascii="宋体" w:hAnsi="宋体" w:cs="微软雅黑"/>
                <w:szCs w:val="21"/>
              </w:rPr>
              <w:tab/>
            </w:r>
            <w:r>
              <w:rPr>
                <w:rFonts w:hint="eastAsia" w:ascii="宋体" w:hAnsi="宋体" w:cs="微软雅黑"/>
                <w:szCs w:val="21"/>
              </w:rPr>
              <w:t>X线管沿水平轴旋转范围</w:t>
            </w:r>
            <w:r>
              <w:rPr>
                <w:rFonts w:hint="eastAsia" w:ascii="宋体" w:hAnsi="宋体" w:cs="微软雅黑"/>
                <w:szCs w:val="21"/>
              </w:rPr>
              <w:tab/>
            </w:r>
            <w:r>
              <w:rPr>
                <w:rFonts w:hint="eastAsia" w:ascii="宋体" w:hAnsi="宋体" w:cs="微软雅黑"/>
                <w:szCs w:val="21"/>
              </w:rPr>
              <w:t>﹣30°~﹢90°</w:t>
            </w:r>
          </w:p>
          <w:p>
            <w:pPr>
              <w:spacing w:line="400" w:lineRule="exact"/>
              <w:rPr>
                <w:rFonts w:ascii="宋体" w:hAnsi="宋体" w:cs="微软雅黑"/>
                <w:szCs w:val="21"/>
              </w:rPr>
            </w:pPr>
            <w:r>
              <w:rPr>
                <w:rFonts w:hint="eastAsia" w:ascii="宋体" w:hAnsi="宋体" w:cs="微软雅黑"/>
                <w:szCs w:val="21"/>
              </w:rPr>
              <w:t>1.10 机头一键解锁，实现X线管的升降、旋转及伸缩的全方位运动</w:t>
            </w:r>
          </w:p>
          <w:p>
            <w:pPr>
              <w:spacing w:line="400" w:lineRule="exact"/>
              <w:rPr>
                <w:rFonts w:ascii="宋体" w:hAnsi="宋体" w:cs="微软雅黑"/>
                <w:szCs w:val="21"/>
              </w:rPr>
            </w:pPr>
            <w:r>
              <w:rPr>
                <w:rFonts w:hint="eastAsia" w:ascii="宋体" w:hAnsi="宋体" w:cs="微软雅黑"/>
                <w:szCs w:val="21"/>
              </w:rPr>
              <w:t>1.11 充电线缆可自动回收</w:t>
            </w:r>
          </w:p>
          <w:p>
            <w:pPr>
              <w:spacing w:line="400" w:lineRule="exact"/>
              <w:rPr>
                <w:rFonts w:ascii="宋体" w:hAnsi="宋体" w:cs="微软雅黑"/>
                <w:szCs w:val="21"/>
              </w:rPr>
            </w:pPr>
            <w:r>
              <w:rPr>
                <w:rFonts w:hint="eastAsia" w:ascii="宋体" w:hAnsi="宋体" w:cs="微软雅黑"/>
                <w:szCs w:val="21"/>
              </w:rPr>
              <w:t>1.12 探测器存储仓：具有三个存储仓，可放置两个探测器及其他附件</w:t>
            </w:r>
          </w:p>
          <w:p>
            <w:pPr>
              <w:spacing w:line="400" w:lineRule="exact"/>
              <w:rPr>
                <w:rFonts w:ascii="宋体" w:hAnsi="宋体" w:cs="微软雅黑"/>
                <w:szCs w:val="21"/>
              </w:rPr>
            </w:pPr>
            <w:r>
              <w:rPr>
                <w:rFonts w:hint="eastAsia" w:ascii="宋体" w:hAnsi="宋体" w:cs="微软雅黑"/>
                <w:szCs w:val="21"/>
              </w:rPr>
              <w:t>1.13 具备安全防撞系统</w:t>
            </w:r>
            <w:r>
              <w:rPr>
                <w:rFonts w:hint="eastAsia" w:ascii="宋体" w:hAnsi="宋体" w:cs="微软雅黑"/>
                <w:szCs w:val="21"/>
              </w:rPr>
              <w:tab/>
            </w:r>
          </w:p>
          <w:p>
            <w:pPr>
              <w:spacing w:line="400" w:lineRule="exact"/>
              <w:rPr>
                <w:rFonts w:ascii="宋体" w:hAnsi="宋体" w:cs="微软雅黑"/>
                <w:szCs w:val="21"/>
              </w:rPr>
            </w:pPr>
            <w:r>
              <w:rPr>
                <w:rFonts w:hint="eastAsia" w:ascii="宋体" w:hAnsi="宋体"/>
                <w:szCs w:val="21"/>
              </w:rPr>
              <w:t>★</w:t>
            </w:r>
            <w:r>
              <w:rPr>
                <w:rFonts w:hint="eastAsia" w:ascii="宋体" w:hAnsi="宋体" w:cs="微软雅黑"/>
                <w:szCs w:val="21"/>
              </w:rPr>
              <w:t>1.14</w:t>
            </w:r>
            <w:r>
              <w:rPr>
                <w:rFonts w:hint="eastAsia" w:ascii="宋体" w:hAnsi="宋体" w:cs="微软雅黑"/>
                <w:szCs w:val="21"/>
              </w:rPr>
              <w:tab/>
            </w:r>
            <w:r>
              <w:rPr>
                <w:rFonts w:hint="eastAsia" w:ascii="宋体" w:hAnsi="宋体" w:cs="微软雅黑"/>
                <w:szCs w:val="21"/>
              </w:rPr>
              <w:t>机身宽度≤550mm</w:t>
            </w:r>
          </w:p>
          <w:p>
            <w:pPr>
              <w:spacing w:line="400" w:lineRule="exact"/>
              <w:rPr>
                <w:rFonts w:ascii="宋体" w:hAnsi="宋体" w:cs="微软雅黑"/>
                <w:szCs w:val="21"/>
              </w:rPr>
            </w:pPr>
            <w:r>
              <w:rPr>
                <w:rFonts w:hint="eastAsia" w:ascii="宋体" w:hAnsi="宋体" w:cs="微软雅黑"/>
                <w:szCs w:val="21"/>
              </w:rPr>
              <w:t>2、设备移动性能</w:t>
            </w:r>
          </w:p>
          <w:p>
            <w:pPr>
              <w:spacing w:line="400" w:lineRule="exact"/>
              <w:rPr>
                <w:rFonts w:ascii="宋体" w:hAnsi="宋体" w:cs="微软雅黑"/>
                <w:szCs w:val="21"/>
              </w:rPr>
            </w:pPr>
            <w:r>
              <w:rPr>
                <w:rFonts w:hint="eastAsia" w:ascii="宋体" w:hAnsi="宋体" w:cs="微软雅黑"/>
                <w:szCs w:val="21"/>
              </w:rPr>
              <w:t>2.1</w:t>
            </w:r>
            <w:r>
              <w:rPr>
                <w:rFonts w:hint="eastAsia" w:ascii="宋体" w:hAnsi="宋体" w:cs="微软雅黑"/>
                <w:szCs w:val="21"/>
              </w:rPr>
              <w:tab/>
            </w:r>
            <w:r>
              <w:rPr>
                <w:rFonts w:hint="eastAsia" w:ascii="宋体" w:hAnsi="宋体" w:cs="微软雅黑"/>
                <w:szCs w:val="21"/>
              </w:rPr>
              <w:t>具备电动助力</w:t>
            </w:r>
            <w:r>
              <w:rPr>
                <w:rFonts w:hint="eastAsia" w:ascii="宋体" w:hAnsi="宋体" w:cs="微软雅黑"/>
                <w:szCs w:val="21"/>
              </w:rPr>
              <w:tab/>
            </w:r>
          </w:p>
          <w:p>
            <w:pPr>
              <w:spacing w:line="400" w:lineRule="exact"/>
              <w:rPr>
                <w:rFonts w:ascii="宋体" w:hAnsi="宋体" w:cs="微软雅黑"/>
                <w:szCs w:val="21"/>
              </w:rPr>
            </w:pPr>
            <w:r>
              <w:rPr>
                <w:rFonts w:hint="eastAsia" w:ascii="宋体" w:hAnsi="宋体" w:cs="微软雅黑"/>
                <w:szCs w:val="21"/>
              </w:rPr>
              <w:t>2.2</w:t>
            </w:r>
            <w:r>
              <w:rPr>
                <w:rFonts w:hint="eastAsia" w:ascii="宋体" w:hAnsi="宋体" w:cs="微软雅黑"/>
                <w:szCs w:val="21"/>
              </w:rPr>
              <w:tab/>
            </w:r>
            <w:r>
              <w:rPr>
                <w:rFonts w:hint="eastAsia" w:ascii="宋体" w:hAnsi="宋体" w:cs="微软雅黑"/>
                <w:szCs w:val="21"/>
              </w:rPr>
              <w:t>运动方式：电动助力和手动双模式切换</w:t>
            </w:r>
          </w:p>
          <w:p>
            <w:pPr>
              <w:spacing w:line="400" w:lineRule="exact"/>
              <w:rPr>
                <w:rFonts w:ascii="宋体" w:hAnsi="宋体" w:cs="微软雅黑"/>
                <w:szCs w:val="21"/>
              </w:rPr>
            </w:pPr>
            <w:r>
              <w:rPr>
                <w:rFonts w:hint="eastAsia" w:ascii="宋体" w:hAnsi="宋体" w:cs="微软雅黑"/>
                <w:szCs w:val="21"/>
              </w:rPr>
              <w:t>2.3</w:t>
            </w:r>
            <w:r>
              <w:rPr>
                <w:rFonts w:hint="eastAsia" w:ascii="宋体" w:hAnsi="宋体" w:cs="微软雅黑"/>
                <w:szCs w:val="21"/>
              </w:rPr>
              <w:tab/>
            </w:r>
            <w:r>
              <w:rPr>
                <w:rFonts w:hint="eastAsia" w:ascii="宋体" w:hAnsi="宋体" w:cs="微软雅黑"/>
                <w:szCs w:val="21"/>
              </w:rPr>
              <w:t>驱动马达数量≥两组</w:t>
            </w:r>
          </w:p>
          <w:p>
            <w:pPr>
              <w:spacing w:line="400" w:lineRule="exact"/>
              <w:rPr>
                <w:rFonts w:ascii="宋体" w:hAnsi="宋体" w:cs="微软雅黑"/>
                <w:szCs w:val="21"/>
              </w:rPr>
            </w:pPr>
            <w:r>
              <w:rPr>
                <w:rFonts w:hint="eastAsia" w:ascii="宋体" w:hAnsi="宋体" w:cs="微软雅黑"/>
                <w:szCs w:val="21"/>
              </w:rPr>
              <w:t>2.4</w:t>
            </w:r>
            <w:r>
              <w:rPr>
                <w:rFonts w:hint="eastAsia" w:ascii="宋体" w:hAnsi="宋体" w:cs="微软雅黑"/>
                <w:szCs w:val="21"/>
              </w:rPr>
              <w:tab/>
            </w:r>
            <w:r>
              <w:rPr>
                <w:rFonts w:hint="eastAsia" w:ascii="宋体" w:hAnsi="宋体" w:cs="微软雅黑"/>
                <w:szCs w:val="21"/>
              </w:rPr>
              <w:t>原地旋转范围≥±360°</w:t>
            </w:r>
          </w:p>
          <w:p>
            <w:pPr>
              <w:spacing w:line="400" w:lineRule="exact"/>
              <w:rPr>
                <w:rFonts w:ascii="宋体" w:hAnsi="宋体" w:cs="微软雅黑"/>
                <w:szCs w:val="21"/>
              </w:rPr>
            </w:pPr>
            <w:r>
              <w:rPr>
                <w:rFonts w:hint="eastAsia" w:ascii="宋体" w:hAnsi="宋体" w:cs="微软雅黑"/>
                <w:szCs w:val="21"/>
              </w:rPr>
              <w:t>2.5</w:t>
            </w:r>
            <w:r>
              <w:rPr>
                <w:rFonts w:hint="eastAsia" w:ascii="宋体" w:hAnsi="宋体" w:cs="微软雅黑"/>
                <w:szCs w:val="21"/>
              </w:rPr>
              <w:tab/>
            </w:r>
            <w:r>
              <w:rPr>
                <w:rFonts w:hint="eastAsia" w:ascii="宋体" w:hAnsi="宋体" w:cs="微软雅黑"/>
                <w:szCs w:val="21"/>
              </w:rPr>
              <w:t>具备前轮压簧减震装置</w:t>
            </w:r>
            <w:r>
              <w:rPr>
                <w:rFonts w:hint="eastAsia" w:ascii="宋体" w:hAnsi="宋体" w:cs="微软雅黑"/>
                <w:szCs w:val="21"/>
              </w:rPr>
              <w:tab/>
            </w:r>
          </w:p>
          <w:p>
            <w:pPr>
              <w:spacing w:line="400" w:lineRule="exact"/>
              <w:rPr>
                <w:rFonts w:ascii="宋体" w:hAnsi="宋体" w:cs="微软雅黑"/>
                <w:szCs w:val="21"/>
              </w:rPr>
            </w:pPr>
            <w:r>
              <w:rPr>
                <w:rFonts w:hint="eastAsia" w:ascii="宋体" w:hAnsi="宋体" w:cs="微软雅黑"/>
                <w:szCs w:val="21"/>
              </w:rPr>
              <w:t>2.6</w:t>
            </w:r>
            <w:r>
              <w:rPr>
                <w:rFonts w:hint="eastAsia" w:ascii="宋体" w:hAnsi="宋体" w:cs="微软雅黑"/>
                <w:szCs w:val="21"/>
              </w:rPr>
              <w:tab/>
            </w:r>
            <w:r>
              <w:rPr>
                <w:rFonts w:hint="eastAsia" w:ascii="宋体" w:hAnsi="宋体" w:cs="微软雅黑"/>
                <w:szCs w:val="21"/>
              </w:rPr>
              <w:t>前进驱动速度：0~7km/h，无级变速可调</w:t>
            </w:r>
          </w:p>
          <w:p>
            <w:pPr>
              <w:spacing w:line="400" w:lineRule="exact"/>
              <w:rPr>
                <w:rFonts w:ascii="宋体" w:hAnsi="宋体" w:cs="微软雅黑"/>
                <w:szCs w:val="21"/>
              </w:rPr>
            </w:pPr>
            <w:r>
              <w:rPr>
                <w:rFonts w:hint="eastAsia" w:ascii="宋体" w:hAnsi="宋体" w:cs="微软雅黑"/>
                <w:szCs w:val="21"/>
              </w:rPr>
              <w:t>2.7</w:t>
            </w:r>
            <w:r>
              <w:rPr>
                <w:rFonts w:hint="eastAsia" w:ascii="宋体" w:hAnsi="宋体" w:cs="微软雅黑"/>
                <w:szCs w:val="21"/>
              </w:rPr>
              <w:tab/>
            </w:r>
            <w:r>
              <w:rPr>
                <w:rFonts w:hint="eastAsia" w:ascii="宋体" w:hAnsi="宋体" w:cs="微软雅黑"/>
                <w:szCs w:val="21"/>
              </w:rPr>
              <w:t>后退驱动速度：0~4km/h，无级变速可调</w:t>
            </w:r>
          </w:p>
          <w:p>
            <w:pPr>
              <w:spacing w:line="400" w:lineRule="exact"/>
              <w:rPr>
                <w:rFonts w:ascii="宋体" w:hAnsi="宋体" w:cs="微软雅黑"/>
                <w:szCs w:val="21"/>
              </w:rPr>
            </w:pPr>
            <w:r>
              <w:rPr>
                <w:rFonts w:hint="eastAsia" w:ascii="宋体" w:hAnsi="宋体" w:cs="微软雅黑"/>
                <w:szCs w:val="21"/>
              </w:rPr>
              <w:t>3、蓄电池及续航能力</w:t>
            </w:r>
          </w:p>
          <w:p>
            <w:pPr>
              <w:spacing w:line="400" w:lineRule="exact"/>
              <w:rPr>
                <w:rFonts w:ascii="宋体" w:hAnsi="宋体" w:cs="微软雅黑"/>
                <w:szCs w:val="21"/>
              </w:rPr>
            </w:pPr>
            <w:r>
              <w:rPr>
                <w:rFonts w:hint="eastAsia" w:ascii="宋体" w:hAnsi="宋体"/>
                <w:szCs w:val="21"/>
              </w:rPr>
              <w:t>★</w:t>
            </w:r>
            <w:r>
              <w:rPr>
                <w:rFonts w:hint="eastAsia" w:ascii="宋体" w:hAnsi="宋体" w:cs="微软雅黑"/>
                <w:szCs w:val="21"/>
              </w:rPr>
              <w:t>3.1主机供电模式：内置蓄电池及220V墙电，双模式供电</w:t>
            </w:r>
          </w:p>
          <w:p>
            <w:pPr>
              <w:spacing w:line="400" w:lineRule="exact"/>
              <w:rPr>
                <w:rFonts w:ascii="宋体" w:hAnsi="宋体" w:cs="微软雅黑"/>
                <w:szCs w:val="21"/>
              </w:rPr>
            </w:pPr>
            <w:r>
              <w:rPr>
                <w:rFonts w:hint="eastAsia" w:ascii="宋体" w:hAnsi="宋体" w:cs="微软雅黑"/>
                <w:szCs w:val="21"/>
              </w:rPr>
              <w:t>3.2</w:t>
            </w:r>
            <w:r>
              <w:rPr>
                <w:rFonts w:hint="eastAsia" w:ascii="宋体" w:hAnsi="宋体" w:cs="微软雅黑"/>
                <w:szCs w:val="21"/>
              </w:rPr>
              <w:tab/>
            </w:r>
            <w:r>
              <w:rPr>
                <w:rFonts w:hint="eastAsia" w:ascii="宋体" w:hAnsi="宋体" w:cs="微软雅黑"/>
                <w:szCs w:val="21"/>
              </w:rPr>
              <w:t>蓄电池类型：锂离子聚合物</w:t>
            </w:r>
          </w:p>
          <w:p>
            <w:pPr>
              <w:spacing w:line="400" w:lineRule="exact"/>
              <w:rPr>
                <w:rFonts w:ascii="宋体" w:hAnsi="宋体" w:cs="微软雅黑"/>
                <w:szCs w:val="21"/>
              </w:rPr>
            </w:pPr>
            <w:r>
              <w:rPr>
                <w:rFonts w:hint="eastAsia" w:ascii="宋体" w:hAnsi="宋体"/>
                <w:szCs w:val="21"/>
              </w:rPr>
              <w:t>★</w:t>
            </w:r>
            <w:r>
              <w:rPr>
                <w:rFonts w:hint="eastAsia" w:ascii="宋体" w:hAnsi="宋体" w:cs="微软雅黑"/>
                <w:szCs w:val="21"/>
              </w:rPr>
              <w:t>3.3蓄电池续航能力：满电状态下可支持曝光不少于1400次，待机时长≥300h</w:t>
            </w:r>
          </w:p>
          <w:p>
            <w:pPr>
              <w:spacing w:line="400" w:lineRule="exact"/>
              <w:rPr>
                <w:rFonts w:ascii="宋体" w:hAnsi="宋体" w:cs="微软雅黑"/>
                <w:szCs w:val="21"/>
              </w:rPr>
            </w:pPr>
            <w:r>
              <w:rPr>
                <w:rFonts w:hint="eastAsia" w:ascii="宋体" w:hAnsi="宋体" w:cs="微软雅黑"/>
                <w:szCs w:val="21"/>
              </w:rPr>
              <w:t>3.4</w:t>
            </w:r>
            <w:r>
              <w:rPr>
                <w:rFonts w:hint="eastAsia" w:ascii="宋体" w:hAnsi="宋体" w:cs="微软雅黑"/>
                <w:szCs w:val="21"/>
              </w:rPr>
              <w:tab/>
            </w:r>
            <w:r>
              <w:rPr>
                <w:rFonts w:hint="eastAsia" w:ascii="宋体" w:hAnsi="宋体" w:cs="微软雅黑"/>
                <w:szCs w:val="21"/>
              </w:rPr>
              <w:t>蓄电池完全充电时间≤6h</w:t>
            </w:r>
          </w:p>
          <w:p>
            <w:pPr>
              <w:spacing w:line="400" w:lineRule="exact"/>
              <w:rPr>
                <w:rFonts w:ascii="宋体" w:hAnsi="宋体" w:cs="微软雅黑"/>
                <w:szCs w:val="21"/>
              </w:rPr>
            </w:pPr>
            <w:r>
              <w:rPr>
                <w:rFonts w:hint="eastAsia" w:ascii="宋体" w:hAnsi="宋体" w:cs="微软雅黑"/>
                <w:szCs w:val="21"/>
              </w:rPr>
              <w:t>4高频高压发生器</w:t>
            </w:r>
            <w:r>
              <w:rPr>
                <w:rFonts w:hint="eastAsia" w:ascii="宋体" w:hAnsi="宋体" w:cs="微软雅黑"/>
                <w:szCs w:val="21"/>
              </w:rPr>
              <w:tab/>
            </w:r>
            <w:r>
              <w:rPr>
                <w:rFonts w:hint="eastAsia" w:ascii="宋体" w:hAnsi="宋体" w:cs="微软雅黑"/>
                <w:szCs w:val="21"/>
              </w:rPr>
              <w:t>　</w:t>
            </w:r>
          </w:p>
          <w:p>
            <w:pPr>
              <w:spacing w:line="400" w:lineRule="exact"/>
              <w:rPr>
                <w:rFonts w:ascii="宋体" w:hAnsi="宋体" w:cs="微软雅黑"/>
                <w:szCs w:val="21"/>
              </w:rPr>
            </w:pPr>
            <w:r>
              <w:rPr>
                <w:rFonts w:hint="eastAsia" w:ascii="宋体" w:hAnsi="宋体" w:cs="微软雅黑"/>
                <w:szCs w:val="21"/>
              </w:rPr>
              <w:t>4.1</w:t>
            </w:r>
            <w:r>
              <w:rPr>
                <w:rFonts w:hint="eastAsia" w:ascii="宋体" w:hAnsi="宋体" w:cs="微软雅黑"/>
                <w:szCs w:val="21"/>
              </w:rPr>
              <w:tab/>
            </w:r>
            <w:r>
              <w:rPr>
                <w:rFonts w:hint="eastAsia" w:ascii="宋体" w:hAnsi="宋体" w:cs="微软雅黑"/>
                <w:szCs w:val="21"/>
              </w:rPr>
              <w:t>输入电源规格220V</w:t>
            </w:r>
          </w:p>
          <w:p>
            <w:pPr>
              <w:spacing w:line="400" w:lineRule="exact"/>
              <w:rPr>
                <w:rFonts w:ascii="宋体" w:hAnsi="宋体" w:cs="微软雅黑"/>
                <w:szCs w:val="21"/>
              </w:rPr>
            </w:pPr>
            <w:r>
              <w:rPr>
                <w:rFonts w:hint="eastAsia" w:ascii="宋体" w:hAnsi="宋体" w:cs="微软雅黑"/>
                <w:szCs w:val="21"/>
              </w:rPr>
              <w:t>4.2</w:t>
            </w:r>
            <w:r>
              <w:rPr>
                <w:rFonts w:hint="eastAsia" w:ascii="宋体" w:hAnsi="宋体" w:cs="微软雅黑"/>
                <w:szCs w:val="21"/>
              </w:rPr>
              <w:tab/>
            </w:r>
            <w:r>
              <w:rPr>
                <w:rFonts w:hint="eastAsia" w:ascii="宋体" w:hAnsi="宋体" w:cs="微软雅黑"/>
                <w:szCs w:val="21"/>
              </w:rPr>
              <w:t>输出功率≥50kW</w:t>
            </w:r>
          </w:p>
          <w:p>
            <w:pPr>
              <w:spacing w:line="400" w:lineRule="exact"/>
              <w:rPr>
                <w:rFonts w:ascii="宋体" w:hAnsi="宋体" w:cs="微软雅黑"/>
                <w:szCs w:val="21"/>
              </w:rPr>
            </w:pPr>
            <w:r>
              <w:rPr>
                <w:rFonts w:hint="eastAsia" w:ascii="宋体" w:hAnsi="宋体" w:cs="微软雅黑"/>
                <w:szCs w:val="21"/>
              </w:rPr>
              <w:t>4.3</w:t>
            </w:r>
            <w:r>
              <w:rPr>
                <w:rFonts w:hint="eastAsia" w:ascii="宋体" w:hAnsi="宋体" w:cs="微软雅黑"/>
                <w:szCs w:val="21"/>
              </w:rPr>
              <w:tab/>
            </w:r>
            <w:r>
              <w:rPr>
                <w:rFonts w:hint="eastAsia" w:ascii="宋体" w:hAnsi="宋体" w:cs="微软雅黑"/>
                <w:szCs w:val="21"/>
              </w:rPr>
              <w:t>摄影管电压范围40~150kV</w:t>
            </w:r>
          </w:p>
          <w:p>
            <w:pPr>
              <w:spacing w:line="400" w:lineRule="exact"/>
              <w:rPr>
                <w:rFonts w:ascii="宋体" w:hAnsi="宋体" w:cs="微软雅黑"/>
                <w:szCs w:val="21"/>
              </w:rPr>
            </w:pPr>
            <w:r>
              <w:rPr>
                <w:rFonts w:hint="eastAsia" w:ascii="宋体" w:hAnsi="宋体" w:cs="微软雅黑"/>
                <w:szCs w:val="21"/>
              </w:rPr>
              <w:t>4.4</w:t>
            </w:r>
            <w:r>
              <w:rPr>
                <w:rFonts w:hint="eastAsia" w:ascii="宋体" w:hAnsi="宋体" w:cs="微软雅黑"/>
                <w:szCs w:val="21"/>
              </w:rPr>
              <w:tab/>
            </w:r>
            <w:r>
              <w:rPr>
                <w:rFonts w:hint="eastAsia" w:ascii="宋体" w:hAnsi="宋体" w:cs="微软雅黑"/>
                <w:szCs w:val="21"/>
              </w:rPr>
              <w:t>摄影管电流范围10~630mA</w:t>
            </w:r>
          </w:p>
          <w:p>
            <w:pPr>
              <w:spacing w:line="400" w:lineRule="exact"/>
              <w:rPr>
                <w:rFonts w:ascii="宋体" w:hAnsi="宋体" w:cs="微软雅黑"/>
                <w:szCs w:val="21"/>
              </w:rPr>
            </w:pPr>
            <w:r>
              <w:rPr>
                <w:rFonts w:hint="eastAsia" w:ascii="宋体" w:hAnsi="宋体" w:cs="微软雅黑"/>
                <w:szCs w:val="21"/>
              </w:rPr>
              <w:t>4.5</w:t>
            </w:r>
            <w:r>
              <w:rPr>
                <w:rFonts w:hint="eastAsia" w:ascii="宋体" w:hAnsi="宋体" w:cs="微软雅黑"/>
                <w:szCs w:val="21"/>
              </w:rPr>
              <w:tab/>
            </w:r>
            <w:r>
              <w:rPr>
                <w:rFonts w:hint="eastAsia" w:ascii="宋体" w:hAnsi="宋体" w:cs="微软雅黑"/>
                <w:szCs w:val="21"/>
              </w:rPr>
              <w:t>曝光加载时间1ms~10000ms</w:t>
            </w:r>
          </w:p>
          <w:p>
            <w:pPr>
              <w:spacing w:line="400" w:lineRule="exact"/>
              <w:rPr>
                <w:rFonts w:ascii="宋体" w:hAnsi="宋体" w:cs="微软雅黑"/>
                <w:szCs w:val="21"/>
              </w:rPr>
            </w:pPr>
            <w:r>
              <w:rPr>
                <w:rFonts w:hint="eastAsia" w:ascii="宋体" w:hAnsi="宋体" w:cs="微软雅黑"/>
                <w:szCs w:val="21"/>
              </w:rPr>
              <w:t>4.6</w:t>
            </w:r>
            <w:r>
              <w:rPr>
                <w:rFonts w:hint="eastAsia" w:ascii="宋体" w:hAnsi="宋体" w:cs="微软雅黑"/>
                <w:szCs w:val="21"/>
              </w:rPr>
              <w:tab/>
            </w:r>
            <w:r>
              <w:rPr>
                <w:rFonts w:hint="eastAsia" w:ascii="宋体" w:hAnsi="宋体" w:cs="微软雅黑"/>
                <w:szCs w:val="21"/>
              </w:rPr>
              <w:t>电流时间积0.1~640mAs</w:t>
            </w:r>
          </w:p>
          <w:p>
            <w:pPr>
              <w:spacing w:line="400" w:lineRule="exact"/>
              <w:rPr>
                <w:rFonts w:ascii="宋体" w:hAnsi="宋体" w:cs="微软雅黑"/>
                <w:szCs w:val="21"/>
              </w:rPr>
            </w:pPr>
            <w:r>
              <w:rPr>
                <w:rFonts w:hint="eastAsia" w:ascii="宋体" w:hAnsi="宋体" w:cs="微软雅黑"/>
                <w:szCs w:val="21"/>
              </w:rPr>
              <w:t>4.7</w:t>
            </w:r>
            <w:r>
              <w:rPr>
                <w:rFonts w:hint="eastAsia" w:ascii="宋体" w:hAnsi="宋体" w:cs="微软雅黑"/>
                <w:szCs w:val="21"/>
              </w:rPr>
              <w:tab/>
            </w:r>
            <w:r>
              <w:rPr>
                <w:rFonts w:hint="eastAsia" w:ascii="宋体" w:hAnsi="宋体" w:cs="微软雅黑"/>
                <w:szCs w:val="21"/>
              </w:rPr>
              <w:t>具备自动APR联动功能</w:t>
            </w:r>
            <w:r>
              <w:rPr>
                <w:rFonts w:hint="eastAsia" w:ascii="宋体" w:hAnsi="宋体" w:cs="微软雅黑"/>
                <w:szCs w:val="21"/>
              </w:rPr>
              <w:tab/>
            </w:r>
          </w:p>
          <w:p>
            <w:pPr>
              <w:spacing w:line="400" w:lineRule="exact"/>
              <w:rPr>
                <w:rFonts w:ascii="宋体" w:hAnsi="宋体" w:cs="微软雅黑"/>
                <w:szCs w:val="21"/>
              </w:rPr>
            </w:pPr>
            <w:r>
              <w:rPr>
                <w:rFonts w:hint="eastAsia" w:ascii="宋体" w:hAnsi="宋体" w:cs="微软雅黑"/>
                <w:szCs w:val="21"/>
              </w:rPr>
              <w:t>5</w:t>
            </w:r>
            <w:r>
              <w:rPr>
                <w:rFonts w:hint="eastAsia" w:ascii="宋体" w:hAnsi="宋体" w:cs="微软雅黑"/>
                <w:szCs w:val="21"/>
              </w:rPr>
              <w:tab/>
            </w:r>
            <w:r>
              <w:rPr>
                <w:rFonts w:hint="eastAsia" w:ascii="宋体" w:hAnsi="宋体" w:cs="微软雅黑"/>
                <w:szCs w:val="21"/>
              </w:rPr>
              <w:t>X线球管</w:t>
            </w:r>
          </w:p>
          <w:p>
            <w:pPr>
              <w:spacing w:line="400" w:lineRule="exact"/>
              <w:rPr>
                <w:rFonts w:ascii="宋体" w:hAnsi="宋体" w:cs="微软雅黑"/>
                <w:szCs w:val="21"/>
              </w:rPr>
            </w:pPr>
            <w:r>
              <w:rPr>
                <w:rFonts w:hint="eastAsia" w:ascii="宋体" w:hAnsi="宋体" w:cs="微软雅黑"/>
                <w:szCs w:val="21"/>
              </w:rPr>
              <w:t>5.1</w:t>
            </w:r>
            <w:r>
              <w:rPr>
                <w:rFonts w:hint="eastAsia" w:ascii="宋体" w:hAnsi="宋体" w:cs="微软雅黑"/>
                <w:szCs w:val="21"/>
              </w:rPr>
              <w:tab/>
            </w:r>
            <w:r>
              <w:rPr>
                <w:rFonts w:hint="eastAsia" w:ascii="宋体" w:hAnsi="宋体" w:cs="微软雅黑"/>
                <w:szCs w:val="21"/>
              </w:rPr>
              <w:t>管电压范围</w:t>
            </w:r>
            <w:r>
              <w:rPr>
                <w:rFonts w:hint="eastAsia" w:ascii="宋体" w:hAnsi="宋体" w:cs="微软雅黑"/>
                <w:szCs w:val="21"/>
              </w:rPr>
              <w:tab/>
            </w:r>
            <w:r>
              <w:rPr>
                <w:rFonts w:hint="eastAsia" w:ascii="宋体" w:hAnsi="宋体" w:cs="微软雅黑"/>
                <w:szCs w:val="21"/>
              </w:rPr>
              <w:t>40~150kV</w:t>
            </w:r>
          </w:p>
          <w:p>
            <w:pPr>
              <w:spacing w:line="400" w:lineRule="exact"/>
              <w:rPr>
                <w:rFonts w:ascii="宋体" w:hAnsi="宋体" w:cs="微软雅黑"/>
                <w:szCs w:val="21"/>
              </w:rPr>
            </w:pPr>
            <w:r>
              <w:rPr>
                <w:rFonts w:hint="eastAsia" w:ascii="宋体" w:hAnsi="宋体" w:cs="微软雅黑"/>
                <w:szCs w:val="21"/>
              </w:rPr>
              <w:t>5.2</w:t>
            </w:r>
            <w:r>
              <w:rPr>
                <w:rFonts w:hint="eastAsia" w:ascii="宋体" w:hAnsi="宋体" w:cs="微软雅黑"/>
                <w:szCs w:val="21"/>
              </w:rPr>
              <w:tab/>
            </w:r>
            <w:r>
              <w:rPr>
                <w:rFonts w:hint="eastAsia" w:ascii="宋体" w:hAnsi="宋体" w:cs="微软雅黑"/>
                <w:szCs w:val="21"/>
              </w:rPr>
              <w:t>焦点尺寸≤0.6/1.2mm</w:t>
            </w:r>
          </w:p>
          <w:p>
            <w:pPr>
              <w:spacing w:line="400" w:lineRule="exact"/>
              <w:rPr>
                <w:rFonts w:ascii="宋体" w:hAnsi="宋体" w:cs="微软雅黑"/>
                <w:szCs w:val="21"/>
              </w:rPr>
            </w:pPr>
            <w:r>
              <w:rPr>
                <w:rFonts w:hint="eastAsia" w:ascii="宋体" w:hAnsi="宋体" w:cs="微软雅黑"/>
                <w:szCs w:val="21"/>
              </w:rPr>
              <w:t>5.3</w:t>
            </w:r>
            <w:r>
              <w:rPr>
                <w:rFonts w:hint="eastAsia" w:ascii="宋体" w:hAnsi="宋体" w:cs="微软雅黑"/>
                <w:szCs w:val="21"/>
              </w:rPr>
              <w:tab/>
            </w:r>
            <w:r>
              <w:rPr>
                <w:rFonts w:hint="eastAsia" w:ascii="宋体" w:hAnsi="宋体" w:cs="微软雅黑"/>
                <w:szCs w:val="21"/>
              </w:rPr>
              <w:t>焦点功率≥20/50kW</w:t>
            </w:r>
          </w:p>
          <w:p>
            <w:pPr>
              <w:spacing w:line="400" w:lineRule="exact"/>
              <w:rPr>
                <w:rFonts w:ascii="宋体" w:hAnsi="宋体" w:cs="微软雅黑"/>
                <w:szCs w:val="21"/>
              </w:rPr>
            </w:pPr>
            <w:r>
              <w:rPr>
                <w:rFonts w:hint="eastAsia" w:ascii="宋体" w:hAnsi="宋体"/>
                <w:szCs w:val="21"/>
              </w:rPr>
              <w:t>★</w:t>
            </w:r>
            <w:r>
              <w:rPr>
                <w:rFonts w:hint="eastAsia" w:ascii="宋体" w:hAnsi="宋体" w:cs="微软雅黑"/>
                <w:szCs w:val="21"/>
              </w:rPr>
              <w:t>5.4阳极热容量</w:t>
            </w:r>
            <w:r>
              <w:rPr>
                <w:rFonts w:hint="eastAsia" w:ascii="宋体" w:hAnsi="宋体" w:cs="微软雅黑"/>
                <w:szCs w:val="21"/>
              </w:rPr>
              <w:tab/>
            </w:r>
            <w:r>
              <w:rPr>
                <w:rFonts w:hint="eastAsia" w:ascii="宋体" w:hAnsi="宋体" w:cs="微软雅黑"/>
                <w:szCs w:val="21"/>
              </w:rPr>
              <w:t>≥300kHU</w:t>
            </w:r>
          </w:p>
          <w:p>
            <w:pPr>
              <w:spacing w:line="400" w:lineRule="exact"/>
              <w:rPr>
                <w:rFonts w:ascii="宋体" w:hAnsi="宋体" w:cs="微软雅黑"/>
                <w:szCs w:val="21"/>
              </w:rPr>
            </w:pPr>
            <w:r>
              <w:rPr>
                <w:rFonts w:hint="eastAsia" w:ascii="宋体" w:hAnsi="宋体" w:cs="微软雅黑"/>
                <w:szCs w:val="21"/>
              </w:rPr>
              <w:t>5.5</w:t>
            </w:r>
            <w:r>
              <w:rPr>
                <w:rFonts w:hint="eastAsia" w:ascii="宋体" w:hAnsi="宋体" w:cs="微软雅黑"/>
                <w:szCs w:val="21"/>
              </w:rPr>
              <w:tab/>
            </w:r>
            <w:r>
              <w:rPr>
                <w:rFonts w:hint="eastAsia" w:ascii="宋体" w:hAnsi="宋体" w:cs="微软雅黑"/>
                <w:szCs w:val="21"/>
              </w:rPr>
              <w:t>阳极转速≥3200rpm</w:t>
            </w:r>
          </w:p>
          <w:p>
            <w:pPr>
              <w:spacing w:line="400" w:lineRule="exact"/>
              <w:rPr>
                <w:rFonts w:ascii="宋体" w:hAnsi="宋体" w:cs="微软雅黑"/>
                <w:szCs w:val="21"/>
              </w:rPr>
            </w:pPr>
            <w:r>
              <w:rPr>
                <w:rFonts w:hint="eastAsia" w:ascii="宋体" w:hAnsi="宋体" w:cs="微软雅黑"/>
                <w:szCs w:val="21"/>
              </w:rPr>
              <w:t>6无线平板探测器</w:t>
            </w:r>
          </w:p>
          <w:p>
            <w:pPr>
              <w:spacing w:line="400" w:lineRule="exact"/>
              <w:rPr>
                <w:rFonts w:ascii="宋体" w:hAnsi="宋体" w:cs="微软雅黑"/>
                <w:szCs w:val="21"/>
              </w:rPr>
            </w:pPr>
            <w:r>
              <w:rPr>
                <w:rFonts w:hint="eastAsia" w:ascii="宋体" w:hAnsi="宋体" w:cs="微软雅黑"/>
                <w:szCs w:val="21"/>
              </w:rPr>
              <w:t>6.1</w:t>
            </w:r>
            <w:r>
              <w:rPr>
                <w:rFonts w:hint="eastAsia" w:ascii="宋体" w:hAnsi="宋体" w:cs="微软雅黑"/>
                <w:szCs w:val="21"/>
              </w:rPr>
              <w:tab/>
            </w:r>
            <w:r>
              <w:rPr>
                <w:rFonts w:hint="eastAsia" w:ascii="宋体" w:hAnsi="宋体" w:cs="微软雅黑"/>
                <w:szCs w:val="21"/>
              </w:rPr>
              <w:t>闪烁体材料</w:t>
            </w:r>
            <w:r>
              <w:rPr>
                <w:rFonts w:hint="eastAsia" w:ascii="宋体" w:hAnsi="宋体" w:cs="微软雅黑"/>
                <w:szCs w:val="21"/>
              </w:rPr>
              <w:tab/>
            </w:r>
            <w:r>
              <w:rPr>
                <w:rFonts w:hint="eastAsia" w:ascii="宋体" w:hAnsi="宋体" w:cs="微软雅黑"/>
                <w:szCs w:val="21"/>
              </w:rPr>
              <w:t>碘化铯</w:t>
            </w:r>
          </w:p>
          <w:p>
            <w:pPr>
              <w:spacing w:line="400" w:lineRule="exact"/>
              <w:rPr>
                <w:rFonts w:ascii="宋体" w:hAnsi="宋体" w:cs="微软雅黑"/>
                <w:szCs w:val="21"/>
              </w:rPr>
            </w:pPr>
            <w:r>
              <w:rPr>
                <w:rFonts w:hint="eastAsia" w:ascii="宋体" w:hAnsi="宋体"/>
                <w:szCs w:val="21"/>
              </w:rPr>
              <w:t>★</w:t>
            </w:r>
            <w:r>
              <w:rPr>
                <w:rFonts w:hint="eastAsia" w:ascii="宋体" w:hAnsi="宋体" w:cs="微软雅黑"/>
                <w:szCs w:val="21"/>
              </w:rPr>
              <w:t>6.2探测器尺寸≥17*17英寸</w:t>
            </w:r>
          </w:p>
          <w:p>
            <w:pPr>
              <w:spacing w:line="400" w:lineRule="exact"/>
              <w:rPr>
                <w:rFonts w:ascii="宋体" w:hAnsi="宋体" w:cs="微软雅黑"/>
                <w:szCs w:val="21"/>
              </w:rPr>
            </w:pPr>
            <w:r>
              <w:rPr>
                <w:rFonts w:hint="eastAsia" w:ascii="宋体" w:hAnsi="宋体" w:cs="微软雅黑"/>
                <w:szCs w:val="21"/>
              </w:rPr>
              <w:t>6.3</w:t>
            </w:r>
            <w:r>
              <w:rPr>
                <w:rFonts w:hint="eastAsia" w:ascii="宋体" w:hAnsi="宋体" w:cs="微软雅黑"/>
                <w:szCs w:val="21"/>
              </w:rPr>
              <w:tab/>
            </w:r>
            <w:r>
              <w:rPr>
                <w:rFonts w:hint="eastAsia" w:ascii="宋体" w:hAnsi="宋体" w:cs="微软雅黑"/>
                <w:szCs w:val="21"/>
              </w:rPr>
              <w:t>采集矩阵≥3072×3072</w:t>
            </w:r>
          </w:p>
          <w:p>
            <w:pPr>
              <w:spacing w:line="400" w:lineRule="exact"/>
              <w:rPr>
                <w:rFonts w:ascii="宋体" w:hAnsi="宋体" w:cs="微软雅黑"/>
                <w:szCs w:val="21"/>
              </w:rPr>
            </w:pPr>
            <w:r>
              <w:rPr>
                <w:rFonts w:hint="eastAsia" w:ascii="宋体" w:hAnsi="宋体" w:cs="微软雅黑"/>
                <w:szCs w:val="21"/>
              </w:rPr>
              <w:t>6.4</w:t>
            </w:r>
            <w:r>
              <w:rPr>
                <w:rFonts w:hint="eastAsia" w:ascii="宋体" w:hAnsi="宋体" w:cs="微软雅黑"/>
                <w:szCs w:val="21"/>
              </w:rPr>
              <w:tab/>
            </w:r>
            <w:r>
              <w:rPr>
                <w:rFonts w:hint="eastAsia" w:ascii="宋体" w:hAnsi="宋体" w:cs="微软雅黑"/>
                <w:szCs w:val="21"/>
              </w:rPr>
              <w:t>像素尺寸≥139μm</w:t>
            </w:r>
          </w:p>
          <w:p>
            <w:pPr>
              <w:spacing w:line="400" w:lineRule="exact"/>
              <w:rPr>
                <w:rFonts w:ascii="宋体" w:hAnsi="宋体" w:cs="微软雅黑"/>
                <w:szCs w:val="21"/>
              </w:rPr>
            </w:pPr>
            <w:r>
              <w:rPr>
                <w:rFonts w:hint="eastAsia" w:ascii="宋体" w:hAnsi="宋体" w:cs="微软雅黑"/>
                <w:szCs w:val="21"/>
              </w:rPr>
              <w:t>6.5</w:t>
            </w:r>
            <w:r>
              <w:rPr>
                <w:rFonts w:hint="eastAsia" w:ascii="宋体" w:hAnsi="宋体" w:cs="微软雅黑"/>
                <w:szCs w:val="21"/>
              </w:rPr>
              <w:tab/>
            </w:r>
            <w:r>
              <w:rPr>
                <w:rFonts w:hint="eastAsia" w:ascii="宋体" w:hAnsi="宋体" w:cs="微软雅黑"/>
                <w:szCs w:val="21"/>
              </w:rPr>
              <w:t>空间分辨率≥3.6lp/mm</w:t>
            </w:r>
          </w:p>
          <w:p>
            <w:pPr>
              <w:spacing w:line="400" w:lineRule="exact"/>
              <w:rPr>
                <w:rFonts w:ascii="宋体" w:hAnsi="宋体" w:cs="微软雅黑"/>
                <w:szCs w:val="21"/>
              </w:rPr>
            </w:pPr>
            <w:r>
              <w:rPr>
                <w:rFonts w:hint="eastAsia" w:ascii="宋体" w:hAnsi="宋体" w:cs="微软雅黑"/>
                <w:szCs w:val="21"/>
              </w:rPr>
              <w:t>6.6</w:t>
            </w:r>
            <w:r>
              <w:rPr>
                <w:rFonts w:hint="eastAsia" w:ascii="宋体" w:hAnsi="宋体" w:cs="微软雅黑"/>
                <w:szCs w:val="21"/>
              </w:rPr>
              <w:tab/>
            </w:r>
            <w:r>
              <w:rPr>
                <w:rFonts w:hint="eastAsia" w:ascii="宋体" w:hAnsi="宋体" w:cs="微软雅黑"/>
                <w:szCs w:val="21"/>
              </w:rPr>
              <w:t>A/D转换≥16bit</w:t>
            </w:r>
          </w:p>
          <w:p>
            <w:pPr>
              <w:spacing w:line="400" w:lineRule="exact"/>
              <w:rPr>
                <w:rFonts w:ascii="宋体" w:hAnsi="宋体" w:cs="微软雅黑"/>
                <w:szCs w:val="21"/>
              </w:rPr>
            </w:pPr>
            <w:r>
              <w:rPr>
                <w:rFonts w:hint="eastAsia" w:ascii="宋体" w:hAnsi="宋体" w:cs="微软雅黑"/>
                <w:szCs w:val="21"/>
              </w:rPr>
              <w:t>6.7</w:t>
            </w:r>
            <w:r>
              <w:rPr>
                <w:rFonts w:hint="eastAsia" w:ascii="宋体" w:hAnsi="宋体" w:cs="微软雅黑"/>
                <w:szCs w:val="21"/>
              </w:rPr>
              <w:tab/>
            </w:r>
            <w:r>
              <w:rPr>
                <w:rFonts w:hint="eastAsia" w:ascii="宋体" w:hAnsi="宋体" w:cs="微软雅黑"/>
                <w:szCs w:val="21"/>
              </w:rPr>
              <w:t>预览时间＜4s</w:t>
            </w:r>
          </w:p>
          <w:p>
            <w:pPr>
              <w:spacing w:line="400" w:lineRule="exact"/>
              <w:rPr>
                <w:rFonts w:ascii="宋体" w:hAnsi="宋体" w:cs="微软雅黑"/>
                <w:szCs w:val="21"/>
              </w:rPr>
            </w:pPr>
            <w:r>
              <w:rPr>
                <w:rFonts w:hint="eastAsia" w:ascii="宋体" w:hAnsi="宋体" w:cs="微软雅黑"/>
                <w:szCs w:val="21"/>
              </w:rPr>
              <w:t>6.8</w:t>
            </w:r>
            <w:r>
              <w:rPr>
                <w:rFonts w:hint="eastAsia" w:ascii="宋体" w:hAnsi="宋体" w:cs="微软雅黑"/>
                <w:szCs w:val="21"/>
              </w:rPr>
              <w:tab/>
            </w:r>
            <w:r>
              <w:rPr>
                <w:rFonts w:hint="eastAsia" w:ascii="宋体" w:hAnsi="宋体" w:cs="微软雅黑"/>
                <w:szCs w:val="21"/>
              </w:rPr>
              <w:t>数据传输：无线传输；</w:t>
            </w:r>
          </w:p>
          <w:p>
            <w:pPr>
              <w:spacing w:line="400" w:lineRule="exact"/>
              <w:rPr>
                <w:rFonts w:ascii="宋体" w:hAnsi="宋体" w:cs="微软雅黑"/>
                <w:szCs w:val="21"/>
              </w:rPr>
            </w:pPr>
            <w:r>
              <w:rPr>
                <w:rFonts w:hint="eastAsia" w:ascii="宋体" w:hAnsi="宋体" w:cs="微软雅黑"/>
                <w:szCs w:val="21"/>
              </w:rPr>
              <w:t>6.9</w:t>
            </w:r>
            <w:r>
              <w:rPr>
                <w:rFonts w:hint="eastAsia" w:ascii="宋体" w:hAnsi="宋体" w:cs="微软雅黑"/>
                <w:szCs w:val="21"/>
              </w:rPr>
              <w:tab/>
            </w:r>
            <w:r>
              <w:rPr>
                <w:rFonts w:hint="eastAsia" w:ascii="宋体" w:hAnsi="宋体" w:cs="微软雅黑"/>
                <w:szCs w:val="21"/>
              </w:rPr>
              <w:t>可拆卸电池数量≥2块</w:t>
            </w:r>
          </w:p>
          <w:p>
            <w:pPr>
              <w:spacing w:line="400" w:lineRule="exact"/>
              <w:rPr>
                <w:rFonts w:ascii="宋体" w:hAnsi="宋体" w:cs="微软雅黑"/>
                <w:szCs w:val="21"/>
              </w:rPr>
            </w:pPr>
            <w:r>
              <w:rPr>
                <w:rFonts w:hint="eastAsia" w:ascii="宋体" w:hAnsi="宋体" w:cs="微软雅黑"/>
                <w:szCs w:val="21"/>
              </w:rPr>
              <w:t>7限束器</w:t>
            </w:r>
          </w:p>
          <w:p>
            <w:pPr>
              <w:spacing w:line="400" w:lineRule="exact"/>
              <w:rPr>
                <w:rFonts w:ascii="宋体" w:hAnsi="宋体" w:cs="微软雅黑"/>
                <w:szCs w:val="21"/>
              </w:rPr>
            </w:pPr>
            <w:r>
              <w:rPr>
                <w:rFonts w:hint="eastAsia" w:ascii="宋体" w:hAnsi="宋体" w:cs="微软雅黑"/>
                <w:szCs w:val="21"/>
              </w:rPr>
              <w:t>7.1</w:t>
            </w:r>
            <w:r>
              <w:rPr>
                <w:rFonts w:hint="eastAsia" w:ascii="宋体" w:hAnsi="宋体" w:cs="微软雅黑"/>
                <w:szCs w:val="21"/>
              </w:rPr>
              <w:tab/>
            </w:r>
            <w:r>
              <w:rPr>
                <w:rFonts w:hint="eastAsia" w:ascii="宋体" w:hAnsi="宋体" w:cs="微软雅黑"/>
                <w:szCs w:val="21"/>
              </w:rPr>
              <w:t>最大照射野尺寸≥35×35cm（@65cmSID）</w:t>
            </w:r>
          </w:p>
          <w:p>
            <w:pPr>
              <w:spacing w:line="400" w:lineRule="exact"/>
              <w:rPr>
                <w:rFonts w:ascii="宋体" w:hAnsi="宋体" w:cs="微软雅黑"/>
                <w:szCs w:val="21"/>
              </w:rPr>
            </w:pPr>
            <w:r>
              <w:rPr>
                <w:rFonts w:hint="eastAsia" w:ascii="宋体" w:hAnsi="宋体" w:cs="微软雅黑"/>
                <w:szCs w:val="21"/>
              </w:rPr>
              <w:t>7.2</w:t>
            </w:r>
            <w:r>
              <w:rPr>
                <w:rFonts w:hint="eastAsia" w:ascii="宋体" w:hAnsi="宋体" w:cs="微软雅黑"/>
                <w:szCs w:val="21"/>
              </w:rPr>
              <w:tab/>
            </w:r>
            <w:r>
              <w:rPr>
                <w:rFonts w:hint="eastAsia" w:ascii="宋体" w:hAnsi="宋体" w:cs="微软雅黑"/>
                <w:szCs w:val="21"/>
              </w:rPr>
              <w:t>具备可自由旋转，0°有感知位</w:t>
            </w:r>
          </w:p>
          <w:p>
            <w:pPr>
              <w:spacing w:line="400" w:lineRule="exact"/>
              <w:rPr>
                <w:rFonts w:ascii="宋体" w:hAnsi="宋体" w:cs="微软雅黑"/>
                <w:szCs w:val="21"/>
              </w:rPr>
            </w:pPr>
            <w:r>
              <w:rPr>
                <w:rFonts w:hint="eastAsia" w:ascii="宋体" w:hAnsi="宋体" w:cs="微软雅黑"/>
                <w:szCs w:val="21"/>
              </w:rPr>
              <w:t>7.3</w:t>
            </w:r>
            <w:r>
              <w:rPr>
                <w:rFonts w:hint="eastAsia" w:ascii="宋体" w:hAnsi="宋体" w:cs="微软雅黑"/>
                <w:szCs w:val="21"/>
              </w:rPr>
              <w:tab/>
            </w:r>
            <w:r>
              <w:rPr>
                <w:rFonts w:hint="eastAsia" w:ascii="宋体" w:hAnsi="宋体" w:cs="微软雅黑"/>
                <w:szCs w:val="21"/>
              </w:rPr>
              <w:t>光源类型LED</w:t>
            </w:r>
          </w:p>
          <w:p>
            <w:pPr>
              <w:spacing w:line="400" w:lineRule="exact"/>
              <w:rPr>
                <w:rFonts w:ascii="宋体" w:hAnsi="宋体" w:cs="微软雅黑"/>
                <w:szCs w:val="21"/>
              </w:rPr>
            </w:pPr>
            <w:r>
              <w:rPr>
                <w:rFonts w:hint="eastAsia" w:ascii="宋体" w:hAnsi="宋体" w:cs="微软雅黑"/>
                <w:szCs w:val="21"/>
              </w:rPr>
              <w:t>7.4</w:t>
            </w:r>
            <w:r>
              <w:rPr>
                <w:rFonts w:hint="eastAsia" w:ascii="宋体" w:hAnsi="宋体" w:cs="微软雅黑"/>
                <w:szCs w:val="21"/>
              </w:rPr>
              <w:tab/>
            </w:r>
            <w:r>
              <w:rPr>
                <w:rFonts w:hint="eastAsia" w:ascii="宋体" w:hAnsi="宋体" w:cs="微软雅黑"/>
                <w:szCs w:val="21"/>
              </w:rPr>
              <w:t>SID测量尺最大量程≥2000mm</w:t>
            </w:r>
          </w:p>
          <w:p>
            <w:pPr>
              <w:spacing w:line="400" w:lineRule="exact"/>
              <w:rPr>
                <w:rFonts w:ascii="宋体" w:hAnsi="宋体" w:cs="微软雅黑"/>
                <w:szCs w:val="21"/>
              </w:rPr>
            </w:pPr>
            <w:r>
              <w:rPr>
                <w:rFonts w:hint="eastAsia" w:ascii="宋体" w:hAnsi="宋体" w:cs="微软雅黑"/>
                <w:szCs w:val="21"/>
              </w:rPr>
              <w:t>8</w:t>
            </w:r>
            <w:r>
              <w:rPr>
                <w:rFonts w:hint="eastAsia" w:ascii="宋体" w:hAnsi="宋体" w:cs="微软雅黑"/>
                <w:szCs w:val="21"/>
              </w:rPr>
              <w:tab/>
            </w:r>
            <w:r>
              <w:rPr>
                <w:rFonts w:hint="eastAsia" w:ascii="宋体" w:hAnsi="宋体" w:cs="微软雅黑"/>
                <w:szCs w:val="21"/>
              </w:rPr>
              <w:t>球管端控制面板</w:t>
            </w:r>
          </w:p>
          <w:p>
            <w:pPr>
              <w:spacing w:line="400" w:lineRule="exact"/>
              <w:rPr>
                <w:rFonts w:ascii="宋体" w:hAnsi="宋体" w:cs="微软雅黑"/>
                <w:szCs w:val="21"/>
              </w:rPr>
            </w:pPr>
            <w:r>
              <w:rPr>
                <w:rFonts w:hint="eastAsia" w:ascii="宋体" w:hAnsi="宋体" w:cs="微软雅黑"/>
                <w:szCs w:val="21"/>
              </w:rPr>
              <w:t>8.1</w:t>
            </w:r>
            <w:r>
              <w:rPr>
                <w:rFonts w:hint="eastAsia" w:ascii="宋体" w:hAnsi="宋体" w:cs="微软雅黑"/>
                <w:szCs w:val="21"/>
              </w:rPr>
              <w:tab/>
            </w:r>
            <w:r>
              <w:rPr>
                <w:rFonts w:hint="eastAsia" w:ascii="宋体" w:hAnsi="宋体" w:cs="微软雅黑"/>
                <w:szCs w:val="21"/>
              </w:rPr>
              <w:t>球管端电容触摸屏尺寸≥7inch</w:t>
            </w:r>
          </w:p>
          <w:p>
            <w:pPr>
              <w:spacing w:line="400" w:lineRule="exact"/>
              <w:rPr>
                <w:rFonts w:ascii="宋体" w:hAnsi="宋体" w:cs="微软雅黑"/>
                <w:szCs w:val="21"/>
              </w:rPr>
            </w:pPr>
            <w:r>
              <w:rPr>
                <w:rFonts w:hint="eastAsia" w:ascii="宋体" w:hAnsi="宋体" w:cs="微软雅黑"/>
                <w:szCs w:val="21"/>
              </w:rPr>
              <w:t>8.2</w:t>
            </w:r>
            <w:r>
              <w:rPr>
                <w:rFonts w:hint="eastAsia" w:ascii="宋体" w:hAnsi="宋体" w:cs="微软雅黑"/>
                <w:szCs w:val="21"/>
              </w:rPr>
              <w:tab/>
            </w:r>
            <w:r>
              <w:rPr>
                <w:rFonts w:hint="eastAsia" w:ascii="宋体" w:hAnsi="宋体" w:cs="微软雅黑"/>
                <w:szCs w:val="21"/>
              </w:rPr>
              <w:t>患者信息显示内容</w:t>
            </w:r>
            <w:r>
              <w:rPr>
                <w:rFonts w:hint="eastAsia" w:ascii="宋体" w:hAnsi="宋体" w:cs="微软雅黑"/>
                <w:szCs w:val="21"/>
              </w:rPr>
              <w:tab/>
            </w:r>
            <w:r>
              <w:rPr>
                <w:rFonts w:hint="eastAsia" w:ascii="宋体" w:hAnsi="宋体" w:cs="微软雅黑"/>
                <w:szCs w:val="21"/>
              </w:rPr>
              <w:t>ID号、姓名、性别、检查体位</w:t>
            </w:r>
          </w:p>
          <w:p>
            <w:pPr>
              <w:spacing w:line="400" w:lineRule="exact"/>
              <w:rPr>
                <w:rFonts w:ascii="宋体" w:hAnsi="宋体" w:cs="微软雅黑"/>
                <w:szCs w:val="21"/>
              </w:rPr>
            </w:pPr>
            <w:r>
              <w:rPr>
                <w:rFonts w:hint="eastAsia" w:ascii="宋体" w:hAnsi="宋体" w:cs="微软雅黑"/>
                <w:szCs w:val="21"/>
              </w:rPr>
              <w:t>8.3</w:t>
            </w:r>
            <w:r>
              <w:rPr>
                <w:rFonts w:hint="eastAsia" w:ascii="宋体" w:hAnsi="宋体" w:cs="微软雅黑"/>
                <w:szCs w:val="21"/>
              </w:rPr>
              <w:tab/>
            </w:r>
            <w:r>
              <w:rPr>
                <w:rFonts w:hint="eastAsia" w:ascii="宋体" w:hAnsi="宋体" w:cs="微软雅黑"/>
                <w:szCs w:val="21"/>
              </w:rPr>
              <w:t>具备当前曝光参数调节</w:t>
            </w:r>
            <w:r>
              <w:rPr>
                <w:rFonts w:hint="eastAsia" w:ascii="宋体" w:hAnsi="宋体" w:cs="微软雅黑"/>
                <w:szCs w:val="21"/>
              </w:rPr>
              <w:tab/>
            </w:r>
          </w:p>
          <w:p>
            <w:pPr>
              <w:spacing w:line="400" w:lineRule="exact"/>
              <w:rPr>
                <w:rFonts w:ascii="宋体" w:hAnsi="宋体" w:cs="微软雅黑"/>
                <w:szCs w:val="21"/>
              </w:rPr>
            </w:pPr>
            <w:r>
              <w:rPr>
                <w:rFonts w:hint="eastAsia" w:ascii="宋体" w:hAnsi="宋体" w:cs="微软雅黑"/>
                <w:szCs w:val="21"/>
              </w:rPr>
              <w:t>8.4</w:t>
            </w:r>
            <w:r>
              <w:rPr>
                <w:rFonts w:hint="eastAsia" w:ascii="宋体" w:hAnsi="宋体" w:cs="微软雅黑"/>
                <w:szCs w:val="21"/>
              </w:rPr>
              <w:tab/>
            </w:r>
            <w:r>
              <w:rPr>
                <w:rFonts w:hint="eastAsia" w:ascii="宋体" w:hAnsi="宋体" w:cs="微软雅黑"/>
                <w:szCs w:val="21"/>
              </w:rPr>
              <w:t>具备患者体型选择</w:t>
            </w:r>
            <w:r>
              <w:rPr>
                <w:rFonts w:hint="eastAsia" w:ascii="宋体" w:hAnsi="宋体" w:cs="微软雅黑"/>
                <w:szCs w:val="21"/>
              </w:rPr>
              <w:tab/>
            </w:r>
          </w:p>
          <w:p>
            <w:pPr>
              <w:spacing w:line="400" w:lineRule="exact"/>
              <w:rPr>
                <w:rFonts w:ascii="宋体" w:hAnsi="宋体" w:cs="微软雅黑"/>
                <w:szCs w:val="21"/>
              </w:rPr>
            </w:pPr>
            <w:r>
              <w:rPr>
                <w:rFonts w:hint="eastAsia" w:ascii="宋体" w:hAnsi="宋体" w:cs="微软雅黑"/>
                <w:szCs w:val="21"/>
              </w:rPr>
              <w:t>8.5</w:t>
            </w:r>
            <w:r>
              <w:rPr>
                <w:rFonts w:hint="eastAsia" w:ascii="宋体" w:hAnsi="宋体" w:cs="微软雅黑"/>
                <w:szCs w:val="21"/>
              </w:rPr>
              <w:tab/>
            </w:r>
            <w:r>
              <w:rPr>
                <w:rFonts w:hint="eastAsia" w:ascii="宋体" w:hAnsi="宋体" w:cs="微软雅黑"/>
                <w:szCs w:val="21"/>
              </w:rPr>
              <w:t>具备检查体位选择</w:t>
            </w:r>
            <w:r>
              <w:rPr>
                <w:rFonts w:hint="eastAsia" w:ascii="宋体" w:hAnsi="宋体" w:cs="微软雅黑"/>
                <w:szCs w:val="21"/>
              </w:rPr>
              <w:tab/>
            </w:r>
          </w:p>
          <w:p>
            <w:pPr>
              <w:spacing w:line="400" w:lineRule="exact"/>
              <w:rPr>
                <w:rFonts w:ascii="宋体" w:hAnsi="宋体" w:cs="微软雅黑"/>
                <w:szCs w:val="21"/>
              </w:rPr>
            </w:pPr>
            <w:r>
              <w:rPr>
                <w:rFonts w:hint="eastAsia" w:ascii="宋体" w:hAnsi="宋体" w:cs="微软雅黑"/>
                <w:szCs w:val="21"/>
              </w:rPr>
              <w:t>8.6</w:t>
            </w:r>
            <w:r>
              <w:rPr>
                <w:rFonts w:hint="eastAsia" w:ascii="宋体" w:hAnsi="宋体" w:cs="微软雅黑"/>
                <w:szCs w:val="21"/>
              </w:rPr>
              <w:tab/>
            </w:r>
            <w:r>
              <w:rPr>
                <w:rFonts w:hint="eastAsia" w:ascii="宋体" w:hAnsi="宋体" w:cs="微软雅黑"/>
                <w:szCs w:val="21"/>
              </w:rPr>
              <w:t>具备显示当前曝光影像</w:t>
            </w:r>
            <w:r>
              <w:rPr>
                <w:rFonts w:hint="eastAsia" w:ascii="宋体" w:hAnsi="宋体" w:cs="微软雅黑"/>
                <w:szCs w:val="21"/>
              </w:rPr>
              <w:tab/>
            </w:r>
          </w:p>
          <w:p>
            <w:pPr>
              <w:spacing w:line="400" w:lineRule="exact"/>
              <w:rPr>
                <w:rFonts w:ascii="宋体" w:hAnsi="宋体" w:cs="微软雅黑"/>
                <w:szCs w:val="21"/>
              </w:rPr>
            </w:pPr>
            <w:r>
              <w:rPr>
                <w:rFonts w:hint="eastAsia" w:ascii="宋体" w:hAnsi="宋体" w:cs="微软雅黑"/>
                <w:szCs w:val="21"/>
              </w:rPr>
              <w:t>8.7</w:t>
            </w:r>
            <w:r>
              <w:rPr>
                <w:rFonts w:hint="eastAsia" w:ascii="宋体" w:hAnsi="宋体" w:cs="微软雅黑"/>
                <w:szCs w:val="21"/>
              </w:rPr>
              <w:tab/>
            </w:r>
            <w:r>
              <w:rPr>
                <w:rFonts w:hint="eastAsia" w:ascii="宋体" w:hAnsi="宋体" w:cs="微软雅黑"/>
                <w:szCs w:val="21"/>
              </w:rPr>
              <w:t>具备微动控制功能，可通过四个微动控制按钮控制主机前进、后退、顺时针原地旋转及逆时针原地旋转</w:t>
            </w:r>
          </w:p>
          <w:p>
            <w:pPr>
              <w:spacing w:line="400" w:lineRule="exact"/>
              <w:rPr>
                <w:rFonts w:ascii="宋体" w:hAnsi="宋体" w:cs="微软雅黑"/>
                <w:szCs w:val="21"/>
              </w:rPr>
            </w:pPr>
            <w:r>
              <w:rPr>
                <w:rFonts w:hint="eastAsia" w:ascii="宋体" w:hAnsi="宋体" w:cs="微软雅黑"/>
                <w:szCs w:val="21"/>
              </w:rPr>
              <w:t>9无线遥控器</w:t>
            </w:r>
          </w:p>
          <w:p>
            <w:pPr>
              <w:spacing w:line="400" w:lineRule="exact"/>
              <w:rPr>
                <w:rFonts w:ascii="宋体" w:hAnsi="宋体" w:cs="微软雅黑"/>
                <w:szCs w:val="21"/>
              </w:rPr>
            </w:pPr>
            <w:r>
              <w:rPr>
                <w:rFonts w:hint="eastAsia" w:ascii="宋体" w:hAnsi="宋体"/>
                <w:szCs w:val="21"/>
              </w:rPr>
              <w:t>★</w:t>
            </w:r>
            <w:r>
              <w:rPr>
                <w:rFonts w:hint="eastAsia" w:ascii="宋体" w:hAnsi="宋体" w:cs="微软雅黑"/>
                <w:szCs w:val="21"/>
              </w:rPr>
              <w:t>9.1信号类型：射频</w:t>
            </w:r>
          </w:p>
          <w:p>
            <w:pPr>
              <w:spacing w:line="400" w:lineRule="exact"/>
              <w:rPr>
                <w:rFonts w:ascii="宋体" w:hAnsi="宋体" w:cs="微软雅黑"/>
                <w:szCs w:val="21"/>
              </w:rPr>
            </w:pPr>
            <w:r>
              <w:rPr>
                <w:rFonts w:hint="eastAsia" w:ascii="宋体" w:hAnsi="宋体" w:cs="微软雅黑"/>
                <w:szCs w:val="21"/>
              </w:rPr>
              <w:t>9.2</w:t>
            </w:r>
            <w:r>
              <w:rPr>
                <w:rFonts w:hint="eastAsia" w:ascii="宋体" w:hAnsi="宋体" w:cs="微软雅黑"/>
                <w:szCs w:val="21"/>
              </w:rPr>
              <w:tab/>
            </w:r>
            <w:r>
              <w:rPr>
                <w:rFonts w:hint="eastAsia" w:ascii="宋体" w:hAnsi="宋体" w:cs="微软雅黑"/>
                <w:szCs w:val="21"/>
              </w:rPr>
              <w:t>信号传输距离≥15m，不受建筑物遮挡影响</w:t>
            </w:r>
          </w:p>
          <w:p>
            <w:pPr>
              <w:spacing w:line="400" w:lineRule="exact"/>
              <w:rPr>
                <w:rFonts w:ascii="宋体" w:hAnsi="宋体" w:cs="微软雅黑"/>
                <w:szCs w:val="21"/>
              </w:rPr>
            </w:pPr>
            <w:r>
              <w:rPr>
                <w:rFonts w:hint="eastAsia" w:ascii="宋体" w:hAnsi="宋体" w:cs="微软雅黑"/>
                <w:szCs w:val="21"/>
              </w:rPr>
              <w:t>10、采集工作站主机</w:t>
            </w:r>
          </w:p>
          <w:p>
            <w:pPr>
              <w:spacing w:line="400" w:lineRule="exact"/>
              <w:rPr>
                <w:rFonts w:ascii="宋体" w:hAnsi="宋体" w:cs="微软雅黑"/>
                <w:szCs w:val="21"/>
              </w:rPr>
            </w:pPr>
            <w:r>
              <w:rPr>
                <w:rFonts w:hint="eastAsia" w:ascii="宋体" w:hAnsi="宋体"/>
                <w:szCs w:val="21"/>
              </w:rPr>
              <w:t>★</w:t>
            </w:r>
            <w:r>
              <w:rPr>
                <w:rFonts w:hint="eastAsia" w:ascii="宋体" w:hAnsi="宋体" w:cs="微软雅黑"/>
                <w:szCs w:val="21"/>
              </w:rPr>
              <w:t>10.1</w:t>
            </w:r>
            <w:r>
              <w:rPr>
                <w:rFonts w:hint="eastAsia" w:ascii="宋体" w:hAnsi="宋体" w:cs="微软雅黑"/>
                <w:szCs w:val="21"/>
              </w:rPr>
              <w:tab/>
            </w:r>
            <w:r>
              <w:rPr>
                <w:rFonts w:hint="eastAsia" w:ascii="宋体" w:hAnsi="宋体" w:cs="微软雅黑"/>
                <w:szCs w:val="21"/>
              </w:rPr>
              <w:t>屏幕尺寸≥19英寸</w:t>
            </w:r>
          </w:p>
          <w:p>
            <w:pPr>
              <w:spacing w:line="400" w:lineRule="exact"/>
              <w:rPr>
                <w:rFonts w:ascii="宋体" w:hAnsi="宋体" w:cs="微软雅黑"/>
                <w:szCs w:val="21"/>
              </w:rPr>
            </w:pPr>
            <w:r>
              <w:rPr>
                <w:rFonts w:hint="eastAsia" w:ascii="宋体" w:hAnsi="宋体" w:cs="微软雅黑"/>
                <w:szCs w:val="21"/>
              </w:rPr>
              <w:t>10.2 类型</w:t>
            </w:r>
            <w:r>
              <w:rPr>
                <w:rFonts w:hint="eastAsia" w:ascii="宋体" w:hAnsi="宋体" w:cs="微软雅黑"/>
                <w:szCs w:val="21"/>
              </w:rPr>
              <w:tab/>
            </w:r>
            <w:r>
              <w:rPr>
                <w:rFonts w:hint="eastAsia" w:ascii="宋体" w:hAnsi="宋体" w:cs="微软雅黑"/>
                <w:szCs w:val="21"/>
              </w:rPr>
              <w:t>彩色液晶电容触摸屏；可支持触摸点数量不小于10个</w:t>
            </w:r>
          </w:p>
          <w:p>
            <w:pPr>
              <w:spacing w:line="400" w:lineRule="exact"/>
              <w:rPr>
                <w:rFonts w:ascii="宋体" w:hAnsi="宋体" w:cs="微软雅黑"/>
                <w:szCs w:val="21"/>
              </w:rPr>
            </w:pPr>
            <w:r>
              <w:rPr>
                <w:rFonts w:hint="eastAsia" w:ascii="宋体" w:hAnsi="宋体" w:cs="微软雅黑"/>
                <w:szCs w:val="21"/>
              </w:rPr>
              <w:t>10.3 分辨率</w:t>
            </w:r>
            <w:r>
              <w:rPr>
                <w:rFonts w:hint="eastAsia" w:ascii="宋体" w:hAnsi="宋体" w:cs="微软雅黑"/>
                <w:szCs w:val="21"/>
              </w:rPr>
              <w:tab/>
            </w:r>
            <w:r>
              <w:rPr>
                <w:rFonts w:hint="eastAsia" w:ascii="宋体" w:hAnsi="宋体" w:cs="微软雅黑"/>
                <w:szCs w:val="21"/>
              </w:rPr>
              <w:t>≥1920×1080</w:t>
            </w:r>
          </w:p>
          <w:p>
            <w:pPr>
              <w:spacing w:line="400" w:lineRule="exact"/>
              <w:rPr>
                <w:rFonts w:ascii="宋体" w:hAnsi="宋体" w:cs="微软雅黑"/>
                <w:szCs w:val="21"/>
              </w:rPr>
            </w:pPr>
            <w:r>
              <w:rPr>
                <w:rFonts w:hint="eastAsia" w:ascii="宋体" w:hAnsi="宋体" w:cs="微软雅黑"/>
                <w:szCs w:val="21"/>
              </w:rPr>
              <w:t>10.4 操作系统</w:t>
            </w:r>
            <w:r>
              <w:rPr>
                <w:rFonts w:hint="eastAsia" w:ascii="宋体" w:hAnsi="宋体" w:cs="微软雅黑"/>
                <w:szCs w:val="21"/>
              </w:rPr>
              <w:tab/>
            </w:r>
            <w:r>
              <w:rPr>
                <w:rFonts w:hint="eastAsia" w:ascii="宋体" w:hAnsi="宋体" w:cs="微软雅黑"/>
                <w:szCs w:val="21"/>
              </w:rPr>
              <w:t>Win10</w:t>
            </w:r>
          </w:p>
          <w:p>
            <w:pPr>
              <w:spacing w:line="400" w:lineRule="exact"/>
              <w:rPr>
                <w:rFonts w:ascii="宋体" w:hAnsi="宋体" w:cs="微软雅黑"/>
                <w:szCs w:val="21"/>
              </w:rPr>
            </w:pPr>
            <w:r>
              <w:rPr>
                <w:rFonts w:hint="eastAsia" w:ascii="宋体" w:hAnsi="宋体" w:cs="微软雅黑"/>
                <w:szCs w:val="21"/>
              </w:rPr>
              <w:t>10.5 处理器（CPU）</w:t>
            </w:r>
            <w:r>
              <w:rPr>
                <w:rFonts w:hint="eastAsia" w:ascii="宋体" w:hAnsi="宋体" w:cs="微软雅黑"/>
                <w:szCs w:val="21"/>
              </w:rPr>
              <w:tab/>
            </w:r>
            <w:r>
              <w:rPr>
                <w:rFonts w:hint="eastAsia" w:ascii="宋体" w:hAnsi="宋体" w:cs="微软雅黑"/>
                <w:szCs w:val="21"/>
              </w:rPr>
              <w:t>≥intel CORE i3</w:t>
            </w:r>
          </w:p>
          <w:p>
            <w:pPr>
              <w:spacing w:line="400" w:lineRule="exact"/>
              <w:rPr>
                <w:rFonts w:ascii="宋体" w:hAnsi="宋体" w:cs="微软雅黑"/>
                <w:szCs w:val="21"/>
              </w:rPr>
            </w:pPr>
            <w:r>
              <w:rPr>
                <w:rFonts w:hint="eastAsia" w:ascii="宋体" w:hAnsi="宋体" w:cs="微软雅黑"/>
                <w:szCs w:val="21"/>
              </w:rPr>
              <w:t>10.6 内存≥4G</w:t>
            </w:r>
          </w:p>
          <w:p>
            <w:pPr>
              <w:spacing w:line="400" w:lineRule="exact"/>
              <w:rPr>
                <w:rFonts w:ascii="宋体" w:hAnsi="宋体" w:cs="微软雅黑"/>
                <w:szCs w:val="21"/>
              </w:rPr>
            </w:pPr>
            <w:r>
              <w:rPr>
                <w:rFonts w:hint="eastAsia" w:ascii="宋体" w:hAnsi="宋体" w:cs="微软雅黑"/>
                <w:szCs w:val="21"/>
              </w:rPr>
              <w:t>10.7 双硬盘</w:t>
            </w:r>
            <w:r>
              <w:rPr>
                <w:rFonts w:hint="eastAsia" w:ascii="宋体" w:hAnsi="宋体" w:cs="微软雅黑"/>
                <w:szCs w:val="21"/>
              </w:rPr>
              <w:tab/>
            </w:r>
            <w:r>
              <w:rPr>
                <w:rFonts w:hint="eastAsia" w:ascii="宋体" w:hAnsi="宋体" w:cs="微软雅黑"/>
                <w:szCs w:val="21"/>
              </w:rPr>
              <w:t>固态硬盘：≥64GB；机械硬盘：≥500GB</w:t>
            </w:r>
          </w:p>
          <w:p>
            <w:pPr>
              <w:spacing w:line="400" w:lineRule="exact"/>
              <w:rPr>
                <w:rFonts w:ascii="宋体" w:hAnsi="宋体" w:cs="微软雅黑"/>
                <w:szCs w:val="21"/>
              </w:rPr>
            </w:pPr>
            <w:r>
              <w:rPr>
                <w:rFonts w:hint="eastAsia" w:ascii="宋体" w:hAnsi="宋体" w:cs="微软雅黑"/>
                <w:szCs w:val="21"/>
              </w:rPr>
              <w:t>10.8 影像存储数量</w:t>
            </w:r>
            <w:r>
              <w:rPr>
                <w:rFonts w:hint="eastAsia" w:ascii="宋体" w:hAnsi="宋体" w:cs="微软雅黑"/>
                <w:szCs w:val="21"/>
              </w:rPr>
              <w:tab/>
            </w:r>
            <w:r>
              <w:rPr>
                <w:rFonts w:hint="eastAsia" w:ascii="宋体" w:hAnsi="宋体" w:cs="微软雅黑"/>
                <w:szCs w:val="21"/>
              </w:rPr>
              <w:t>≥20000张</w:t>
            </w:r>
          </w:p>
          <w:p>
            <w:pPr>
              <w:spacing w:line="400" w:lineRule="exact"/>
              <w:rPr>
                <w:rFonts w:ascii="宋体" w:hAnsi="宋体" w:cs="微软雅黑"/>
                <w:szCs w:val="21"/>
              </w:rPr>
            </w:pPr>
            <w:r>
              <w:rPr>
                <w:rFonts w:hint="eastAsia" w:ascii="宋体" w:hAnsi="宋体" w:cs="微软雅黑"/>
                <w:szCs w:val="21"/>
              </w:rPr>
              <w:t>11</w:t>
            </w:r>
            <w:r>
              <w:rPr>
                <w:rFonts w:hint="eastAsia" w:ascii="宋体" w:hAnsi="宋体" w:cs="微软雅黑"/>
                <w:szCs w:val="21"/>
              </w:rPr>
              <w:tab/>
            </w:r>
            <w:r>
              <w:rPr>
                <w:rFonts w:hint="eastAsia" w:ascii="宋体" w:hAnsi="宋体" w:cs="微软雅黑"/>
                <w:szCs w:val="21"/>
              </w:rPr>
              <w:t>i-VisionDR采集处理系统</w:t>
            </w:r>
          </w:p>
          <w:p>
            <w:pPr>
              <w:spacing w:line="400" w:lineRule="exact"/>
              <w:rPr>
                <w:rFonts w:ascii="宋体" w:hAnsi="宋体" w:cs="微软雅黑"/>
                <w:szCs w:val="21"/>
              </w:rPr>
            </w:pPr>
            <w:r>
              <w:rPr>
                <w:rFonts w:hint="eastAsia" w:ascii="宋体" w:hAnsi="宋体" w:cs="微软雅黑"/>
                <w:szCs w:val="21"/>
              </w:rPr>
              <w:t>11.1图像采集功能：自动从医院HIS系统或者RIS系统获取患者信息或者建立本地病历。多体型选择、自动APR联动及自定义参数设置，计时曝光设置</w:t>
            </w:r>
          </w:p>
          <w:p>
            <w:pPr>
              <w:spacing w:line="400" w:lineRule="exact"/>
              <w:rPr>
                <w:rFonts w:ascii="宋体" w:hAnsi="宋体" w:cs="微软雅黑"/>
                <w:szCs w:val="21"/>
              </w:rPr>
            </w:pPr>
            <w:r>
              <w:rPr>
                <w:rFonts w:hint="eastAsia" w:ascii="宋体" w:hAnsi="宋体" w:cs="微软雅黑"/>
                <w:szCs w:val="21"/>
              </w:rPr>
              <w:t>11.2图像处理功能：自动窗宽窗位调整、ROI窗宽窗位调节、灰阶变换，单幅或者多幅图像并行显示；图像缩放功能：最适合图像，放大、缩小、局部放大、实际大小；图像翻转：左右翻转、上下翻转、90°翻转；图像滤波：降噪程度、骨骼层次、组织细节、对比度等；标注功能：文本标注、箭头等多种标注及删改；图像测量：直线测量、角度测量、矩形测量；图像调整：窗位增益、窗宽增益、灰度拉伸、负片反转、锐化、增强力度等。 其它功能：图像移动、标注选择、图像裁剪等功能。</w:t>
            </w:r>
          </w:p>
          <w:p>
            <w:pPr>
              <w:spacing w:line="400" w:lineRule="exact"/>
              <w:rPr>
                <w:rFonts w:ascii="宋体" w:hAnsi="宋体" w:cs="微软雅黑"/>
                <w:szCs w:val="21"/>
              </w:rPr>
            </w:pPr>
            <w:r>
              <w:rPr>
                <w:rFonts w:hint="eastAsia" w:ascii="宋体" w:hAnsi="宋体" w:cs="微软雅黑"/>
                <w:szCs w:val="21"/>
              </w:rPr>
              <w:t>11.3图像管理功能DICOM功能及数据库管理：系统支持标准的DICOM3.0功能，可将数据传到其他的医学影像工作站。多种胶片打印功能：支持多种尺寸的胶片打印方式；多介质存储功能：U盘、移动硬盘等</w:t>
            </w:r>
          </w:p>
          <w:p>
            <w:pPr>
              <w:spacing w:line="400" w:lineRule="exact"/>
              <w:rPr>
                <w:rFonts w:ascii="宋体" w:hAnsi="宋体" w:cs="微软雅黑"/>
                <w:szCs w:val="21"/>
              </w:rPr>
            </w:pPr>
            <w:r>
              <w:rPr>
                <w:rFonts w:hint="eastAsia" w:ascii="宋体" w:hAnsi="宋体" w:cs="微软雅黑"/>
                <w:szCs w:val="21"/>
              </w:rPr>
              <w:t>11.4病例管理功能：可以存储、检索、查询病历，还可以对病例进行删除、清理、浏览。打印诊断报告功能：增加了打印诊断报告功能，系统内置诊断报告模板和知识库可输出图文一体化报告。</w:t>
            </w:r>
          </w:p>
          <w:p>
            <w:pPr>
              <w:spacing w:line="400" w:lineRule="exact"/>
              <w:rPr>
                <w:rFonts w:ascii="宋体" w:hAnsi="宋体" w:cs="微软雅黑"/>
                <w:szCs w:val="21"/>
              </w:rPr>
            </w:pPr>
            <w:r>
              <w:rPr>
                <w:rFonts w:hint="eastAsia" w:ascii="宋体" w:hAnsi="宋体" w:cs="微软雅黑"/>
                <w:szCs w:val="21"/>
              </w:rPr>
              <w:t>11.5系统监控功能</w:t>
            </w:r>
            <w:r>
              <w:rPr>
                <w:rFonts w:hint="eastAsia" w:ascii="宋体" w:hAnsi="宋体" w:cs="微软雅黑"/>
                <w:szCs w:val="21"/>
              </w:rPr>
              <w:tab/>
            </w:r>
            <w:r>
              <w:rPr>
                <w:rFonts w:hint="eastAsia" w:ascii="宋体" w:hAnsi="宋体" w:cs="微软雅黑"/>
                <w:szCs w:val="21"/>
              </w:rPr>
              <w:t>具有球管热容量、高压发生器状态、平板探测器温度、曝光统计和剩余电量等实时监控功能。</w:t>
            </w:r>
          </w:p>
          <w:p>
            <w:pPr>
              <w:spacing w:line="400" w:lineRule="exact"/>
              <w:rPr>
                <w:rFonts w:ascii="宋体" w:hAnsi="宋体" w:cs="微软雅黑"/>
                <w:szCs w:val="21"/>
              </w:rPr>
            </w:pPr>
            <w:r>
              <w:rPr>
                <w:rFonts w:hint="eastAsia" w:ascii="宋体" w:hAnsi="宋体" w:cs="微软雅黑"/>
                <w:szCs w:val="21"/>
              </w:rPr>
              <w:t>11.6远程联机维护功能：系统软件升级及排障功能。</w:t>
            </w:r>
          </w:p>
          <w:p>
            <w:pPr>
              <w:spacing w:line="400" w:lineRule="exact"/>
              <w:rPr>
                <w:rFonts w:ascii="宋体" w:hAnsi="宋体" w:cs="微软雅黑"/>
                <w:szCs w:val="21"/>
              </w:rPr>
            </w:pPr>
            <w:r>
              <w:rPr>
                <w:rFonts w:hint="eastAsia" w:ascii="宋体" w:hAnsi="宋体" w:cs="微软雅黑"/>
                <w:szCs w:val="21"/>
              </w:rPr>
              <w:t>12</w:t>
            </w:r>
            <w:r>
              <w:rPr>
                <w:rFonts w:hint="eastAsia" w:ascii="宋体" w:hAnsi="宋体" w:cs="微软雅黑"/>
                <w:szCs w:val="21"/>
              </w:rPr>
              <w:tab/>
            </w:r>
            <w:r>
              <w:rPr>
                <w:rFonts w:hint="eastAsia" w:ascii="宋体" w:hAnsi="宋体" w:cs="微软雅黑"/>
                <w:szCs w:val="21"/>
              </w:rPr>
              <w:t>高级临床功能</w:t>
            </w:r>
          </w:p>
          <w:p>
            <w:pPr>
              <w:spacing w:line="400" w:lineRule="exact"/>
              <w:rPr>
                <w:rFonts w:ascii="宋体" w:hAnsi="宋体" w:cs="微软雅黑"/>
                <w:szCs w:val="21"/>
              </w:rPr>
            </w:pPr>
            <w:r>
              <w:rPr>
                <w:rFonts w:hint="eastAsia" w:ascii="宋体" w:hAnsi="宋体" w:cs="微软雅黑"/>
                <w:szCs w:val="21"/>
              </w:rPr>
              <w:t>12.1具备图像细节增强功能</w:t>
            </w:r>
          </w:p>
          <w:p>
            <w:pPr>
              <w:spacing w:line="400" w:lineRule="exact"/>
              <w:rPr>
                <w:rFonts w:ascii="宋体" w:hAnsi="宋体" w:cs="微软雅黑"/>
                <w:szCs w:val="21"/>
              </w:rPr>
            </w:pPr>
            <w:r>
              <w:rPr>
                <w:rFonts w:hint="eastAsia" w:ascii="宋体" w:hAnsi="宋体" w:cs="微软雅黑"/>
                <w:szCs w:val="21"/>
              </w:rPr>
              <w:t>12.2具备支持职业病筛查功能，提供软件著作权证书</w:t>
            </w:r>
            <w:r>
              <w:rPr>
                <w:rFonts w:hint="eastAsia" w:ascii="宋体" w:hAnsi="宋体" w:cs="微软雅黑"/>
                <w:szCs w:val="21"/>
              </w:rPr>
              <w:tab/>
            </w:r>
          </w:p>
          <w:p>
            <w:pPr>
              <w:spacing w:line="400" w:lineRule="exact"/>
              <w:rPr>
                <w:rFonts w:ascii="宋体" w:hAnsi="宋体" w:cs="微软雅黑"/>
                <w:szCs w:val="21"/>
              </w:rPr>
            </w:pPr>
            <w:r>
              <w:rPr>
                <w:rFonts w:hint="eastAsia" w:ascii="宋体" w:hAnsi="宋体" w:cs="微软雅黑"/>
                <w:szCs w:val="21"/>
              </w:rPr>
              <w:t>12.3具备支持移动放射摄影系统遥控信号处理装置</w:t>
            </w:r>
          </w:p>
          <w:p>
            <w:pPr>
              <w:spacing w:line="400" w:lineRule="exact"/>
              <w:rPr>
                <w:rFonts w:ascii="宋体" w:hAnsi="宋体" w:cs="微软雅黑"/>
                <w:szCs w:val="21"/>
              </w:rPr>
            </w:pPr>
            <w:r>
              <w:rPr>
                <w:rFonts w:hint="eastAsia" w:ascii="宋体" w:hAnsi="宋体" w:cs="微软雅黑"/>
                <w:szCs w:val="21"/>
              </w:rPr>
              <w:t>12.4具备支持X射线剂量监控EI系统，提供软件著作权证书</w:t>
            </w:r>
            <w:r>
              <w:rPr>
                <w:rFonts w:hint="eastAsia" w:ascii="宋体" w:hAnsi="宋体" w:cs="微软雅黑"/>
                <w:szCs w:val="21"/>
              </w:rPr>
              <w:tab/>
            </w:r>
          </w:p>
          <w:p>
            <w:pPr>
              <w:spacing w:line="400" w:lineRule="exact"/>
              <w:rPr>
                <w:rFonts w:ascii="宋体" w:hAnsi="宋体" w:cs="微软雅黑"/>
                <w:szCs w:val="21"/>
              </w:rPr>
            </w:pPr>
            <w:r>
              <w:rPr>
                <w:rFonts w:hint="eastAsia" w:ascii="宋体" w:hAnsi="宋体" w:cs="微软雅黑"/>
                <w:szCs w:val="21"/>
              </w:rPr>
              <w:t>12.5支持设备远程联机维护服务</w:t>
            </w:r>
            <w:r>
              <w:rPr>
                <w:rFonts w:hint="eastAsia" w:ascii="宋体" w:hAnsi="宋体" w:cs="微软雅黑"/>
                <w:szCs w:val="21"/>
              </w:rPr>
              <w:tab/>
            </w:r>
          </w:p>
          <w:p>
            <w:pPr>
              <w:spacing w:line="400" w:lineRule="exact"/>
              <w:rPr>
                <w:rFonts w:ascii="宋体" w:hAnsi="宋体" w:cs="微软雅黑"/>
                <w:szCs w:val="21"/>
              </w:rPr>
            </w:pPr>
            <w:r>
              <w:rPr>
                <w:rFonts w:hint="eastAsia" w:ascii="宋体" w:hAnsi="宋体" w:cs="微软雅黑"/>
                <w:szCs w:val="21"/>
              </w:rPr>
              <w:t>13</w:t>
            </w:r>
            <w:r>
              <w:rPr>
                <w:rFonts w:hint="eastAsia" w:ascii="宋体" w:hAnsi="宋体" w:cs="微软雅黑"/>
                <w:szCs w:val="21"/>
              </w:rPr>
              <w:tab/>
            </w:r>
            <w:r>
              <w:rPr>
                <w:rFonts w:hint="eastAsia" w:ascii="宋体" w:hAnsi="宋体" w:cs="微软雅黑"/>
                <w:szCs w:val="21"/>
              </w:rPr>
              <w:t>设备配置</w:t>
            </w:r>
          </w:p>
          <w:p>
            <w:pPr>
              <w:spacing w:line="400" w:lineRule="exact"/>
              <w:rPr>
                <w:rFonts w:ascii="宋体" w:hAnsi="宋体" w:cs="微软雅黑"/>
                <w:szCs w:val="21"/>
              </w:rPr>
            </w:pPr>
            <w:r>
              <w:rPr>
                <w:rFonts w:hint="eastAsia" w:ascii="宋体" w:hAnsi="宋体" w:cs="微软雅黑"/>
                <w:szCs w:val="21"/>
              </w:rPr>
              <w:t>13.1 移动DR机架系统</w:t>
            </w:r>
            <w:r>
              <w:rPr>
                <w:rFonts w:hint="eastAsia" w:ascii="宋体" w:hAnsi="宋体" w:cs="微软雅黑"/>
                <w:szCs w:val="21"/>
              </w:rPr>
              <w:tab/>
            </w:r>
            <w:r>
              <w:rPr>
                <w:rFonts w:hint="eastAsia" w:ascii="宋体" w:hAnsi="宋体" w:cs="微软雅黑"/>
                <w:szCs w:val="21"/>
              </w:rPr>
              <w:t>≥1套</w:t>
            </w:r>
          </w:p>
          <w:p>
            <w:pPr>
              <w:spacing w:line="400" w:lineRule="exact"/>
              <w:rPr>
                <w:rFonts w:ascii="宋体" w:hAnsi="宋体" w:cs="微软雅黑"/>
                <w:szCs w:val="21"/>
              </w:rPr>
            </w:pPr>
            <w:r>
              <w:rPr>
                <w:rFonts w:hint="eastAsia" w:ascii="宋体" w:hAnsi="宋体" w:cs="微软雅黑"/>
                <w:szCs w:val="21"/>
              </w:rPr>
              <w:t>13.2 内置蓄电池</w:t>
            </w:r>
            <w:r>
              <w:rPr>
                <w:rFonts w:hint="eastAsia" w:ascii="宋体" w:hAnsi="宋体" w:cs="微软雅黑"/>
                <w:szCs w:val="21"/>
              </w:rPr>
              <w:tab/>
            </w:r>
            <w:r>
              <w:rPr>
                <w:rFonts w:hint="eastAsia" w:ascii="宋体" w:hAnsi="宋体" w:cs="微软雅黑"/>
                <w:szCs w:val="21"/>
              </w:rPr>
              <w:t>≥1组</w:t>
            </w:r>
          </w:p>
          <w:p>
            <w:pPr>
              <w:spacing w:line="400" w:lineRule="exact"/>
              <w:rPr>
                <w:rFonts w:ascii="宋体" w:hAnsi="宋体" w:cs="微软雅黑"/>
                <w:szCs w:val="21"/>
              </w:rPr>
            </w:pPr>
            <w:r>
              <w:rPr>
                <w:rFonts w:hint="eastAsia" w:ascii="宋体" w:hAnsi="宋体" w:cs="微软雅黑"/>
                <w:szCs w:val="21"/>
              </w:rPr>
              <w:t>13.3 X线球管</w:t>
            </w:r>
            <w:r>
              <w:rPr>
                <w:rFonts w:hint="eastAsia" w:ascii="宋体" w:hAnsi="宋体" w:cs="微软雅黑"/>
                <w:szCs w:val="21"/>
              </w:rPr>
              <w:tab/>
            </w:r>
            <w:r>
              <w:rPr>
                <w:rFonts w:hint="eastAsia" w:ascii="宋体" w:hAnsi="宋体" w:cs="微软雅黑"/>
                <w:szCs w:val="21"/>
              </w:rPr>
              <w:t>≥1个</w:t>
            </w:r>
          </w:p>
          <w:p>
            <w:pPr>
              <w:spacing w:line="400" w:lineRule="exact"/>
              <w:rPr>
                <w:rFonts w:ascii="宋体" w:hAnsi="宋体" w:cs="微软雅黑"/>
                <w:szCs w:val="21"/>
              </w:rPr>
            </w:pPr>
            <w:r>
              <w:rPr>
                <w:rFonts w:hint="eastAsia" w:ascii="宋体" w:hAnsi="宋体" w:cs="微软雅黑"/>
                <w:szCs w:val="21"/>
              </w:rPr>
              <w:t>13.4 高频高压发生器</w:t>
            </w:r>
            <w:r>
              <w:rPr>
                <w:rFonts w:hint="eastAsia" w:ascii="宋体" w:hAnsi="宋体" w:cs="微软雅黑"/>
                <w:szCs w:val="21"/>
              </w:rPr>
              <w:tab/>
            </w:r>
            <w:r>
              <w:rPr>
                <w:rFonts w:hint="eastAsia" w:ascii="宋体" w:hAnsi="宋体" w:cs="微软雅黑"/>
                <w:szCs w:val="21"/>
              </w:rPr>
              <w:t>≥1个</w:t>
            </w:r>
          </w:p>
          <w:p>
            <w:pPr>
              <w:spacing w:line="400" w:lineRule="exact"/>
              <w:rPr>
                <w:rFonts w:ascii="宋体" w:hAnsi="宋体" w:cs="微软雅黑"/>
                <w:szCs w:val="21"/>
              </w:rPr>
            </w:pPr>
            <w:r>
              <w:rPr>
                <w:rFonts w:hint="eastAsia" w:ascii="宋体" w:hAnsi="宋体" w:cs="微软雅黑"/>
                <w:szCs w:val="21"/>
              </w:rPr>
              <w:t>13.5 无线平板探测器</w:t>
            </w:r>
            <w:r>
              <w:rPr>
                <w:rFonts w:hint="eastAsia" w:ascii="宋体" w:hAnsi="宋体" w:cs="微软雅黑"/>
                <w:szCs w:val="21"/>
              </w:rPr>
              <w:tab/>
            </w:r>
            <w:r>
              <w:rPr>
                <w:rFonts w:hint="eastAsia" w:ascii="宋体" w:hAnsi="宋体" w:cs="微软雅黑"/>
                <w:szCs w:val="21"/>
              </w:rPr>
              <w:t>≥1块</w:t>
            </w:r>
          </w:p>
          <w:p>
            <w:pPr>
              <w:spacing w:line="400" w:lineRule="exact"/>
              <w:rPr>
                <w:rFonts w:ascii="宋体" w:hAnsi="宋体" w:cs="微软雅黑"/>
                <w:szCs w:val="21"/>
              </w:rPr>
            </w:pPr>
            <w:r>
              <w:rPr>
                <w:rFonts w:hint="eastAsia" w:ascii="宋体" w:hAnsi="宋体" w:cs="微软雅黑"/>
                <w:szCs w:val="21"/>
              </w:rPr>
              <w:t>13.6 无线平板探测器电池</w:t>
            </w:r>
            <w:r>
              <w:rPr>
                <w:rFonts w:hint="eastAsia" w:ascii="宋体" w:hAnsi="宋体" w:cs="微软雅黑"/>
                <w:szCs w:val="21"/>
              </w:rPr>
              <w:tab/>
            </w:r>
            <w:r>
              <w:rPr>
                <w:rFonts w:hint="eastAsia" w:ascii="宋体" w:hAnsi="宋体" w:cs="微软雅黑"/>
                <w:szCs w:val="21"/>
              </w:rPr>
              <w:t>≥2块</w:t>
            </w:r>
          </w:p>
          <w:p>
            <w:pPr>
              <w:spacing w:line="400" w:lineRule="exact"/>
              <w:rPr>
                <w:rFonts w:ascii="宋体" w:hAnsi="宋体" w:cs="微软雅黑"/>
                <w:szCs w:val="21"/>
              </w:rPr>
            </w:pPr>
            <w:r>
              <w:rPr>
                <w:rFonts w:hint="eastAsia" w:ascii="宋体" w:hAnsi="宋体" w:cs="微软雅黑"/>
                <w:szCs w:val="21"/>
              </w:rPr>
              <w:t>13.7 移动DR图像采集处理软件</w:t>
            </w:r>
            <w:r>
              <w:rPr>
                <w:rFonts w:hint="eastAsia" w:ascii="宋体" w:hAnsi="宋体" w:cs="微软雅黑"/>
                <w:szCs w:val="21"/>
              </w:rPr>
              <w:tab/>
            </w:r>
            <w:r>
              <w:rPr>
                <w:rFonts w:hint="eastAsia" w:ascii="宋体" w:hAnsi="宋体" w:cs="微软雅黑"/>
                <w:szCs w:val="21"/>
              </w:rPr>
              <w:t>≥1套</w:t>
            </w:r>
          </w:p>
          <w:p>
            <w:pPr>
              <w:spacing w:line="400" w:lineRule="exact"/>
              <w:rPr>
                <w:rFonts w:ascii="宋体" w:hAnsi="宋体" w:cs="微软雅黑"/>
                <w:szCs w:val="21"/>
              </w:rPr>
            </w:pPr>
            <w:r>
              <w:rPr>
                <w:rFonts w:hint="eastAsia" w:ascii="宋体" w:hAnsi="宋体" w:cs="微软雅黑"/>
                <w:szCs w:val="21"/>
              </w:rPr>
              <w:t>13.8 无线遥控器</w:t>
            </w:r>
            <w:r>
              <w:rPr>
                <w:rFonts w:hint="eastAsia" w:ascii="宋体" w:hAnsi="宋体" w:cs="微软雅黑"/>
                <w:szCs w:val="21"/>
              </w:rPr>
              <w:tab/>
            </w:r>
            <w:r>
              <w:rPr>
                <w:rFonts w:hint="eastAsia" w:ascii="宋体" w:hAnsi="宋体" w:cs="微软雅黑"/>
                <w:szCs w:val="21"/>
              </w:rPr>
              <w:t>≥1个</w:t>
            </w:r>
          </w:p>
          <w:p>
            <w:pPr>
              <w:spacing w:line="400" w:lineRule="exact"/>
              <w:rPr>
                <w:rFonts w:ascii="宋体" w:hAnsi="宋体" w:cs="微软雅黑"/>
                <w:szCs w:val="21"/>
              </w:rPr>
            </w:pPr>
            <w:r>
              <w:rPr>
                <w:rFonts w:hint="eastAsia" w:ascii="宋体" w:hAnsi="宋体" w:cs="微软雅黑"/>
                <w:szCs w:val="21"/>
              </w:rPr>
              <w:t>13.9 限束器</w:t>
            </w:r>
            <w:r>
              <w:rPr>
                <w:rFonts w:hint="eastAsia" w:ascii="宋体" w:hAnsi="宋体" w:cs="微软雅黑"/>
                <w:szCs w:val="21"/>
              </w:rPr>
              <w:tab/>
            </w:r>
            <w:r>
              <w:rPr>
                <w:rFonts w:hint="eastAsia" w:ascii="宋体" w:hAnsi="宋体" w:cs="微软雅黑"/>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r>
              <w:rPr>
                <w:rFonts w:hint="eastAsia" w:ascii="宋体" w:hAnsi="宋体" w:cs="微软雅黑"/>
                <w:szCs w:val="21"/>
              </w:rPr>
              <w:t>7</w:t>
            </w: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rPr>
                <w:rFonts w:ascii="宋体" w:hAnsi="宋体" w:cs="微软雅黑"/>
                <w:szCs w:val="21"/>
              </w:rPr>
            </w:pPr>
          </w:p>
        </w:tc>
        <w:tc>
          <w:tcPr>
            <w:tcW w:w="803" w:type="dxa"/>
          </w:tcPr>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r>
              <w:rPr>
                <w:rFonts w:hint="eastAsia" w:ascii="宋体" w:hAnsi="宋体" w:cs="微软雅黑"/>
                <w:szCs w:val="21"/>
              </w:rPr>
              <w:t>便</w:t>
            </w:r>
          </w:p>
          <w:p>
            <w:pPr>
              <w:jc w:val="center"/>
              <w:rPr>
                <w:rFonts w:ascii="宋体" w:hAnsi="宋体" w:cs="微软雅黑"/>
                <w:szCs w:val="21"/>
              </w:rPr>
            </w:pPr>
            <w:r>
              <w:rPr>
                <w:rFonts w:hint="eastAsia" w:ascii="宋体" w:hAnsi="宋体" w:cs="微软雅黑"/>
                <w:szCs w:val="21"/>
              </w:rPr>
              <w:t>携</w:t>
            </w:r>
          </w:p>
          <w:p>
            <w:pPr>
              <w:jc w:val="center"/>
              <w:rPr>
                <w:rFonts w:ascii="宋体" w:hAnsi="宋体" w:cs="微软雅黑"/>
                <w:szCs w:val="21"/>
              </w:rPr>
            </w:pPr>
            <w:r>
              <w:rPr>
                <w:rFonts w:hint="eastAsia" w:ascii="宋体" w:hAnsi="宋体" w:cs="微软雅黑"/>
                <w:szCs w:val="21"/>
              </w:rPr>
              <w:t>式</w:t>
            </w:r>
          </w:p>
          <w:p>
            <w:pPr>
              <w:jc w:val="center"/>
              <w:rPr>
                <w:rFonts w:ascii="宋体" w:hAnsi="宋体" w:cs="微软雅黑"/>
                <w:szCs w:val="21"/>
              </w:rPr>
            </w:pPr>
            <w:r>
              <w:rPr>
                <w:rFonts w:hint="eastAsia" w:ascii="宋体" w:hAnsi="宋体" w:cs="微软雅黑"/>
                <w:szCs w:val="21"/>
              </w:rPr>
              <w:t>彩</w:t>
            </w:r>
          </w:p>
          <w:p>
            <w:pPr>
              <w:jc w:val="center"/>
              <w:rPr>
                <w:rFonts w:ascii="宋体" w:hAnsi="宋体" w:cs="微软雅黑"/>
                <w:szCs w:val="21"/>
              </w:rPr>
            </w:pPr>
            <w:r>
              <w:rPr>
                <w:rFonts w:hint="eastAsia" w:ascii="宋体" w:hAnsi="宋体" w:cs="微软雅黑"/>
                <w:szCs w:val="21"/>
              </w:rPr>
              <w:t>色</w:t>
            </w:r>
          </w:p>
          <w:p>
            <w:pPr>
              <w:jc w:val="center"/>
              <w:rPr>
                <w:rFonts w:ascii="宋体" w:hAnsi="宋体" w:cs="微软雅黑"/>
                <w:szCs w:val="21"/>
              </w:rPr>
            </w:pPr>
            <w:r>
              <w:rPr>
                <w:rFonts w:hint="eastAsia" w:ascii="宋体" w:hAnsi="宋体" w:cs="微软雅黑"/>
                <w:szCs w:val="21"/>
              </w:rPr>
              <w:t>多</w:t>
            </w:r>
          </w:p>
          <w:p>
            <w:pPr>
              <w:jc w:val="center"/>
              <w:rPr>
                <w:rFonts w:ascii="宋体" w:hAnsi="宋体" w:cs="微软雅黑"/>
                <w:szCs w:val="21"/>
              </w:rPr>
            </w:pPr>
            <w:r>
              <w:rPr>
                <w:rFonts w:hint="eastAsia" w:ascii="宋体" w:hAnsi="宋体" w:cs="微软雅黑"/>
                <w:szCs w:val="21"/>
              </w:rPr>
              <w:t>普</w:t>
            </w:r>
          </w:p>
          <w:p>
            <w:pPr>
              <w:jc w:val="center"/>
              <w:rPr>
                <w:rFonts w:ascii="宋体" w:hAnsi="宋体" w:cs="微软雅黑"/>
                <w:szCs w:val="21"/>
              </w:rPr>
            </w:pPr>
            <w:r>
              <w:rPr>
                <w:rFonts w:hint="eastAsia" w:ascii="宋体" w:hAnsi="宋体" w:cs="微软雅黑"/>
                <w:szCs w:val="21"/>
              </w:rPr>
              <w:t>勒</w:t>
            </w:r>
          </w:p>
          <w:p>
            <w:pPr>
              <w:jc w:val="center"/>
              <w:rPr>
                <w:rFonts w:ascii="宋体" w:hAnsi="宋体" w:cs="微软雅黑"/>
                <w:szCs w:val="21"/>
              </w:rPr>
            </w:pPr>
            <w:r>
              <w:rPr>
                <w:rFonts w:hint="eastAsia" w:ascii="宋体" w:hAnsi="宋体" w:cs="微软雅黑"/>
                <w:szCs w:val="21"/>
              </w:rPr>
              <w:t>超</w:t>
            </w:r>
          </w:p>
          <w:p>
            <w:pPr>
              <w:jc w:val="center"/>
              <w:rPr>
                <w:rFonts w:ascii="宋体" w:hAnsi="宋体" w:cs="微软雅黑"/>
                <w:szCs w:val="21"/>
              </w:rPr>
            </w:pPr>
            <w:r>
              <w:rPr>
                <w:rFonts w:hint="eastAsia" w:ascii="宋体" w:hAnsi="宋体" w:cs="微软雅黑"/>
                <w:szCs w:val="21"/>
              </w:rPr>
              <w:t>声</w:t>
            </w:r>
          </w:p>
          <w:p>
            <w:pPr>
              <w:jc w:val="center"/>
              <w:rPr>
                <w:rFonts w:ascii="宋体" w:hAnsi="宋体" w:cs="微软雅黑"/>
                <w:szCs w:val="21"/>
              </w:rPr>
            </w:pPr>
            <w:r>
              <w:rPr>
                <w:rFonts w:hint="eastAsia" w:ascii="宋体" w:hAnsi="宋体" w:cs="微软雅黑"/>
                <w:szCs w:val="21"/>
              </w:rPr>
              <w:t>诊</w:t>
            </w:r>
          </w:p>
          <w:p>
            <w:pPr>
              <w:jc w:val="center"/>
              <w:rPr>
                <w:rFonts w:ascii="宋体" w:hAnsi="宋体" w:cs="微软雅黑"/>
                <w:szCs w:val="21"/>
              </w:rPr>
            </w:pPr>
            <w:r>
              <w:rPr>
                <w:rFonts w:hint="eastAsia" w:ascii="宋体" w:hAnsi="宋体" w:cs="微软雅黑"/>
                <w:szCs w:val="21"/>
              </w:rPr>
              <w:t>断</w:t>
            </w:r>
          </w:p>
          <w:p>
            <w:pPr>
              <w:jc w:val="center"/>
              <w:rPr>
                <w:rFonts w:ascii="宋体" w:hAnsi="宋体" w:cs="微软雅黑"/>
                <w:szCs w:val="21"/>
              </w:rPr>
            </w:pPr>
            <w:r>
              <w:rPr>
                <w:rFonts w:hint="eastAsia" w:ascii="宋体" w:hAnsi="宋体" w:cs="微软雅黑"/>
                <w:szCs w:val="21"/>
              </w:rPr>
              <w:t>仪</w:t>
            </w: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rPr>
                <w:rFonts w:ascii="宋体" w:hAnsi="宋体" w:cs="微软雅黑"/>
                <w:szCs w:val="21"/>
              </w:rPr>
            </w:pPr>
          </w:p>
        </w:tc>
        <w:tc>
          <w:tcPr>
            <w:tcW w:w="878" w:type="dxa"/>
          </w:tcPr>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r>
              <w:rPr>
                <w:rFonts w:hint="eastAsia" w:ascii="宋体" w:hAnsi="宋体" w:cs="微软雅黑"/>
                <w:szCs w:val="21"/>
              </w:rPr>
              <w:t>1</w:t>
            </w: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p>
            <w:pPr>
              <w:rPr>
                <w:rFonts w:ascii="宋体" w:hAnsi="宋体" w:cs="微软雅黑"/>
                <w:szCs w:val="21"/>
              </w:rPr>
            </w:pPr>
          </w:p>
        </w:tc>
        <w:tc>
          <w:tcPr>
            <w:tcW w:w="7521" w:type="dxa"/>
          </w:tcPr>
          <w:p>
            <w:pPr>
              <w:spacing w:line="500" w:lineRule="exact"/>
              <w:rPr>
                <w:rFonts w:ascii="宋体" w:hAnsi="宋体"/>
                <w:szCs w:val="21"/>
              </w:rPr>
            </w:pPr>
            <w:r>
              <w:rPr>
                <w:rFonts w:hint="eastAsia" w:ascii="宋体" w:hAnsi="宋体"/>
                <w:szCs w:val="21"/>
              </w:rPr>
              <w:t>1.1彩色监视器：≥15英寸高分辨率彩色液晶显示器</w:t>
            </w:r>
          </w:p>
          <w:p>
            <w:pPr>
              <w:spacing w:line="500" w:lineRule="exact"/>
              <w:rPr>
                <w:rFonts w:ascii="宋体" w:hAnsi="宋体"/>
                <w:szCs w:val="21"/>
              </w:rPr>
            </w:pPr>
            <w:r>
              <w:rPr>
                <w:rFonts w:hint="eastAsia" w:ascii="宋体" w:hAnsi="宋体"/>
                <w:szCs w:val="21"/>
              </w:rPr>
              <w:t>★1.2超声主机操作系统：基于Windows 平台，非嵌入式平台，方便升级与维护</w:t>
            </w:r>
          </w:p>
          <w:p>
            <w:pPr>
              <w:spacing w:line="500" w:lineRule="exact"/>
              <w:rPr>
                <w:rFonts w:ascii="宋体" w:hAnsi="宋体"/>
                <w:szCs w:val="21"/>
              </w:rPr>
            </w:pPr>
            <w:r>
              <w:rPr>
                <w:rFonts w:hint="eastAsia" w:ascii="宋体" w:hAnsi="宋体"/>
                <w:szCs w:val="21"/>
              </w:rPr>
              <w:t>1.3 二维灰阶成像部件</w:t>
            </w:r>
          </w:p>
          <w:p>
            <w:pPr>
              <w:spacing w:line="500" w:lineRule="exact"/>
              <w:rPr>
                <w:rFonts w:ascii="宋体" w:hAnsi="宋体"/>
                <w:szCs w:val="21"/>
              </w:rPr>
            </w:pPr>
            <w:r>
              <w:rPr>
                <w:rFonts w:hint="eastAsia" w:ascii="宋体" w:hAnsi="宋体"/>
                <w:szCs w:val="21"/>
              </w:rPr>
              <w:t>1.4 频谱多普勒显示及多参数分析系统</w:t>
            </w:r>
          </w:p>
          <w:p>
            <w:pPr>
              <w:spacing w:line="500" w:lineRule="exact"/>
              <w:rPr>
                <w:rFonts w:ascii="宋体" w:hAnsi="宋体"/>
                <w:szCs w:val="21"/>
              </w:rPr>
            </w:pPr>
            <w:r>
              <w:rPr>
                <w:rFonts w:hint="eastAsia" w:ascii="宋体" w:hAnsi="宋体"/>
                <w:szCs w:val="21"/>
              </w:rPr>
              <w:t>1.5 彩色多普勒超声波诊断部件</w:t>
            </w:r>
          </w:p>
          <w:p>
            <w:pPr>
              <w:spacing w:line="500" w:lineRule="exact"/>
              <w:rPr>
                <w:rFonts w:ascii="宋体" w:hAnsi="宋体"/>
                <w:szCs w:val="21"/>
              </w:rPr>
            </w:pPr>
            <w:r>
              <w:rPr>
                <w:rFonts w:hint="eastAsia" w:ascii="宋体" w:hAnsi="宋体"/>
                <w:szCs w:val="21"/>
              </w:rPr>
              <w:t>1.6 彩色能量图和方向能量单元</w:t>
            </w:r>
          </w:p>
          <w:p>
            <w:pPr>
              <w:spacing w:line="500" w:lineRule="exact"/>
              <w:rPr>
                <w:rFonts w:ascii="宋体" w:hAnsi="宋体"/>
                <w:szCs w:val="21"/>
              </w:rPr>
            </w:pPr>
            <w:r>
              <w:rPr>
                <w:rFonts w:hint="eastAsia" w:ascii="宋体" w:hAnsi="宋体"/>
                <w:szCs w:val="21"/>
              </w:rPr>
              <w:t>1.7可选配实时三维成像组件</w:t>
            </w:r>
          </w:p>
          <w:p>
            <w:pPr>
              <w:spacing w:line="500" w:lineRule="exact"/>
              <w:rPr>
                <w:rFonts w:ascii="宋体" w:hAnsi="宋体"/>
                <w:szCs w:val="21"/>
              </w:rPr>
            </w:pPr>
            <w:r>
              <w:rPr>
                <w:rFonts w:hint="eastAsia" w:ascii="宋体" w:hAnsi="宋体"/>
                <w:szCs w:val="21"/>
              </w:rPr>
              <w:t>1.</w:t>
            </w:r>
            <w:r>
              <w:rPr>
                <w:rFonts w:ascii="宋体" w:hAnsi="宋体"/>
                <w:szCs w:val="21"/>
              </w:rPr>
              <w:t>8</w:t>
            </w:r>
            <w:r>
              <w:rPr>
                <w:rFonts w:hint="eastAsia" w:ascii="宋体" w:hAnsi="宋体"/>
                <w:szCs w:val="21"/>
              </w:rPr>
              <w:t xml:space="preserve"> 组织谐波成像</w:t>
            </w:r>
          </w:p>
          <w:p>
            <w:pPr>
              <w:spacing w:line="500" w:lineRule="exact"/>
              <w:rPr>
                <w:rFonts w:ascii="宋体" w:hAnsi="宋体"/>
                <w:szCs w:val="21"/>
              </w:rPr>
            </w:pPr>
            <w:r>
              <w:rPr>
                <w:rFonts w:hint="eastAsia" w:ascii="宋体" w:hAnsi="宋体"/>
                <w:szCs w:val="21"/>
              </w:rPr>
              <w:t>1.</w:t>
            </w:r>
            <w:r>
              <w:rPr>
                <w:rFonts w:ascii="宋体" w:hAnsi="宋体"/>
                <w:szCs w:val="21"/>
              </w:rPr>
              <w:t>9</w:t>
            </w:r>
            <w:r>
              <w:rPr>
                <w:rFonts w:hint="eastAsia" w:ascii="宋体" w:hAnsi="宋体"/>
                <w:szCs w:val="21"/>
              </w:rPr>
              <w:t xml:space="preserve"> 梯形成像</w:t>
            </w:r>
          </w:p>
          <w:p>
            <w:pPr>
              <w:spacing w:line="500" w:lineRule="exact"/>
              <w:rPr>
                <w:rFonts w:ascii="宋体" w:hAnsi="宋体"/>
                <w:szCs w:val="21"/>
              </w:rPr>
            </w:pPr>
            <w:r>
              <w:rPr>
                <w:rFonts w:hint="eastAsia" w:ascii="宋体" w:hAnsi="宋体"/>
                <w:szCs w:val="21"/>
              </w:rPr>
              <w:t>1.1</w:t>
            </w:r>
            <w:r>
              <w:rPr>
                <w:rFonts w:ascii="宋体" w:hAnsi="宋体"/>
                <w:szCs w:val="21"/>
              </w:rPr>
              <w:t>0</w:t>
            </w:r>
            <w:r>
              <w:rPr>
                <w:rFonts w:hint="eastAsia" w:ascii="宋体" w:hAnsi="宋体"/>
                <w:szCs w:val="21"/>
              </w:rPr>
              <w:t>实时三同步</w:t>
            </w:r>
          </w:p>
          <w:p>
            <w:pPr>
              <w:spacing w:line="500" w:lineRule="exact"/>
              <w:rPr>
                <w:rFonts w:ascii="宋体" w:hAnsi="宋体"/>
                <w:szCs w:val="21"/>
              </w:rPr>
            </w:pPr>
            <w:r>
              <w:rPr>
                <w:rFonts w:hint="eastAsia" w:ascii="宋体" w:hAnsi="宋体"/>
                <w:szCs w:val="21"/>
              </w:rPr>
              <w:t>1.1</w:t>
            </w:r>
            <w:r>
              <w:rPr>
                <w:rFonts w:ascii="宋体" w:hAnsi="宋体"/>
                <w:szCs w:val="21"/>
              </w:rPr>
              <w:t>1</w:t>
            </w:r>
            <w:r>
              <w:rPr>
                <w:rFonts w:hint="eastAsia" w:ascii="宋体" w:hAnsi="宋体"/>
                <w:szCs w:val="21"/>
              </w:rPr>
              <w:t>实时全域动态聚焦</w:t>
            </w:r>
          </w:p>
          <w:p>
            <w:pPr>
              <w:spacing w:line="500" w:lineRule="exact"/>
              <w:rPr>
                <w:rFonts w:ascii="宋体" w:hAnsi="宋体"/>
                <w:szCs w:val="21"/>
              </w:rPr>
            </w:pPr>
            <w:r>
              <w:rPr>
                <w:rFonts w:hint="eastAsia" w:ascii="宋体" w:hAnsi="宋体"/>
                <w:szCs w:val="21"/>
              </w:rPr>
              <w:t>1.1</w:t>
            </w:r>
            <w:r>
              <w:rPr>
                <w:rFonts w:ascii="宋体" w:hAnsi="宋体"/>
                <w:szCs w:val="21"/>
              </w:rPr>
              <w:t>2</w:t>
            </w:r>
            <w:r>
              <w:rPr>
                <w:rFonts w:hint="eastAsia" w:ascii="宋体" w:hAnsi="宋体"/>
                <w:szCs w:val="21"/>
              </w:rPr>
              <w:t>操作界面：中英文操作界面，支持中文输入功能</w:t>
            </w:r>
          </w:p>
          <w:p>
            <w:pPr>
              <w:spacing w:line="500" w:lineRule="exact"/>
              <w:rPr>
                <w:rFonts w:ascii="宋体" w:hAnsi="宋体"/>
                <w:szCs w:val="21"/>
              </w:rPr>
            </w:pPr>
            <w:r>
              <w:rPr>
                <w:rFonts w:hint="eastAsia" w:ascii="宋体" w:hAnsi="宋体"/>
                <w:szCs w:val="21"/>
              </w:rPr>
              <w:t>1.1</w:t>
            </w:r>
            <w:r>
              <w:rPr>
                <w:rFonts w:ascii="宋体" w:hAnsi="宋体"/>
                <w:szCs w:val="21"/>
              </w:rPr>
              <w:t>3</w:t>
            </w:r>
            <w:r>
              <w:rPr>
                <w:rFonts w:hint="eastAsia" w:ascii="宋体" w:hAnsi="宋体"/>
                <w:szCs w:val="21"/>
              </w:rPr>
              <w:t xml:space="preserve"> 桌面自定义快捷键：≥6个，用户可自定义检查类型、测量软件包、成像功能等特定功能</w:t>
            </w:r>
          </w:p>
          <w:p>
            <w:pPr>
              <w:spacing w:line="500" w:lineRule="exact"/>
              <w:rPr>
                <w:rFonts w:ascii="宋体" w:hAnsi="宋体"/>
                <w:szCs w:val="21"/>
              </w:rPr>
            </w:pPr>
            <w:r>
              <w:rPr>
                <w:rFonts w:hint="eastAsia" w:ascii="宋体" w:hAnsi="宋体"/>
                <w:szCs w:val="21"/>
              </w:rPr>
              <w:t>★1.1</w:t>
            </w:r>
            <w:r>
              <w:rPr>
                <w:rFonts w:ascii="宋体" w:hAnsi="宋体"/>
                <w:szCs w:val="21"/>
              </w:rPr>
              <w:t>4</w:t>
            </w:r>
            <w:r>
              <w:rPr>
                <w:rFonts w:hint="eastAsia" w:ascii="宋体" w:hAnsi="宋体"/>
                <w:szCs w:val="21"/>
              </w:rPr>
              <w:t xml:space="preserve"> 操作键盘背景光亮度≥15级可调</w:t>
            </w:r>
          </w:p>
          <w:p>
            <w:pPr>
              <w:spacing w:line="500" w:lineRule="exact"/>
              <w:rPr>
                <w:rFonts w:ascii="宋体" w:hAnsi="宋体"/>
                <w:szCs w:val="21"/>
              </w:rPr>
            </w:pPr>
            <w:r>
              <w:rPr>
                <w:rFonts w:hint="eastAsia" w:ascii="宋体" w:hAnsi="宋体"/>
                <w:szCs w:val="21"/>
              </w:rPr>
              <w:t>1.1</w:t>
            </w:r>
            <w:r>
              <w:rPr>
                <w:rFonts w:ascii="宋体" w:hAnsi="宋体"/>
                <w:szCs w:val="21"/>
              </w:rPr>
              <w:t>5</w:t>
            </w:r>
            <w:r>
              <w:rPr>
                <w:rFonts w:hint="eastAsia" w:ascii="宋体" w:hAnsi="宋体"/>
                <w:szCs w:val="21"/>
              </w:rPr>
              <w:t>内置中文患者档案信息管理系统：能记录患者编号、名称、检查号、检查日期等，并能通过编号、检查号、名称等进行搜索管理</w:t>
            </w:r>
          </w:p>
          <w:p>
            <w:pPr>
              <w:spacing w:line="500" w:lineRule="exact"/>
              <w:rPr>
                <w:rFonts w:ascii="宋体" w:hAnsi="宋体"/>
                <w:szCs w:val="21"/>
              </w:rPr>
            </w:pPr>
            <w:r>
              <w:rPr>
                <w:rFonts w:hint="eastAsia" w:ascii="宋体" w:hAnsi="宋体"/>
                <w:szCs w:val="21"/>
              </w:rPr>
              <w:t>1.1</w:t>
            </w:r>
            <w:r>
              <w:rPr>
                <w:rFonts w:ascii="宋体" w:hAnsi="宋体"/>
                <w:szCs w:val="21"/>
              </w:rPr>
              <w:t>6</w:t>
            </w:r>
            <w:r>
              <w:rPr>
                <w:rFonts w:hint="eastAsia" w:ascii="宋体" w:hAnsi="宋体"/>
                <w:szCs w:val="21"/>
              </w:rPr>
              <w:t xml:space="preserve"> 可选配超声影像实时无线传输模块：可</w:t>
            </w:r>
            <w:r>
              <w:rPr>
                <w:rFonts w:ascii="宋体" w:hAnsi="宋体"/>
                <w:szCs w:val="21"/>
              </w:rPr>
              <w:t>与IPhone手机、IPad平板电脑</w:t>
            </w:r>
            <w:r>
              <w:rPr>
                <w:rFonts w:hint="eastAsia" w:ascii="宋体" w:hAnsi="宋体"/>
                <w:szCs w:val="21"/>
              </w:rPr>
              <w:t>进行超声影像的实时</w:t>
            </w:r>
            <w:r>
              <w:rPr>
                <w:rFonts w:ascii="宋体" w:hAnsi="宋体"/>
                <w:szCs w:val="21"/>
              </w:rPr>
              <w:t>无线传输</w:t>
            </w:r>
            <w:r>
              <w:rPr>
                <w:rFonts w:hint="eastAsia" w:ascii="宋体" w:hAnsi="宋体"/>
                <w:szCs w:val="21"/>
              </w:rPr>
              <w:t>，</w:t>
            </w:r>
            <w:r>
              <w:rPr>
                <w:rFonts w:ascii="宋体" w:hAnsi="宋体"/>
                <w:szCs w:val="21"/>
              </w:rPr>
              <w:t>实时地观察到</w:t>
            </w:r>
            <w:r>
              <w:rPr>
                <w:rFonts w:hint="eastAsia" w:ascii="宋体" w:hAnsi="宋体"/>
                <w:szCs w:val="21"/>
              </w:rPr>
              <w:t>超声仪器设备</w:t>
            </w:r>
            <w:r>
              <w:rPr>
                <w:rFonts w:ascii="宋体" w:hAnsi="宋体"/>
                <w:szCs w:val="21"/>
              </w:rPr>
              <w:t>上的</w:t>
            </w:r>
            <w:r>
              <w:rPr>
                <w:rFonts w:hint="eastAsia" w:ascii="宋体" w:hAnsi="宋体"/>
                <w:szCs w:val="21"/>
              </w:rPr>
              <w:t>诊断</w:t>
            </w:r>
            <w:r>
              <w:rPr>
                <w:rFonts w:ascii="宋体" w:hAnsi="宋体"/>
                <w:szCs w:val="21"/>
              </w:rPr>
              <w:t>图像，与操作医生同步诊断，并可独立冻结图像及回放电影</w:t>
            </w:r>
            <w:r>
              <w:rPr>
                <w:rFonts w:hint="eastAsia" w:ascii="宋体" w:hAnsi="宋体"/>
                <w:szCs w:val="21"/>
              </w:rPr>
              <w:t>，</w:t>
            </w:r>
            <w:r>
              <w:rPr>
                <w:rFonts w:ascii="宋体" w:hAnsi="宋体"/>
                <w:szCs w:val="21"/>
              </w:rPr>
              <w:t>存储在手持设备上的原始超声影像，可以进行旋转、放大等图像处理</w:t>
            </w:r>
          </w:p>
          <w:p>
            <w:pPr>
              <w:adjustRightInd w:val="0"/>
              <w:snapToGrid w:val="0"/>
              <w:spacing w:line="460" w:lineRule="exact"/>
              <w:jc w:val="left"/>
              <w:rPr>
                <w:rFonts w:ascii="宋体" w:hAnsi="宋体"/>
                <w:szCs w:val="21"/>
              </w:rPr>
            </w:pPr>
            <w:r>
              <w:rPr>
                <w:rFonts w:hint="eastAsia" w:ascii="宋体" w:hAnsi="宋体"/>
                <w:szCs w:val="21"/>
              </w:rPr>
              <w:t>★1.</w:t>
            </w:r>
            <w:r>
              <w:rPr>
                <w:rFonts w:ascii="宋体" w:hAnsi="宋体"/>
                <w:szCs w:val="21"/>
              </w:rPr>
              <w:t>17</w:t>
            </w:r>
            <w:r>
              <w:rPr>
                <w:rFonts w:hint="eastAsia" w:ascii="宋体" w:hAnsi="宋体" w:cs="宋体"/>
                <w:szCs w:val="21"/>
              </w:rPr>
              <w:t>电影回放：≥1800帧，M型电影回放可手动回放≥600秒；支持向后存储≥30分钟</w:t>
            </w:r>
          </w:p>
          <w:p>
            <w:pPr>
              <w:spacing w:line="500" w:lineRule="exact"/>
              <w:rPr>
                <w:rFonts w:ascii="宋体" w:hAnsi="宋体"/>
                <w:szCs w:val="21"/>
              </w:rPr>
            </w:pPr>
            <w:r>
              <w:rPr>
                <w:rFonts w:ascii="宋体" w:hAnsi="宋体"/>
                <w:szCs w:val="21"/>
              </w:rPr>
              <w:t>1.18</w:t>
            </w:r>
            <w:r>
              <w:rPr>
                <w:rFonts w:hint="eastAsia" w:ascii="宋体" w:hAnsi="宋体"/>
                <w:szCs w:val="21"/>
              </w:rPr>
              <w:t>激活系统操作界面：在此界面中可对各功能（如实时三维（4D）、弹性成像）进行激活选择操作，并实时显示各功能激活状态、激活日期及使用天数</w:t>
            </w:r>
          </w:p>
          <w:p>
            <w:pPr>
              <w:spacing w:line="500" w:lineRule="exact"/>
              <w:rPr>
                <w:rFonts w:ascii="宋体" w:hAnsi="宋体"/>
                <w:szCs w:val="21"/>
              </w:rPr>
            </w:pPr>
            <w:r>
              <w:rPr>
                <w:rFonts w:hint="eastAsia" w:ascii="宋体" w:hAnsi="宋体"/>
                <w:szCs w:val="21"/>
              </w:rPr>
              <w:t>★1.19主机机身一体化内置探头接口：2个，全部接口有效激活，</w:t>
            </w:r>
            <w:r>
              <w:rPr>
                <w:rFonts w:ascii="宋体" w:hAnsi="宋体"/>
                <w:szCs w:val="21"/>
              </w:rPr>
              <w:t>并可通用互换</w:t>
            </w:r>
            <w:r>
              <w:rPr>
                <w:rFonts w:hint="eastAsia" w:ascii="宋体" w:hAnsi="宋体"/>
                <w:szCs w:val="21"/>
              </w:rPr>
              <w:t>，所有探头接口，容积探头均可即插即用</w:t>
            </w:r>
          </w:p>
          <w:p>
            <w:pPr>
              <w:spacing w:line="500" w:lineRule="exact"/>
              <w:rPr>
                <w:rFonts w:ascii="宋体" w:hAnsi="宋体"/>
                <w:szCs w:val="21"/>
              </w:rPr>
            </w:pPr>
            <w:r>
              <w:rPr>
                <w:rFonts w:hint="eastAsia" w:ascii="宋体" w:hAnsi="宋体"/>
                <w:szCs w:val="21"/>
              </w:rPr>
              <w:t>1.20探头搁置槽：≥2个</w:t>
            </w:r>
          </w:p>
          <w:p>
            <w:pPr>
              <w:spacing w:line="500" w:lineRule="exact"/>
              <w:rPr>
                <w:rFonts w:ascii="宋体" w:hAnsi="宋体"/>
                <w:szCs w:val="21"/>
              </w:rPr>
            </w:pPr>
            <w:r>
              <w:rPr>
                <w:rFonts w:hint="eastAsia" w:ascii="宋体" w:hAnsi="宋体"/>
                <w:szCs w:val="21"/>
              </w:rPr>
              <w:t>1.21物理滑杆TGC分段调节：≥8段</w:t>
            </w:r>
          </w:p>
          <w:p>
            <w:pPr>
              <w:spacing w:line="500" w:lineRule="exact"/>
              <w:rPr>
                <w:rFonts w:ascii="宋体" w:hAnsi="宋体"/>
                <w:szCs w:val="21"/>
              </w:rPr>
            </w:pPr>
            <w:r>
              <w:rPr>
                <w:rFonts w:hint="eastAsia" w:ascii="宋体" w:hAnsi="宋体"/>
                <w:szCs w:val="21"/>
              </w:rPr>
              <w:t>★1.22操作面板具有“实时三维”专用按键</w:t>
            </w:r>
            <w:r>
              <w:rPr>
                <w:rFonts w:ascii="宋体" w:hAnsi="宋体"/>
                <w:szCs w:val="21"/>
              </w:rPr>
              <w:t>(</w:t>
            </w:r>
            <w:r>
              <w:rPr>
                <w:rFonts w:hint="eastAsia" w:ascii="宋体" w:hAnsi="宋体"/>
                <w:szCs w:val="21"/>
              </w:rPr>
              <w:t>提供图片证明）</w:t>
            </w:r>
          </w:p>
          <w:p>
            <w:pPr>
              <w:spacing w:line="500" w:lineRule="exact"/>
              <w:rPr>
                <w:rFonts w:ascii="宋体" w:hAnsi="宋体"/>
                <w:szCs w:val="21"/>
              </w:rPr>
            </w:pPr>
            <w:r>
              <w:rPr>
                <w:rFonts w:hint="eastAsia" w:ascii="宋体" w:hAnsi="宋体"/>
                <w:szCs w:val="21"/>
              </w:rPr>
              <w:t>1.23二维灰阶显像主要参数</w:t>
            </w:r>
          </w:p>
          <w:p>
            <w:pPr>
              <w:spacing w:line="500" w:lineRule="exact"/>
              <w:rPr>
                <w:rFonts w:ascii="宋体" w:hAnsi="宋体"/>
                <w:szCs w:val="21"/>
              </w:rPr>
            </w:pPr>
            <w:r>
              <w:rPr>
                <w:rFonts w:hint="eastAsia" w:ascii="宋体" w:hAnsi="宋体"/>
                <w:szCs w:val="21"/>
              </w:rPr>
              <w:t>★1.23.1工作频率范围： 2.0－12.0MHz；各探头基波≥5种频率，彩色≥3种频率，PW≥3种频率可选</w:t>
            </w:r>
          </w:p>
          <w:p>
            <w:pPr>
              <w:spacing w:line="500" w:lineRule="exact"/>
              <w:rPr>
                <w:rFonts w:ascii="宋体" w:hAnsi="宋体"/>
                <w:szCs w:val="21"/>
              </w:rPr>
            </w:pPr>
            <w:r>
              <w:rPr>
                <w:rFonts w:hint="eastAsia" w:ascii="宋体" w:hAnsi="宋体"/>
                <w:szCs w:val="21"/>
              </w:rPr>
              <w:t>1.23.2 扫描线：每帧线密度≥230超声线</w:t>
            </w:r>
          </w:p>
          <w:p>
            <w:pPr>
              <w:spacing w:line="500" w:lineRule="exact"/>
              <w:rPr>
                <w:rFonts w:ascii="宋体" w:hAnsi="宋体"/>
                <w:szCs w:val="21"/>
              </w:rPr>
            </w:pPr>
            <w:r>
              <w:rPr>
                <w:rFonts w:hint="eastAsia" w:ascii="宋体" w:hAnsi="宋体"/>
                <w:szCs w:val="21"/>
              </w:rPr>
              <w:t>★1.23.3发射声束聚焦：发射≥8段</w:t>
            </w:r>
          </w:p>
          <w:p>
            <w:pPr>
              <w:spacing w:line="500" w:lineRule="exact"/>
              <w:rPr>
                <w:rFonts w:ascii="宋体" w:hAnsi="宋体"/>
                <w:szCs w:val="21"/>
              </w:rPr>
            </w:pPr>
            <w:r>
              <w:rPr>
                <w:rFonts w:hint="eastAsia" w:ascii="宋体" w:hAnsi="宋体"/>
                <w:szCs w:val="21"/>
              </w:rPr>
              <w:t>1.23.4 系统可调节动态范围：30-170dB连续可视可调，步进≤4dB可视可调</w:t>
            </w:r>
          </w:p>
          <w:p>
            <w:pPr>
              <w:spacing w:line="500" w:lineRule="exact"/>
              <w:rPr>
                <w:rFonts w:ascii="宋体" w:hAnsi="宋体"/>
                <w:szCs w:val="21"/>
              </w:rPr>
            </w:pPr>
            <w:r>
              <w:rPr>
                <w:rFonts w:hint="eastAsia" w:ascii="宋体" w:hAnsi="宋体"/>
                <w:szCs w:val="21"/>
              </w:rPr>
              <w:t>1.23.5 数字化处理：实时全域动态聚焦，可变孔径等</w:t>
            </w:r>
          </w:p>
          <w:p>
            <w:pPr>
              <w:spacing w:line="500" w:lineRule="exact"/>
              <w:rPr>
                <w:rFonts w:ascii="宋体" w:hAnsi="宋体"/>
                <w:szCs w:val="21"/>
              </w:rPr>
            </w:pPr>
            <w:r>
              <w:rPr>
                <w:rFonts w:hint="eastAsia" w:ascii="宋体" w:hAnsi="宋体"/>
                <w:szCs w:val="21"/>
              </w:rPr>
              <w:t>★1.23.6 回放重现:B模式连续图像回放≥2000幅</w:t>
            </w:r>
          </w:p>
          <w:p>
            <w:pPr>
              <w:spacing w:line="500" w:lineRule="exact"/>
              <w:rPr>
                <w:rFonts w:ascii="宋体" w:hAnsi="宋体"/>
                <w:szCs w:val="21"/>
              </w:rPr>
            </w:pPr>
            <w:r>
              <w:rPr>
                <w:rFonts w:hint="eastAsia" w:ascii="宋体" w:hAnsi="宋体"/>
                <w:szCs w:val="21"/>
              </w:rPr>
              <w:t>1.23.7 预设条件：预设条件：针对不同的检查脏器，预置最佳化图像的检查条件，减少操作时的调节，及常用所需的外部调节及组合调节，预置条件以中文文字描述的方式直观、准确的表达出来，如“腹部穿透”腹部分辨率”等</w:t>
            </w:r>
          </w:p>
          <w:p>
            <w:pPr>
              <w:spacing w:line="500" w:lineRule="exact"/>
              <w:rPr>
                <w:rFonts w:ascii="宋体" w:hAnsi="宋体"/>
                <w:szCs w:val="21"/>
              </w:rPr>
            </w:pPr>
            <w:r>
              <w:rPr>
                <w:rFonts w:hint="eastAsia" w:ascii="宋体" w:hAnsi="宋体"/>
                <w:szCs w:val="21"/>
              </w:rPr>
              <w:t>1.23.8增益调节:B型、M型、频谱多普勒、彩色多普勒增益均可视可调节</w:t>
            </w:r>
          </w:p>
          <w:p>
            <w:pPr>
              <w:spacing w:line="500" w:lineRule="exact"/>
              <w:rPr>
                <w:rFonts w:ascii="宋体" w:hAnsi="宋体"/>
                <w:szCs w:val="21"/>
              </w:rPr>
            </w:pPr>
            <w:r>
              <w:rPr>
                <w:rFonts w:hint="eastAsia" w:ascii="宋体" w:hAnsi="宋体"/>
                <w:szCs w:val="21"/>
              </w:rPr>
              <w:t>1.24频谱多普勒</w:t>
            </w:r>
          </w:p>
          <w:p>
            <w:pPr>
              <w:spacing w:line="500" w:lineRule="exact"/>
              <w:rPr>
                <w:rFonts w:ascii="宋体" w:hAnsi="宋体"/>
                <w:szCs w:val="21"/>
              </w:rPr>
            </w:pPr>
            <w:r>
              <w:rPr>
                <w:rFonts w:hint="eastAsia" w:ascii="宋体" w:hAnsi="宋体"/>
                <w:szCs w:val="21"/>
              </w:rPr>
              <w:t>1.24.1方式：脉冲波多普勒PWD</w:t>
            </w:r>
          </w:p>
          <w:p>
            <w:pPr>
              <w:spacing w:line="500" w:lineRule="exact"/>
              <w:rPr>
                <w:rFonts w:ascii="宋体" w:hAnsi="宋体"/>
                <w:szCs w:val="21"/>
              </w:rPr>
            </w:pPr>
            <w:r>
              <w:rPr>
                <w:rFonts w:hint="eastAsia" w:ascii="宋体" w:hAnsi="宋体"/>
                <w:szCs w:val="21"/>
              </w:rPr>
              <w:t>1.24.2各探头频谱多普勒频率:≥3种可选</w:t>
            </w:r>
          </w:p>
          <w:p>
            <w:pPr>
              <w:spacing w:line="500" w:lineRule="exact"/>
              <w:rPr>
                <w:rFonts w:ascii="宋体" w:hAnsi="宋体"/>
                <w:szCs w:val="21"/>
              </w:rPr>
            </w:pPr>
            <w:r>
              <w:rPr>
                <w:rFonts w:hint="eastAsia" w:ascii="宋体" w:hAnsi="宋体"/>
                <w:szCs w:val="21"/>
              </w:rPr>
              <w:t>1.24.3测量速度：1mm/s-7.6m/s</w:t>
            </w:r>
          </w:p>
          <w:p>
            <w:pPr>
              <w:spacing w:line="500" w:lineRule="exact"/>
              <w:rPr>
                <w:rFonts w:ascii="宋体" w:hAnsi="宋体"/>
                <w:szCs w:val="21"/>
              </w:rPr>
            </w:pPr>
            <w:r>
              <w:rPr>
                <w:rFonts w:hint="eastAsia" w:ascii="宋体" w:hAnsi="宋体"/>
                <w:szCs w:val="21"/>
              </w:rPr>
              <w:t>1.24.4角度校正：+80°～-80°</w:t>
            </w:r>
          </w:p>
          <w:p>
            <w:pPr>
              <w:spacing w:line="500" w:lineRule="exact"/>
              <w:rPr>
                <w:rFonts w:ascii="宋体" w:hAnsi="宋体"/>
                <w:szCs w:val="21"/>
              </w:rPr>
            </w:pPr>
            <w:r>
              <w:rPr>
                <w:rFonts w:hint="eastAsia" w:ascii="宋体" w:hAnsi="宋体"/>
                <w:szCs w:val="21"/>
              </w:rPr>
              <w:t>1.24.5 Doppler电影回放：≥50秒</w:t>
            </w:r>
          </w:p>
          <w:p>
            <w:pPr>
              <w:spacing w:line="500" w:lineRule="exact"/>
              <w:rPr>
                <w:rFonts w:ascii="宋体" w:hAnsi="宋体"/>
                <w:szCs w:val="21"/>
              </w:rPr>
            </w:pPr>
            <w:r>
              <w:rPr>
                <w:rFonts w:hint="eastAsia" w:ascii="宋体" w:hAnsi="宋体"/>
                <w:szCs w:val="21"/>
              </w:rPr>
              <w:t>★1.24.6取样宽度及位置范围：宽度0.5mm至36mm（提供最大值图片证明）</w:t>
            </w:r>
          </w:p>
          <w:p>
            <w:pPr>
              <w:spacing w:line="500" w:lineRule="exact"/>
              <w:rPr>
                <w:rFonts w:ascii="宋体" w:hAnsi="宋体"/>
                <w:szCs w:val="21"/>
              </w:rPr>
            </w:pPr>
            <w:r>
              <w:rPr>
                <w:rFonts w:hint="eastAsia" w:ascii="宋体" w:hAnsi="宋体"/>
                <w:szCs w:val="21"/>
              </w:rPr>
              <w:t>1.24.7壁波器：分级选择，选择级数≥50级可调节</w:t>
            </w:r>
          </w:p>
          <w:p>
            <w:pPr>
              <w:spacing w:line="500" w:lineRule="exact"/>
              <w:rPr>
                <w:rFonts w:ascii="宋体" w:hAnsi="宋体"/>
                <w:szCs w:val="21"/>
              </w:rPr>
            </w:pPr>
            <w:r>
              <w:rPr>
                <w:rFonts w:hint="eastAsia" w:ascii="宋体" w:hAnsi="宋体"/>
                <w:szCs w:val="21"/>
              </w:rPr>
              <w:t>1.24.8基线控制：≥20级可调节</w:t>
            </w:r>
          </w:p>
          <w:p>
            <w:pPr>
              <w:spacing w:line="500" w:lineRule="exact"/>
              <w:rPr>
                <w:rFonts w:ascii="宋体" w:hAnsi="宋体"/>
                <w:szCs w:val="21"/>
              </w:rPr>
            </w:pPr>
            <w:r>
              <w:rPr>
                <w:rFonts w:hint="eastAsia" w:ascii="宋体" w:hAnsi="宋体"/>
                <w:szCs w:val="21"/>
              </w:rPr>
              <w:t>1.25彩色多普勒</w:t>
            </w:r>
          </w:p>
          <w:p>
            <w:pPr>
              <w:spacing w:line="500" w:lineRule="exact"/>
              <w:rPr>
                <w:rFonts w:ascii="宋体" w:hAnsi="宋体"/>
                <w:szCs w:val="21"/>
              </w:rPr>
            </w:pPr>
            <w:r>
              <w:rPr>
                <w:rFonts w:hint="eastAsia" w:ascii="宋体" w:hAnsi="宋体"/>
                <w:szCs w:val="21"/>
              </w:rPr>
              <w:t>1.25.1各探头彩色多普勒频率:≥3种可选</w:t>
            </w:r>
          </w:p>
          <w:p>
            <w:pPr>
              <w:spacing w:line="500" w:lineRule="exact"/>
              <w:rPr>
                <w:rFonts w:ascii="宋体" w:hAnsi="宋体"/>
                <w:szCs w:val="21"/>
              </w:rPr>
            </w:pPr>
            <w:r>
              <w:rPr>
                <w:rFonts w:hint="eastAsia" w:ascii="宋体" w:hAnsi="宋体"/>
                <w:szCs w:val="21"/>
              </w:rPr>
              <w:t>1.25.2 彩色基线：≥15档可调节</w:t>
            </w:r>
          </w:p>
          <w:p>
            <w:pPr>
              <w:spacing w:line="500" w:lineRule="exact"/>
              <w:rPr>
                <w:rFonts w:ascii="宋体" w:hAnsi="宋体"/>
                <w:szCs w:val="21"/>
              </w:rPr>
            </w:pPr>
            <w:r>
              <w:rPr>
                <w:rFonts w:hint="eastAsia" w:ascii="宋体" w:hAnsi="宋体"/>
                <w:szCs w:val="21"/>
              </w:rPr>
              <w:t>1.25.3 壁波器：≥50级可调节</w:t>
            </w:r>
          </w:p>
          <w:p>
            <w:pPr>
              <w:spacing w:line="500" w:lineRule="exact"/>
              <w:rPr>
                <w:rFonts w:ascii="宋体" w:hAnsi="宋体"/>
                <w:szCs w:val="21"/>
              </w:rPr>
            </w:pPr>
            <w:r>
              <w:rPr>
                <w:rFonts w:hint="eastAsia" w:ascii="宋体" w:hAnsi="宋体"/>
                <w:szCs w:val="21"/>
              </w:rPr>
              <w:t>2.配置要求：主机1台，凸阵探头、线阵探头各1只</w:t>
            </w:r>
          </w:p>
          <w:p>
            <w:pPr>
              <w:spacing w:line="500" w:lineRule="exact"/>
              <w:rPr>
                <w:rFonts w:ascii="宋体" w:hAnsi="宋体"/>
                <w:szCs w:val="21"/>
              </w:rPr>
            </w:pPr>
            <w:r>
              <w:rPr>
                <w:rFonts w:hint="eastAsia" w:ascii="宋体" w:hAnsi="宋体"/>
                <w:szCs w:val="21"/>
              </w:rPr>
              <w:t>2.1专用台车 1台</w:t>
            </w:r>
          </w:p>
          <w:p>
            <w:pPr>
              <w:spacing w:line="500" w:lineRule="exact"/>
              <w:rPr>
                <w:rFonts w:ascii="宋体" w:hAnsi="宋体"/>
                <w:szCs w:val="21"/>
              </w:rPr>
            </w:pPr>
            <w:r>
              <w:rPr>
                <w:rFonts w:hint="eastAsia" w:ascii="宋体" w:hAnsi="宋体"/>
                <w:szCs w:val="21"/>
              </w:rPr>
              <w:t>3.售后服务要求：原厂整机保修18个月（提供厂家售后服务承诺）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03" w:type="dxa"/>
          </w:tcPr>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r>
              <w:rPr>
                <w:rFonts w:hint="eastAsia" w:ascii="宋体" w:hAnsi="宋体" w:cs="微软雅黑"/>
                <w:szCs w:val="21"/>
              </w:rPr>
              <w:t>商</w:t>
            </w:r>
          </w:p>
          <w:p>
            <w:pPr>
              <w:jc w:val="center"/>
              <w:rPr>
                <w:rFonts w:ascii="宋体" w:hAnsi="宋体" w:cs="微软雅黑"/>
                <w:szCs w:val="21"/>
              </w:rPr>
            </w:pPr>
            <w:r>
              <w:rPr>
                <w:rFonts w:hint="eastAsia" w:ascii="宋体" w:hAnsi="宋体" w:cs="微软雅黑"/>
                <w:szCs w:val="21"/>
              </w:rPr>
              <w:t>务</w:t>
            </w:r>
          </w:p>
          <w:p>
            <w:pPr>
              <w:jc w:val="center"/>
              <w:rPr>
                <w:rFonts w:ascii="宋体" w:hAnsi="宋体" w:cs="微软雅黑"/>
                <w:szCs w:val="21"/>
              </w:rPr>
            </w:pPr>
            <w:r>
              <w:rPr>
                <w:rFonts w:hint="eastAsia" w:ascii="宋体" w:hAnsi="宋体" w:cs="微软雅黑"/>
                <w:szCs w:val="21"/>
              </w:rPr>
              <w:t>条</w:t>
            </w:r>
          </w:p>
          <w:p>
            <w:pPr>
              <w:jc w:val="center"/>
              <w:rPr>
                <w:rFonts w:ascii="宋体" w:hAnsi="宋体" w:cs="微软雅黑"/>
                <w:szCs w:val="21"/>
              </w:rPr>
            </w:pPr>
            <w:r>
              <w:rPr>
                <w:rFonts w:hint="eastAsia" w:ascii="宋体" w:hAnsi="宋体" w:cs="微软雅黑"/>
                <w:szCs w:val="21"/>
              </w:rPr>
              <w:t>款</w:t>
            </w:r>
          </w:p>
          <w:p>
            <w:pPr>
              <w:jc w:val="center"/>
              <w:rPr>
                <w:rFonts w:ascii="宋体" w:hAnsi="宋体" w:cs="微软雅黑"/>
                <w:szCs w:val="21"/>
              </w:rPr>
            </w:pPr>
          </w:p>
          <w:p>
            <w:pPr>
              <w:jc w:val="center"/>
              <w:rPr>
                <w:rFonts w:ascii="宋体" w:hAnsi="宋体" w:cs="微软雅黑"/>
                <w:szCs w:val="21"/>
              </w:rPr>
            </w:pPr>
          </w:p>
          <w:p>
            <w:pPr>
              <w:jc w:val="center"/>
              <w:rPr>
                <w:rFonts w:ascii="宋体" w:hAnsi="宋体" w:cs="微软雅黑"/>
                <w:szCs w:val="21"/>
              </w:rPr>
            </w:pPr>
          </w:p>
        </w:tc>
        <w:tc>
          <w:tcPr>
            <w:tcW w:w="9202" w:type="dxa"/>
            <w:gridSpan w:val="3"/>
          </w:tcPr>
          <w:p>
            <w:pPr>
              <w:widowControl/>
              <w:spacing w:line="360" w:lineRule="auto"/>
              <w:jc w:val="left"/>
              <w:rPr>
                <w:rFonts w:hint="eastAsia" w:ascii="宋体" w:hAnsi="宋体" w:eastAsia="宋体"/>
                <w:szCs w:val="21"/>
                <w:lang w:eastAsia="zh-CN"/>
              </w:rPr>
            </w:pPr>
            <w:r>
              <w:rPr>
                <w:rFonts w:hint="eastAsia" w:ascii="宋体" w:hAnsi="宋体"/>
                <w:szCs w:val="21"/>
              </w:rPr>
              <w:t>一、合同签订期：自中标通知书发出之日起7个工作日</w:t>
            </w:r>
            <w:r>
              <w:rPr>
                <w:rFonts w:hint="eastAsia" w:ascii="宋体" w:hAnsi="宋体"/>
                <w:szCs w:val="21"/>
                <w:lang w:val="en-US" w:eastAsia="zh-CN"/>
              </w:rPr>
              <w:t>内</w:t>
            </w:r>
          </w:p>
          <w:p>
            <w:pPr>
              <w:widowControl/>
              <w:spacing w:line="360" w:lineRule="auto"/>
              <w:jc w:val="left"/>
              <w:rPr>
                <w:rFonts w:ascii="宋体" w:hAnsi="宋体"/>
                <w:szCs w:val="21"/>
              </w:rPr>
            </w:pPr>
            <w:r>
              <w:rPr>
                <w:rFonts w:hint="eastAsia" w:ascii="宋体" w:hAnsi="宋体"/>
                <w:szCs w:val="21"/>
              </w:rPr>
              <w:t>二、交货期：自合同签订之日起15日内安装调试完毕并验收合格交付使用</w:t>
            </w:r>
            <w:r>
              <w:rPr>
                <w:rFonts w:hint="eastAsia" w:ascii="宋体" w:hAnsi="宋体"/>
                <w:szCs w:val="21"/>
              </w:rPr>
              <w:br w:type="textWrapping"/>
            </w:r>
            <w:r>
              <w:rPr>
                <w:rFonts w:hint="eastAsia" w:ascii="宋体" w:hAnsi="宋体"/>
                <w:szCs w:val="21"/>
              </w:rPr>
              <w:t>三、交货地点：采购人指定地点</w:t>
            </w:r>
          </w:p>
          <w:p>
            <w:pPr>
              <w:widowControl/>
              <w:spacing w:line="360" w:lineRule="auto"/>
              <w:jc w:val="left"/>
              <w:rPr>
                <w:rFonts w:ascii="宋体" w:hAnsi="宋体" w:cs="宋体"/>
                <w:szCs w:val="21"/>
              </w:rPr>
            </w:pPr>
            <w:r>
              <w:rPr>
                <w:rFonts w:hint="eastAsia" w:ascii="宋体" w:hAnsi="宋体"/>
                <w:szCs w:val="21"/>
              </w:rPr>
              <w:t>四、交货方式：现场交货</w:t>
            </w:r>
          </w:p>
          <w:p>
            <w:pPr>
              <w:widowControl/>
              <w:spacing w:line="360" w:lineRule="auto"/>
              <w:jc w:val="left"/>
              <w:rPr>
                <w:rFonts w:ascii="宋体" w:hAnsi="宋体"/>
                <w:szCs w:val="21"/>
              </w:rPr>
            </w:pPr>
            <w:r>
              <w:rPr>
                <w:rFonts w:hint="eastAsia" w:ascii="宋体" w:hAnsi="宋体"/>
                <w:szCs w:val="21"/>
              </w:rPr>
              <w:t>五、售后服务要求：</w:t>
            </w:r>
          </w:p>
          <w:p>
            <w:pPr>
              <w:widowControl/>
              <w:spacing w:line="360" w:lineRule="auto"/>
              <w:jc w:val="left"/>
              <w:rPr>
                <w:rFonts w:ascii="宋体" w:hAnsi="宋体"/>
                <w:szCs w:val="21"/>
              </w:rPr>
            </w:pPr>
            <w:r>
              <w:rPr>
                <w:rFonts w:hint="eastAsia" w:ascii="宋体" w:hAnsi="宋体"/>
                <w:szCs w:val="21"/>
              </w:rPr>
              <w:t xml:space="preserve"> 1、质量保修期：按国家有关产品“三包”规定执行，所有设备整机质量保修期一年，软件免费升级，（若国家有明确规定的质量保证期高于此质量保证期的，执行国家规定），质量保证期内免费上门维修、更换配件；质量保证期满后提供终身维护，优惠提供零配件进行维修</w:t>
            </w:r>
            <w:r>
              <w:rPr>
                <w:rFonts w:hint="eastAsia" w:ascii="宋体" w:hAnsi="宋体"/>
                <w:szCs w:val="21"/>
              </w:rPr>
              <w:br w:type="textWrapping"/>
            </w:r>
            <w:r>
              <w:rPr>
                <w:rFonts w:hint="eastAsia" w:ascii="宋体" w:hAnsi="宋体"/>
                <w:szCs w:val="21"/>
              </w:rPr>
              <w:t>2、按厂家承诺实行“三包”；免费送货到需方指定地点，免费协助采购单位进行安装场地设计，免费安装、调试，安装应符合国家行业相关标准、规范及规定</w:t>
            </w:r>
          </w:p>
          <w:p>
            <w:pPr>
              <w:widowControl/>
              <w:spacing w:line="360" w:lineRule="auto"/>
              <w:jc w:val="left"/>
              <w:rPr>
                <w:rFonts w:ascii="宋体" w:hAnsi="宋体"/>
                <w:szCs w:val="21"/>
              </w:rPr>
            </w:pPr>
            <w:r>
              <w:rPr>
                <w:rFonts w:hint="eastAsia" w:ascii="宋体" w:hAnsi="宋体"/>
                <w:szCs w:val="21"/>
              </w:rPr>
              <w:t>3、免费为采购单位提供的完善的设备、操作培训和维修技术人员的培训，确保采购单位有关人员能独立操作使用设备；培训人数由采购单位确定</w:t>
            </w:r>
            <w:r>
              <w:rPr>
                <w:rFonts w:hint="eastAsia" w:ascii="宋体" w:hAnsi="宋体"/>
                <w:szCs w:val="21"/>
              </w:rPr>
              <w:br w:type="textWrapping"/>
            </w:r>
            <w:r>
              <w:rPr>
                <w:rFonts w:hint="eastAsia" w:ascii="宋体" w:hAnsi="宋体"/>
                <w:szCs w:val="21"/>
              </w:rPr>
              <w:t>4、故障响应时间：设备在使用过程中发生质量问题，供应商技术人员在接到用户方通知后2小时响应，电话不能解决的12小时内到达用户方现场解决处理.</w:t>
            </w:r>
          </w:p>
          <w:p>
            <w:pPr>
              <w:widowControl/>
              <w:spacing w:line="360" w:lineRule="auto"/>
              <w:jc w:val="left"/>
              <w:rPr>
                <w:rFonts w:ascii="宋体" w:hAnsi="宋体"/>
                <w:szCs w:val="21"/>
              </w:rPr>
            </w:pPr>
            <w:r>
              <w:rPr>
                <w:rFonts w:hint="eastAsia" w:ascii="宋体" w:hAnsi="宋体"/>
                <w:szCs w:val="21"/>
              </w:rPr>
              <w:t>5、每半年至少进行一次定期回访以及对设备保养</w:t>
            </w:r>
          </w:p>
          <w:p>
            <w:pPr>
              <w:widowControl/>
              <w:spacing w:line="360" w:lineRule="auto"/>
              <w:jc w:val="left"/>
              <w:rPr>
                <w:rFonts w:ascii="宋体" w:hAnsi="宋体"/>
                <w:szCs w:val="21"/>
              </w:rPr>
            </w:pPr>
            <w:r>
              <w:rPr>
                <w:rFonts w:hint="eastAsia" w:ascii="宋体" w:hAnsi="宋体"/>
                <w:szCs w:val="21"/>
              </w:rPr>
              <w:t>6、投标人应保证提供的是最新机型、最新软件版本、全新未经使用的合格产品</w:t>
            </w:r>
          </w:p>
          <w:p>
            <w:pPr>
              <w:widowControl/>
              <w:spacing w:line="360" w:lineRule="auto"/>
              <w:jc w:val="left"/>
              <w:rPr>
                <w:rFonts w:ascii="宋体" w:hAnsi="宋体"/>
                <w:szCs w:val="21"/>
              </w:rPr>
            </w:pPr>
            <w:r>
              <w:rPr>
                <w:rFonts w:hint="eastAsia" w:ascii="宋体" w:hAnsi="宋体"/>
                <w:szCs w:val="21"/>
              </w:rPr>
              <w:t>7、投标人应承诺在项目所在地设有固定的售后服务点（提供详细地址、技术人员名单、联系电话）</w:t>
            </w:r>
          </w:p>
          <w:p>
            <w:pPr>
              <w:widowControl/>
              <w:spacing w:line="360" w:lineRule="auto"/>
              <w:jc w:val="left"/>
              <w:rPr>
                <w:rFonts w:ascii="宋体" w:hAnsi="宋体"/>
                <w:szCs w:val="21"/>
              </w:rPr>
            </w:pPr>
            <w:r>
              <w:rPr>
                <w:rFonts w:hint="eastAsia" w:ascii="宋体" w:hAnsi="宋体"/>
                <w:szCs w:val="21"/>
              </w:rPr>
              <w:t>8、设备原厂家售后服务承诺书及设备原厂家授权书；</w:t>
            </w:r>
          </w:p>
          <w:p>
            <w:pPr>
              <w:spacing w:line="360" w:lineRule="auto"/>
              <w:rPr>
                <w:rFonts w:ascii="宋体" w:hAnsi="宋体"/>
                <w:szCs w:val="21"/>
              </w:rPr>
            </w:pPr>
            <w:r>
              <w:rPr>
                <w:rFonts w:hint="eastAsia" w:ascii="宋体" w:hAnsi="宋体"/>
                <w:szCs w:val="21"/>
              </w:rPr>
              <w:t>六、验收要求</w:t>
            </w:r>
          </w:p>
          <w:p>
            <w:pPr>
              <w:spacing w:line="360" w:lineRule="auto"/>
              <w:rPr>
                <w:rFonts w:ascii="宋体" w:hAnsi="宋体"/>
                <w:szCs w:val="21"/>
              </w:rPr>
            </w:pPr>
            <w:r>
              <w:rPr>
                <w:rFonts w:hint="eastAsia" w:ascii="宋体" w:hAnsi="宋体"/>
                <w:szCs w:val="21"/>
              </w:rPr>
              <w:t>1、投标产品必须为全新原装产品，成交供应商所提供的产品、资料等要满足国家相关标准、行业标准、地方标准或者其他标准、规范以及满足质量、安全、技术规格、物理特性等要求</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2、中标供应商提供的货物及服务不满足招标文件要求验收不合格的，采购人有权解除合同。</w:t>
            </w:r>
          </w:p>
          <w:p>
            <w:pPr>
              <w:spacing w:line="360" w:lineRule="auto"/>
              <w:rPr>
                <w:rFonts w:ascii="宋体" w:hAnsi="宋体"/>
                <w:szCs w:val="21"/>
              </w:rPr>
            </w:pPr>
            <w:r>
              <w:rPr>
                <w:rFonts w:hint="eastAsia" w:ascii="宋体" w:hAnsi="宋体"/>
                <w:szCs w:val="21"/>
              </w:rPr>
              <w:t>3、采购人在签订采购合同之前，必须核验第三方权威机构检测报告原件，同时有权要求中标人提供所投产品以供测试，确保技术参数、功能满足采购要求，如有不符，则取消中标人资格(测试的具体时间、地点和测试机构由采购人另行确定，测试相关费用由中标人承担)。同时向采购监督管理部门报告，追究其法律责任；</w:t>
            </w:r>
          </w:p>
          <w:p>
            <w:pPr>
              <w:spacing w:line="360" w:lineRule="auto"/>
              <w:rPr>
                <w:rFonts w:ascii="宋体" w:hAnsi="宋体"/>
                <w:szCs w:val="21"/>
              </w:rPr>
            </w:pPr>
            <w:r>
              <w:rPr>
                <w:rFonts w:hint="eastAsia" w:ascii="宋体" w:hAnsi="宋体"/>
                <w:color w:val="000000" w:themeColor="text1"/>
                <w:szCs w:val="21"/>
                <w14:textFill>
                  <w14:solidFill>
                    <w14:schemeClr w14:val="tx1"/>
                  </w14:solidFill>
                </w14:textFill>
              </w:rPr>
              <w:t>七、付款方式：</w:t>
            </w:r>
            <w:r>
              <w:rPr>
                <w:rFonts w:hint="eastAsia" w:ascii="宋体" w:hAnsi="宋体"/>
                <w:color w:val="000000" w:themeColor="text1"/>
                <w:szCs w:val="21"/>
                <w:lang w:val="en-US" w:eastAsia="zh-CN"/>
                <w14:textFill>
                  <w14:solidFill>
                    <w14:schemeClr w14:val="tx1"/>
                  </w14:solidFill>
                </w14:textFill>
              </w:rPr>
              <w:t>本项目的预付款为中标金额的50%，中标供应</w:t>
            </w:r>
            <w:bookmarkStart w:id="57" w:name="_GoBack"/>
            <w:bookmarkEnd w:id="57"/>
            <w:r>
              <w:rPr>
                <w:rFonts w:hint="eastAsia" w:ascii="宋体" w:hAnsi="宋体"/>
                <w:color w:val="000000" w:themeColor="text1"/>
                <w:szCs w:val="21"/>
                <w:lang w:val="en-US" w:eastAsia="zh-CN"/>
                <w14:textFill>
                  <w14:solidFill>
                    <w14:schemeClr w14:val="tx1"/>
                  </w14:solidFill>
                </w14:textFill>
              </w:rPr>
              <w:t>商在签订合同后凭厂家产品供货单申请该项目预付款，采购人在核验无误后10个工作日内支付，如不能按合同规定时间交货，采购方有权要求由厂家直接供货；中标供应商交货完毕验收合格后支付50%的合同款。</w:t>
            </w:r>
          </w:p>
        </w:tc>
      </w:tr>
    </w:tbl>
    <w:p>
      <w:pPr>
        <w:spacing w:line="220" w:lineRule="atLeast"/>
        <w:rPr>
          <w:rFonts w:ascii="宋体" w:hAnsi="宋体"/>
        </w:rPr>
      </w:pPr>
    </w:p>
    <w:p/>
    <w:p>
      <w:pPr>
        <w:pStyle w:val="7"/>
      </w:pPr>
    </w:p>
    <w:p/>
    <w:p>
      <w:pPr>
        <w:pStyle w:val="7"/>
      </w:pPr>
    </w:p>
    <w:p/>
    <w:p>
      <w:pPr>
        <w:pStyle w:val="7"/>
      </w:pPr>
    </w:p>
    <w:p/>
    <w:p>
      <w:pPr>
        <w:pStyle w:val="2"/>
      </w:pPr>
    </w:p>
    <w:p/>
    <w:p>
      <w:pPr>
        <w:pStyle w:val="2"/>
      </w:pPr>
    </w:p>
    <w:p>
      <w:pPr>
        <w:pStyle w:val="7"/>
        <w:numPr>
          <w:ilvl w:val="5"/>
          <w:numId w:val="0"/>
        </w:numPr>
      </w:pPr>
    </w:p>
    <w:p/>
    <w:p>
      <w:pPr>
        <w:pStyle w:val="3"/>
        <w:numPr>
          <w:ilvl w:val="0"/>
          <w:numId w:val="5"/>
        </w:numPr>
        <w:spacing w:before="0" w:after="0" w:line="360" w:lineRule="auto"/>
        <w:jc w:val="center"/>
      </w:pPr>
      <w:r>
        <w:rPr>
          <w:rFonts w:hint="eastAsia"/>
        </w:rPr>
        <w:t xml:space="preserve"> </w:t>
      </w:r>
      <w:bookmarkStart w:id="38" w:name="_Toc18319"/>
      <w:r>
        <w:rPr>
          <w:rFonts w:hint="eastAsia"/>
        </w:rPr>
        <w:t>评标方法</w:t>
      </w:r>
      <w:bookmarkEnd w:id="38"/>
      <w:bookmarkStart w:id="39" w:name="_Toc482864557"/>
      <w:bookmarkStart w:id="40" w:name="_Toc482865158"/>
      <w:bookmarkStart w:id="41" w:name="_Toc483327817"/>
      <w:bookmarkStart w:id="42" w:name="_Toc482865328"/>
      <w:bookmarkStart w:id="43" w:name="_Toc446317169"/>
    </w:p>
    <w:p>
      <w:pPr>
        <w:pStyle w:val="3"/>
        <w:spacing w:before="0" w:after="0" w:line="360" w:lineRule="auto"/>
        <w:jc w:val="center"/>
        <w:rPr>
          <w:rFonts w:ascii="楷体" w:hAnsi="楷体" w:eastAsia="楷体" w:cs="楷体"/>
        </w:rPr>
      </w:pPr>
      <w:bookmarkStart w:id="44" w:name="_Toc9591"/>
      <w:r>
        <w:rPr>
          <w:rFonts w:hint="eastAsia" w:ascii="楷体" w:hAnsi="楷体" w:eastAsia="楷体" w:cs="楷体"/>
        </w:rPr>
        <w:t>评标原则及评分标准</w:t>
      </w:r>
      <w:bookmarkEnd w:id="39"/>
      <w:bookmarkEnd w:id="40"/>
      <w:bookmarkEnd w:id="41"/>
      <w:bookmarkEnd w:id="42"/>
      <w:bookmarkEnd w:id="44"/>
    </w:p>
    <w:p>
      <w:pPr>
        <w:pStyle w:val="14"/>
        <w:adjustRightInd w:val="0"/>
        <w:spacing w:line="380" w:lineRule="exact"/>
        <w:contextualSpacing/>
        <w:rPr>
          <w:rFonts w:ascii="楷体" w:hAnsi="楷体" w:eastAsia="楷体" w:cs="楷体"/>
          <w:bCs/>
          <w:sz w:val="24"/>
          <w:szCs w:val="24"/>
        </w:rPr>
      </w:pPr>
      <w:r>
        <w:rPr>
          <w:rFonts w:hint="eastAsia" w:ascii="楷体" w:hAnsi="楷体" w:eastAsia="楷体" w:cs="楷体"/>
          <w:b/>
          <w:sz w:val="24"/>
          <w:szCs w:val="24"/>
        </w:rPr>
        <w:t>一、评标原则</w:t>
      </w:r>
    </w:p>
    <w:p>
      <w:pPr>
        <w:pStyle w:val="14"/>
        <w:adjustRightInd w:val="0"/>
        <w:spacing w:line="380" w:lineRule="exact"/>
        <w:ind w:firstLine="480" w:firstLineChars="200"/>
        <w:contextualSpacing/>
        <w:rPr>
          <w:rFonts w:ascii="楷体" w:hAnsi="楷体" w:eastAsia="楷体" w:cs="楷体"/>
          <w:bCs/>
          <w:sz w:val="24"/>
          <w:szCs w:val="24"/>
        </w:rPr>
      </w:pPr>
      <w:r>
        <w:rPr>
          <w:rFonts w:hint="eastAsia" w:ascii="楷体" w:hAnsi="楷体" w:eastAsia="楷体" w:cs="楷体"/>
          <w:bCs/>
          <w:sz w:val="24"/>
          <w:szCs w:val="24"/>
        </w:rPr>
        <w:t>(一)评委会组成：本招标采购项目的评标委员会由采购人代表、政府采购评审专家组成。其中，专家评委不得少于成员总数的三分之二。</w:t>
      </w:r>
    </w:p>
    <w:p>
      <w:pPr>
        <w:pStyle w:val="14"/>
        <w:adjustRightInd w:val="0"/>
        <w:spacing w:line="380" w:lineRule="exact"/>
        <w:ind w:firstLine="480" w:firstLineChars="200"/>
        <w:contextualSpacing/>
        <w:rPr>
          <w:rFonts w:ascii="楷体" w:hAnsi="楷体" w:eastAsia="楷体" w:cs="楷体"/>
          <w:bCs/>
          <w:sz w:val="24"/>
          <w:szCs w:val="24"/>
        </w:rPr>
      </w:pPr>
      <w:r>
        <w:rPr>
          <w:rFonts w:hint="eastAsia" w:ascii="楷体" w:hAnsi="楷体" w:eastAsia="楷体" w:cs="楷体"/>
          <w:bCs/>
          <w:sz w:val="24"/>
          <w:szCs w:val="24"/>
        </w:rPr>
        <w:t>(二)评标依据：评委将以招标文件为评标依据，对投标人的相关评分内容按百分制打分。</w:t>
      </w:r>
    </w:p>
    <w:p>
      <w:pPr>
        <w:pStyle w:val="14"/>
        <w:adjustRightInd w:val="0"/>
        <w:spacing w:line="380" w:lineRule="exact"/>
        <w:ind w:firstLine="480" w:firstLineChars="200"/>
        <w:contextualSpacing/>
        <w:rPr>
          <w:rFonts w:ascii="楷体" w:hAnsi="楷体" w:eastAsia="楷体" w:cs="楷体"/>
          <w:bCs/>
          <w:sz w:val="24"/>
          <w:szCs w:val="24"/>
        </w:rPr>
      </w:pPr>
      <w:r>
        <w:rPr>
          <w:rFonts w:hint="eastAsia" w:ascii="楷体" w:hAnsi="楷体" w:eastAsia="楷体" w:cs="楷体"/>
          <w:bCs/>
          <w:sz w:val="24"/>
          <w:szCs w:val="24"/>
        </w:rPr>
        <w:t>(三)评标方式：以封闭方式进行。</w:t>
      </w:r>
    </w:p>
    <w:p>
      <w:pPr>
        <w:pStyle w:val="14"/>
        <w:adjustRightInd w:val="0"/>
        <w:spacing w:line="380" w:lineRule="exact"/>
        <w:contextualSpacing/>
        <w:rPr>
          <w:rFonts w:ascii="楷体" w:hAnsi="楷体" w:eastAsia="楷体" w:cs="楷体"/>
          <w:bCs/>
          <w:sz w:val="24"/>
          <w:szCs w:val="24"/>
        </w:rPr>
      </w:pPr>
      <w:r>
        <w:rPr>
          <w:rFonts w:hint="eastAsia" w:ascii="楷体" w:hAnsi="楷体" w:eastAsia="楷体" w:cs="楷体"/>
          <w:b/>
          <w:sz w:val="24"/>
          <w:szCs w:val="24"/>
        </w:rPr>
        <w:t>二、评分标准</w:t>
      </w:r>
    </w:p>
    <w:p>
      <w:pPr>
        <w:pStyle w:val="14"/>
        <w:adjustRightInd w:val="0"/>
        <w:spacing w:line="380" w:lineRule="exact"/>
        <w:ind w:firstLine="480" w:firstLineChars="200"/>
        <w:contextualSpacing/>
        <w:rPr>
          <w:rFonts w:ascii="楷体" w:hAnsi="楷体" w:eastAsia="楷体" w:cs="楷体"/>
          <w:bCs/>
          <w:sz w:val="24"/>
          <w:szCs w:val="24"/>
        </w:rPr>
      </w:pPr>
      <w:r>
        <w:rPr>
          <w:rFonts w:hint="eastAsia" w:ascii="楷体" w:hAnsi="楷体" w:eastAsia="楷体" w:cs="楷体"/>
          <w:bCs/>
          <w:sz w:val="24"/>
          <w:szCs w:val="24"/>
        </w:rPr>
        <w:t>（一）对进入详评的，采用百分制综合评分法。</w:t>
      </w:r>
    </w:p>
    <w:p>
      <w:pPr>
        <w:pStyle w:val="14"/>
        <w:adjustRightInd w:val="0"/>
        <w:spacing w:line="380" w:lineRule="exact"/>
        <w:ind w:firstLine="480" w:firstLineChars="200"/>
        <w:contextualSpacing/>
        <w:rPr>
          <w:rFonts w:ascii="楷体" w:hAnsi="楷体" w:eastAsia="楷体" w:cs="楷体"/>
          <w:bCs/>
          <w:sz w:val="24"/>
          <w:szCs w:val="24"/>
        </w:rPr>
      </w:pPr>
      <w:r>
        <w:rPr>
          <w:rFonts w:hint="eastAsia" w:ascii="楷体" w:hAnsi="楷体" w:eastAsia="楷体" w:cs="楷体"/>
          <w:bCs/>
          <w:sz w:val="24"/>
          <w:szCs w:val="24"/>
        </w:rPr>
        <w:t>（二）计分办法（按四舍五入取至百分位）</w:t>
      </w:r>
    </w:p>
    <w:p>
      <w:pPr>
        <w:pStyle w:val="14"/>
        <w:adjustRightInd w:val="0"/>
        <w:spacing w:after="120" w:line="380" w:lineRule="exact"/>
        <w:ind w:firstLine="480" w:firstLineChars="200"/>
        <w:contextualSpacing/>
        <w:rPr>
          <w:rFonts w:ascii="楷体" w:hAnsi="楷体" w:eastAsia="楷体" w:cs="楷体"/>
          <w:b/>
          <w:bCs/>
          <w:sz w:val="24"/>
          <w:szCs w:val="24"/>
        </w:rPr>
      </w:pPr>
      <w:r>
        <w:rPr>
          <w:rFonts w:hint="eastAsia" w:ascii="楷体" w:hAnsi="楷体" w:eastAsia="楷体" w:cs="楷体"/>
          <w:b/>
          <w:bCs/>
          <w:sz w:val="24"/>
          <w:szCs w:val="24"/>
        </w:rPr>
        <w:t>1、价格分 …………………………………………………………………30分</w:t>
      </w:r>
    </w:p>
    <w:p>
      <w:pPr>
        <w:pStyle w:val="14"/>
        <w:adjustRightInd w:val="0"/>
        <w:spacing w:line="380" w:lineRule="exact"/>
        <w:ind w:firstLine="480" w:firstLineChars="200"/>
        <w:contextualSpacing/>
        <w:rPr>
          <w:rFonts w:ascii="楷体" w:hAnsi="楷体" w:eastAsia="楷体" w:cs="楷体"/>
          <w:bCs/>
          <w:sz w:val="24"/>
          <w:szCs w:val="24"/>
        </w:rPr>
      </w:pPr>
      <w:r>
        <w:rPr>
          <w:rFonts w:hint="eastAsia" w:ascii="楷体" w:hAnsi="楷体" w:eastAsia="楷体" w:cs="楷体"/>
          <w:bCs/>
          <w:sz w:val="24"/>
          <w:szCs w:val="24"/>
        </w:rPr>
        <w:t>（1）以进入综合评分的最低评标报价为30分。</w:t>
      </w:r>
    </w:p>
    <w:p>
      <w:pPr>
        <w:pStyle w:val="14"/>
        <w:adjustRightInd w:val="0"/>
        <w:spacing w:line="380" w:lineRule="exact"/>
        <w:ind w:firstLine="480" w:firstLineChars="200"/>
        <w:contextualSpacing/>
        <w:rPr>
          <w:rFonts w:ascii="楷体" w:hAnsi="楷体" w:eastAsia="楷体" w:cs="楷体"/>
          <w:bCs/>
          <w:strike/>
          <w:color w:val="FF0000"/>
          <w:sz w:val="24"/>
          <w:szCs w:val="24"/>
          <w:highlight w:val="yellow"/>
        </w:rPr>
      </w:pPr>
      <w:r>
        <w:rPr>
          <w:rFonts w:hint="eastAsia" w:ascii="楷体" w:hAnsi="楷体" w:eastAsia="楷体" w:cs="楷体"/>
          <w:bCs/>
          <w:sz w:val="24"/>
          <w:szCs w:val="24"/>
        </w:rPr>
        <w:t>（2）按照《政府采购促进中小企业发展暂行办法》（财库[2011]181号），投标单位认定为小型和微型企业的，并提供本企业制造的货物，由本企业承担工程、提供服务，或者提供其他小型、微型企业制造的货物的（不包括使用大型企业注册商标的货物），对投标价给予10%的扣除，扣除后的价格为评标报价，即评标报价=投标价×（1-10%）。</w:t>
      </w:r>
    </w:p>
    <w:p>
      <w:pPr>
        <w:spacing w:line="410" w:lineRule="exact"/>
        <w:ind w:firstLine="480" w:firstLineChars="200"/>
        <w:rPr>
          <w:rFonts w:ascii="楷体" w:hAnsi="楷体" w:eastAsia="楷体" w:cs="楷体"/>
          <w:sz w:val="24"/>
        </w:rPr>
      </w:pPr>
      <w:r>
        <w:rPr>
          <w:rFonts w:hint="eastAsia" w:ascii="楷体" w:hAnsi="楷体" w:eastAsia="楷体" w:cs="楷体"/>
          <w:sz w:val="24"/>
        </w:rPr>
        <w:t>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14"/>
        <w:adjustRightInd w:val="0"/>
        <w:spacing w:line="380" w:lineRule="exact"/>
        <w:ind w:firstLine="480" w:firstLineChars="200"/>
        <w:contextualSpacing/>
        <w:rPr>
          <w:rFonts w:ascii="楷体" w:hAnsi="楷体" w:eastAsia="楷体" w:cs="楷体"/>
          <w:bCs/>
          <w:sz w:val="24"/>
          <w:szCs w:val="24"/>
        </w:rPr>
      </w:pPr>
      <w:r>
        <w:rPr>
          <w:rFonts w:hint="eastAsia" w:ascii="楷体" w:hAnsi="楷体" w:eastAsia="楷体" w:cs="楷体"/>
          <w:bCs/>
          <w:sz w:val="24"/>
          <w:szCs w:val="24"/>
        </w:rPr>
        <w:t>投标产品提供单位按《关于促进残疾人就业政府采购政策的通知》(财库〔2019〕141号)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pPr>
        <w:pStyle w:val="14"/>
        <w:adjustRightInd w:val="0"/>
        <w:spacing w:line="380" w:lineRule="exact"/>
        <w:ind w:firstLine="480" w:firstLineChars="200"/>
        <w:contextualSpacing/>
        <w:rPr>
          <w:rFonts w:ascii="楷体" w:hAnsi="楷体" w:eastAsia="楷体" w:cs="楷体"/>
          <w:bCs/>
          <w:sz w:val="24"/>
          <w:szCs w:val="24"/>
        </w:rPr>
      </w:pPr>
      <w:r>
        <w:rPr>
          <w:rFonts w:hint="eastAsia" w:ascii="楷体" w:hAnsi="楷体" w:eastAsia="楷体" w:cs="楷体"/>
          <w:bCs/>
          <w:sz w:val="24"/>
          <w:szCs w:val="24"/>
        </w:rPr>
        <w:t>除上述情况外，评标报价=投标价。</w:t>
      </w:r>
    </w:p>
    <w:p>
      <w:pPr>
        <w:pStyle w:val="14"/>
        <w:numPr>
          <w:ilvl w:val="0"/>
          <w:numId w:val="6"/>
        </w:numPr>
        <w:adjustRightInd w:val="0"/>
        <w:spacing w:line="380" w:lineRule="exact"/>
        <w:ind w:firstLine="480" w:firstLineChars="200"/>
        <w:contextualSpacing/>
      </w:pPr>
      <w:r>
        <w:rPr>
          <w:rFonts w:hint="eastAsia" w:ascii="楷体" w:hAnsi="楷体" w:eastAsia="楷体" w:cs="楷体"/>
          <w:bCs/>
          <w:sz w:val="24"/>
          <w:szCs w:val="24"/>
        </w:rPr>
        <w:t>某投标人价格分 =（投标人最低评标报价÷某投标人评标报价）×30分。</w:t>
      </w:r>
    </w:p>
    <w:p/>
    <w:p>
      <w:pPr>
        <w:spacing w:line="360" w:lineRule="auto"/>
        <w:ind w:firstLine="240" w:firstLineChars="100"/>
        <w:rPr>
          <w:rFonts w:ascii="楷体" w:hAnsi="楷体" w:eastAsia="楷体" w:cs="楷体"/>
          <w:b/>
          <w:bCs/>
          <w:kern w:val="0"/>
          <w:sz w:val="24"/>
        </w:rPr>
      </w:pPr>
      <w:r>
        <w:rPr>
          <w:rFonts w:hint="eastAsia" w:ascii="楷体" w:hAnsi="楷体" w:eastAsia="楷体" w:cs="楷体"/>
          <w:b/>
          <w:bCs/>
          <w:kern w:val="0"/>
          <w:sz w:val="24"/>
        </w:rPr>
        <w:t>2. 技术分……………………………………………………………………40分</w:t>
      </w:r>
    </w:p>
    <w:p>
      <w:pPr>
        <w:widowControl/>
        <w:spacing w:line="360" w:lineRule="auto"/>
        <w:ind w:firstLine="480" w:firstLineChars="200"/>
        <w:jc w:val="left"/>
        <w:rPr>
          <w:rFonts w:ascii="楷体" w:hAnsi="楷体" w:eastAsia="楷体" w:cs="楷体"/>
          <w:bCs/>
          <w:kern w:val="0"/>
          <w:sz w:val="24"/>
        </w:rPr>
      </w:pPr>
      <w:r>
        <w:rPr>
          <w:rFonts w:hint="eastAsia" w:ascii="楷体" w:hAnsi="楷体" w:eastAsia="楷体" w:cs="楷体"/>
          <w:bCs/>
          <w:kern w:val="0"/>
          <w:sz w:val="24"/>
        </w:rPr>
        <w:t>（1）基本分 （满分 20 分） 投标文件无实质性要求负偏离（</w:t>
      </w:r>
      <w:r>
        <w:rPr>
          <w:rFonts w:hint="eastAsia" w:ascii="宋体" w:hAnsi="宋体"/>
          <w:szCs w:val="21"/>
        </w:rPr>
        <w:t>★</w:t>
      </w:r>
      <w:r>
        <w:rPr>
          <w:rFonts w:hint="eastAsia" w:ascii="楷体" w:hAnsi="楷体" w:eastAsia="楷体" w:cs="楷体"/>
          <w:bCs/>
          <w:kern w:val="0"/>
          <w:sz w:val="24"/>
        </w:rPr>
        <w:t>号无负偏离）的得分 20 分；非</w:t>
      </w:r>
      <w:r>
        <w:rPr>
          <w:rFonts w:hint="eastAsia" w:ascii="宋体" w:hAnsi="宋体"/>
          <w:szCs w:val="21"/>
        </w:rPr>
        <w:t>★</w:t>
      </w:r>
      <w:r>
        <w:rPr>
          <w:rFonts w:hint="eastAsia" w:ascii="楷体" w:hAnsi="楷体" w:eastAsia="楷体" w:cs="楷体"/>
          <w:bCs/>
          <w:kern w:val="0"/>
          <w:sz w:val="24"/>
        </w:rPr>
        <w:t>一般参数及功能负偏离一项扣2分，漏项的视同为负偏离，最多扣完本项分值 20 分，</w:t>
      </w:r>
    </w:p>
    <w:p>
      <w:pPr>
        <w:widowControl/>
        <w:spacing w:line="360" w:lineRule="auto"/>
        <w:ind w:firstLine="480" w:firstLineChars="200"/>
        <w:jc w:val="left"/>
        <w:rPr>
          <w:rFonts w:ascii="楷体" w:hAnsi="楷体" w:eastAsia="楷体" w:cs="楷体"/>
          <w:bCs/>
          <w:kern w:val="0"/>
          <w:sz w:val="24"/>
        </w:rPr>
      </w:pPr>
      <w:r>
        <w:rPr>
          <w:rFonts w:hint="eastAsia" w:ascii="楷体" w:hAnsi="楷体" w:eastAsia="楷体" w:cs="楷体"/>
          <w:bCs/>
          <w:kern w:val="0"/>
          <w:sz w:val="24"/>
        </w:rPr>
        <w:t xml:space="preserve">(2)设备性能分（满分 20 分） </w:t>
      </w:r>
    </w:p>
    <w:p>
      <w:pPr>
        <w:widowControl/>
        <w:spacing w:line="360" w:lineRule="auto"/>
        <w:ind w:firstLine="480" w:firstLineChars="200"/>
        <w:jc w:val="left"/>
        <w:rPr>
          <w:rFonts w:ascii="楷体" w:hAnsi="楷体" w:eastAsia="楷体" w:cs="楷体"/>
          <w:bCs/>
          <w:kern w:val="0"/>
          <w:sz w:val="24"/>
        </w:rPr>
      </w:pPr>
      <w:r>
        <w:rPr>
          <w:rFonts w:hint="eastAsia" w:ascii="楷体" w:hAnsi="楷体" w:eastAsia="楷体" w:cs="楷体"/>
          <w:bCs/>
          <w:kern w:val="0"/>
          <w:sz w:val="24"/>
        </w:rPr>
        <w:t xml:space="preserve">有优于招标文件要求且评标时被评标委员会接受的，每优于一项得 4分。（满分 20 分） 注：投标人须在投标文件中提供投标产品的有资质的第三方检测机构出具的检测报告复印件作为佐证，以上材料需加投标人公章，否则评标委员会有权不接受其优于。 </w:t>
      </w:r>
    </w:p>
    <w:p>
      <w:pPr>
        <w:pStyle w:val="91"/>
        <w:spacing w:line="380" w:lineRule="exact"/>
        <w:ind w:firstLine="240" w:firstLineChars="100"/>
        <w:contextualSpacing/>
        <w:rPr>
          <w:rFonts w:ascii="楷体" w:hAnsi="楷体" w:eastAsia="楷体" w:cs="楷体"/>
          <w:bCs/>
          <w:sz w:val="24"/>
        </w:rPr>
      </w:pPr>
      <w:r>
        <w:rPr>
          <w:rFonts w:hint="eastAsia" w:ascii="楷体" w:hAnsi="楷体" w:eastAsia="楷体" w:cs="楷体"/>
          <w:b/>
          <w:bCs/>
          <w:sz w:val="24"/>
        </w:rPr>
        <w:t>3、</w:t>
      </w:r>
      <w:r>
        <w:rPr>
          <w:rFonts w:hint="eastAsia" w:ascii="楷体" w:hAnsi="楷体" w:eastAsia="楷体" w:cs="楷体"/>
          <w:bCs/>
          <w:sz w:val="24"/>
        </w:rPr>
        <w:t>售后服务分</w:t>
      </w:r>
      <w:r>
        <w:rPr>
          <w:rFonts w:hint="eastAsia" w:ascii="楷体" w:hAnsi="楷体" w:eastAsia="楷体" w:cs="楷体"/>
          <w:b/>
          <w:bCs/>
          <w:sz w:val="24"/>
        </w:rPr>
        <w:t>………………………………………………………………20分</w:t>
      </w:r>
    </w:p>
    <w:p>
      <w:pPr>
        <w:widowControl/>
        <w:spacing w:line="360" w:lineRule="auto"/>
        <w:ind w:firstLine="240" w:firstLineChars="100"/>
        <w:jc w:val="left"/>
        <w:rPr>
          <w:rFonts w:ascii="楷体" w:hAnsi="楷体" w:eastAsia="楷体" w:cs="楷体"/>
          <w:bCs/>
          <w:color w:val="000000" w:themeColor="text1"/>
          <w:kern w:val="0"/>
          <w:sz w:val="24"/>
          <w14:textFill>
            <w14:solidFill>
              <w14:schemeClr w14:val="tx1"/>
            </w14:solidFill>
          </w14:textFill>
        </w:rPr>
      </w:pPr>
      <w:r>
        <w:rPr>
          <w:rFonts w:hint="eastAsia" w:ascii="楷体" w:hAnsi="楷体" w:eastAsia="楷体" w:cs="楷体"/>
          <w:bCs/>
          <w:kern w:val="0"/>
          <w:sz w:val="24"/>
        </w:rPr>
        <w:t>一</w:t>
      </w:r>
      <w:r>
        <w:rPr>
          <w:rFonts w:hint="eastAsia" w:ascii="楷体" w:hAnsi="楷体" w:eastAsia="楷体" w:cs="楷体"/>
          <w:bCs/>
          <w:color w:val="000000" w:themeColor="text1"/>
          <w:kern w:val="0"/>
          <w:sz w:val="24"/>
          <w14:textFill>
            <w14:solidFill>
              <w14:schemeClr w14:val="tx1"/>
            </w14:solidFill>
          </w14:textFill>
        </w:rPr>
        <w:t>档（8分）：评委依据投标文件中售后服务承诺书内容的完整性、可行性、免费保修期限、到达故障现场时间、故障出现解决方案、定期维护（注明时间）、免费技术培训方案、保修期外维修方案、其他优惠措施及方案等方面基本满足招标文件要求，评定为“一般”。</w:t>
      </w:r>
    </w:p>
    <w:p>
      <w:pPr>
        <w:pStyle w:val="14"/>
        <w:spacing w:line="440" w:lineRule="exact"/>
        <w:ind w:firstLine="360" w:firstLineChars="150"/>
        <w:jc w:val="left"/>
        <w:rPr>
          <w:rFonts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二档（14分）：评委依据投标文件中售后服务承诺书内容的完整性、可行性、免费保修期限、到达故障现场时间、故障出现解决方案、定期维护（注明时间）、免费技术培训方案、保修期外维修方案、其他优惠措施及方案等方面完全满足招标文件要求,并且具备本地化服务能力并有2名以上售后工程师（提供经第三方认证的培训合格证书））日常技术维护力量及服务较好，评定为“良好”。</w:t>
      </w:r>
    </w:p>
    <w:p>
      <w:pPr>
        <w:pStyle w:val="14"/>
        <w:spacing w:line="440" w:lineRule="exact"/>
        <w:ind w:firstLine="360" w:firstLineChars="150"/>
        <w:jc w:val="left"/>
        <w:rPr>
          <w:rFonts w:ascii="楷体" w:hAnsi="楷体" w:eastAsia="楷体" w:cs="楷体"/>
          <w:bCs/>
          <w:sz w:val="24"/>
          <w:szCs w:val="24"/>
        </w:rPr>
      </w:pPr>
      <w:r>
        <w:rPr>
          <w:rFonts w:hint="eastAsia" w:ascii="楷体" w:hAnsi="楷体" w:eastAsia="楷体" w:cs="楷体"/>
          <w:bCs/>
          <w:color w:val="000000" w:themeColor="text1"/>
          <w:sz w:val="24"/>
          <w:szCs w:val="24"/>
          <w14:textFill>
            <w14:solidFill>
              <w14:schemeClr w14:val="tx1"/>
            </w14:solidFill>
          </w14:textFill>
        </w:rPr>
        <w:t>三档（20分）：评委依据投标文件中售后服务承诺书内容的完整性、可行性、免费保修期限、到达故障现场时间、故障出现解决方案、定期维护（注明时间）、免费技术培训方案、保修期外维修方案、其他优惠措施及方案等方面完全满足招标文件要求</w:t>
      </w:r>
      <w:r>
        <w:rPr>
          <w:rFonts w:ascii="楷体" w:hAnsi="楷体" w:eastAsia="楷体" w:cs="楷体"/>
          <w:bCs/>
          <w:color w:val="000000" w:themeColor="text1"/>
          <w:sz w:val="24"/>
          <w:szCs w:val="24"/>
          <w14:textFill>
            <w14:solidFill>
              <w14:schemeClr w14:val="tx1"/>
            </w14:solidFill>
          </w14:textFill>
        </w:rPr>
        <w:t>，</w:t>
      </w:r>
      <w:r>
        <w:rPr>
          <w:rFonts w:hint="eastAsia" w:ascii="楷体" w:hAnsi="楷体" w:eastAsia="楷体" w:cs="楷体"/>
          <w:bCs/>
          <w:color w:val="000000" w:themeColor="text1"/>
          <w:sz w:val="24"/>
          <w:szCs w:val="24"/>
          <w:lang w:eastAsia="zh-Hans"/>
          <w14:textFill>
            <w14:solidFill>
              <w14:schemeClr w14:val="tx1"/>
            </w14:solidFill>
          </w14:textFill>
        </w:rPr>
        <w:t>提供</w:t>
      </w:r>
      <w:r>
        <w:rPr>
          <w:rFonts w:hint="eastAsia" w:ascii="楷体" w:hAnsi="楷体" w:eastAsia="楷体" w:cs="楷体"/>
          <w:bCs/>
          <w:color w:val="000000" w:themeColor="text1"/>
          <w:sz w:val="24"/>
          <w:szCs w:val="24"/>
          <w14:textFill>
            <w14:solidFill>
              <w14:schemeClr w14:val="tx1"/>
            </w14:solidFill>
          </w14:textFill>
        </w:rPr>
        <w:t>设备原厂家售后服务承诺书及设备原厂家授权书</w:t>
      </w:r>
      <w:r>
        <w:rPr>
          <w:rFonts w:hint="eastAsia" w:ascii="楷体" w:hAnsi="楷体" w:eastAsia="楷体" w:cs="楷体"/>
          <w:bCs/>
          <w:color w:val="000000" w:themeColor="text1"/>
          <w:sz w:val="24"/>
          <w:szCs w:val="24"/>
          <w:lang w:eastAsia="zh-Hans"/>
          <w14:textFill>
            <w14:solidFill>
              <w14:schemeClr w14:val="tx1"/>
            </w14:solidFill>
          </w14:textFill>
        </w:rPr>
        <w:t>原件</w:t>
      </w:r>
      <w:r>
        <w:rPr>
          <w:rFonts w:ascii="楷体" w:hAnsi="楷体" w:eastAsia="楷体" w:cs="楷体"/>
          <w:bCs/>
          <w:color w:val="000000" w:themeColor="text1"/>
          <w:sz w:val="24"/>
          <w:szCs w:val="24"/>
          <w14:textFill>
            <w14:solidFill>
              <w14:schemeClr w14:val="tx1"/>
            </w14:solidFill>
          </w14:textFill>
        </w:rPr>
        <w:t>，</w:t>
      </w:r>
      <w:r>
        <w:rPr>
          <w:rFonts w:hint="eastAsia" w:ascii="楷体" w:hAnsi="楷体" w:eastAsia="楷体" w:cs="楷体"/>
          <w:bCs/>
          <w:color w:val="000000" w:themeColor="text1"/>
          <w:sz w:val="24"/>
          <w:szCs w:val="24"/>
          <w14:textFill>
            <w14:solidFill>
              <w14:schemeClr w14:val="tx1"/>
            </w14:solidFill>
          </w14:textFill>
        </w:rPr>
        <w:t>并且具备本地化服务能力（设备出现故障能72小时内修复，每年回访次数不低于2次）并有5名以上售后工程师（提供经第三方认证的培训合格证书复印件或者扫描件）日常技术维护力量及服务优秀，评定为“优秀”。</w:t>
      </w:r>
      <w:r>
        <w:rPr>
          <w:rFonts w:hint="eastAsia" w:ascii="楷体" w:hAnsi="楷体" w:eastAsia="楷体" w:cs="楷体"/>
          <w:bCs/>
          <w:sz w:val="24"/>
          <w:szCs w:val="24"/>
        </w:rPr>
        <w:t xml:space="preserve"> </w:t>
      </w:r>
    </w:p>
    <w:p>
      <w:pPr>
        <w:pStyle w:val="11"/>
        <w:ind w:firstLine="0"/>
      </w:pPr>
    </w:p>
    <w:p>
      <w:pPr>
        <w:pStyle w:val="91"/>
        <w:spacing w:line="380" w:lineRule="exact"/>
        <w:ind w:firstLine="240" w:firstLineChars="100"/>
        <w:contextualSpacing/>
        <w:rPr>
          <w:rFonts w:ascii="楷体" w:hAnsi="楷体" w:eastAsia="楷体" w:cs="楷体"/>
          <w:b/>
          <w:bCs/>
          <w:sz w:val="24"/>
        </w:rPr>
      </w:pPr>
      <w:r>
        <w:rPr>
          <w:rFonts w:hint="eastAsia" w:ascii="楷体" w:hAnsi="楷体" w:eastAsia="楷体" w:cs="楷体"/>
          <w:b/>
          <w:bCs/>
          <w:sz w:val="24"/>
        </w:rPr>
        <w:t>4、信誉业绩分………………………………………………………………8分</w:t>
      </w:r>
    </w:p>
    <w:p>
      <w:pPr>
        <w:spacing w:line="380" w:lineRule="exact"/>
        <w:ind w:firstLine="240" w:firstLineChars="100"/>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1）</w:t>
      </w:r>
      <w:r>
        <w:rPr>
          <w:rFonts w:hint="eastAsia" w:ascii="楷体" w:hAnsi="楷体" w:eastAsia="楷体" w:cs="楷体"/>
          <w:bCs/>
          <w:color w:val="000000" w:themeColor="text1"/>
          <w:kern w:val="0"/>
          <w:sz w:val="24"/>
          <w14:textFill>
            <w14:solidFill>
              <w14:schemeClr w14:val="tx1"/>
            </w14:solidFill>
          </w14:textFill>
        </w:rPr>
        <w:t>投标人提供2018年以来内完成的同类项目有效的业绩证明材料</w:t>
      </w:r>
      <w:r>
        <w:rPr>
          <w:rFonts w:hint="eastAsia" w:ascii="楷体" w:hAnsi="楷体" w:eastAsia="楷体" w:cs="楷体"/>
          <w:color w:val="000000" w:themeColor="text1"/>
          <w:sz w:val="24"/>
          <w14:textFill>
            <w14:solidFill>
              <w14:schemeClr w14:val="tx1"/>
            </w14:solidFill>
          </w14:textFill>
        </w:rPr>
        <w:t>（以中标通知书复印件或合同复印件为准，并加盖单位公章，否则提交无效），每提供1项得1分，满分5分。</w:t>
      </w:r>
    </w:p>
    <w:p>
      <w:pPr>
        <w:pStyle w:val="14"/>
        <w:adjustRightInd w:val="0"/>
        <w:spacing w:line="380" w:lineRule="exact"/>
        <w:ind w:firstLine="240" w:firstLineChars="100"/>
        <w:contextualSpacing/>
        <w:rPr>
          <w:rFonts w:ascii="楷体" w:hAnsi="楷体" w:eastAsia="楷体" w:cs="楷体"/>
          <w:color w:val="000000"/>
          <w:kern w:val="2"/>
          <w:sz w:val="24"/>
          <w:szCs w:val="24"/>
        </w:rPr>
      </w:pPr>
      <w:r>
        <w:rPr>
          <w:rFonts w:hint="eastAsia" w:ascii="楷体" w:hAnsi="楷体" w:eastAsia="楷体" w:cs="楷体"/>
          <w:color w:val="000000" w:themeColor="text1"/>
          <w:kern w:val="2"/>
          <w:sz w:val="24"/>
          <w:szCs w:val="24"/>
          <w14:textFill>
            <w14:solidFill>
              <w14:schemeClr w14:val="tx1"/>
            </w14:solidFill>
          </w14:textFill>
        </w:rPr>
        <w:t>2）</w:t>
      </w:r>
      <w:r>
        <w:rPr>
          <w:rFonts w:hint="eastAsia" w:ascii="楷体" w:hAnsi="楷体" w:eastAsia="楷体" w:cs="楷体"/>
          <w:bCs/>
          <w:color w:val="000000" w:themeColor="text1"/>
          <w:sz w:val="24"/>
          <w:szCs w:val="24"/>
          <w14:textFill>
            <w14:solidFill>
              <w14:schemeClr w14:val="tx1"/>
            </w14:solidFill>
          </w14:textFill>
        </w:rPr>
        <w:t>投标人或投标产品生产厂家</w:t>
      </w:r>
      <w:r>
        <w:rPr>
          <w:rFonts w:hint="eastAsia" w:ascii="楷体" w:hAnsi="楷体" w:eastAsia="楷体" w:cs="楷体"/>
          <w:color w:val="000000"/>
          <w:kern w:val="2"/>
          <w:sz w:val="24"/>
          <w:szCs w:val="24"/>
        </w:rPr>
        <w:t>提供获得全国影像设备行业十佳名优品牌、绿色环保产品、国家高新技术产品、全国百强优秀企业、IS09001、IS013485证书的，以上证书每有1项得0.5分，满分3分（提供证书复印件加盖公章为准）</w:t>
      </w:r>
    </w:p>
    <w:p>
      <w:pPr>
        <w:pStyle w:val="14"/>
        <w:adjustRightInd w:val="0"/>
        <w:spacing w:line="380" w:lineRule="exact"/>
        <w:ind w:firstLine="240" w:firstLineChars="100"/>
        <w:contextualSpacing/>
        <w:rPr>
          <w:rFonts w:ascii="楷体" w:hAnsi="楷体" w:eastAsia="楷体" w:cs="楷体"/>
          <w:b/>
          <w:bCs/>
          <w:color w:val="000000"/>
          <w:sz w:val="24"/>
          <w:szCs w:val="24"/>
        </w:rPr>
      </w:pPr>
      <w:r>
        <w:rPr>
          <w:rFonts w:hint="eastAsia" w:ascii="楷体" w:hAnsi="楷体" w:eastAsia="楷体" w:cs="楷体"/>
          <w:b/>
          <w:color w:val="000000"/>
          <w:sz w:val="24"/>
          <w:szCs w:val="24"/>
        </w:rPr>
        <w:t>5、</w:t>
      </w:r>
      <w:r>
        <w:rPr>
          <w:rFonts w:hint="eastAsia" w:ascii="楷体" w:hAnsi="楷体" w:eastAsia="楷体" w:cs="楷体"/>
          <w:b/>
          <w:bCs/>
          <w:color w:val="000000"/>
          <w:sz w:val="24"/>
          <w:szCs w:val="24"/>
        </w:rPr>
        <w:t>政策功能分(节能、环保)………………………………………………2分</w:t>
      </w:r>
    </w:p>
    <w:p>
      <w:pPr>
        <w:pStyle w:val="14"/>
        <w:adjustRightInd w:val="0"/>
        <w:spacing w:line="380" w:lineRule="exact"/>
        <w:ind w:firstLine="240" w:firstLineChars="100"/>
        <w:contextualSpacing/>
        <w:rPr>
          <w:rFonts w:ascii="楷体" w:hAnsi="楷体" w:eastAsia="楷体" w:cs="楷体"/>
          <w:bCs/>
          <w:color w:val="000000"/>
          <w:sz w:val="24"/>
          <w:szCs w:val="24"/>
        </w:rPr>
      </w:pPr>
      <w:r>
        <w:rPr>
          <w:rFonts w:hint="eastAsia" w:ascii="楷体" w:hAnsi="楷体" w:eastAsia="楷体" w:cs="楷体"/>
          <w:bCs/>
          <w:color w:val="000000"/>
          <w:sz w:val="24"/>
          <w:szCs w:val="24"/>
        </w:rPr>
        <w:t>投标产品列入财政部、国家发展和改革委员会制定和公布的政府采购节能产品、环境标志产品品目清单，且具有有效期之内的节能产品、环境标志产品认证证书的。每项得0.5分（本项目属于强制采购节能环保产品的除外。以品目清单复印件及产品证书为准，投标产品需清晰反映在品目清单上），满分2分。</w:t>
      </w:r>
    </w:p>
    <w:p>
      <w:pPr>
        <w:pStyle w:val="14"/>
        <w:numPr>
          <w:ilvl w:val="0"/>
          <w:numId w:val="7"/>
        </w:numPr>
        <w:adjustRightInd w:val="0"/>
        <w:spacing w:line="380" w:lineRule="exact"/>
        <w:ind w:firstLine="240" w:firstLineChars="100"/>
        <w:contextualSpacing/>
        <w:rPr>
          <w:rFonts w:ascii="楷体" w:hAnsi="楷体" w:eastAsia="楷体" w:cs="楷体"/>
          <w:b/>
          <w:bCs/>
          <w:color w:val="0070C0"/>
          <w:sz w:val="24"/>
          <w:szCs w:val="24"/>
        </w:rPr>
      </w:pPr>
      <w:r>
        <w:rPr>
          <w:rFonts w:hint="eastAsia" w:ascii="楷体" w:hAnsi="楷体" w:eastAsia="楷体" w:cs="楷体"/>
          <w:b/>
          <w:bCs/>
          <w:color w:val="0070C0"/>
          <w:sz w:val="24"/>
          <w:szCs w:val="24"/>
        </w:rPr>
        <w:t>诚信分………………………………………………6分</w:t>
      </w:r>
    </w:p>
    <w:p>
      <w:pPr>
        <w:spacing w:line="360" w:lineRule="auto"/>
        <w:ind w:firstLine="480" w:firstLineChars="200"/>
      </w:pPr>
      <w:r>
        <w:rPr>
          <w:rFonts w:hint="eastAsia" w:ascii="楷体" w:hAnsi="楷体" w:eastAsia="楷体" w:cs="楷体"/>
          <w:bCs/>
          <w:color w:val="0070C0"/>
          <w:kern w:val="0"/>
          <w:sz w:val="24"/>
        </w:rPr>
        <w:t>投标人在截标日前 1 年内在政府采购活动中存在违约违规情形的（以财政部门出具的书面材料为评分依据），每次扣除 3 分，最高扣分 6 分。</w:t>
      </w:r>
    </w:p>
    <w:p>
      <w:pPr>
        <w:pStyle w:val="14"/>
        <w:adjustRightInd w:val="0"/>
        <w:spacing w:line="380" w:lineRule="exact"/>
        <w:ind w:firstLine="240" w:firstLineChars="100"/>
        <w:contextualSpacing/>
        <w:rPr>
          <w:rFonts w:ascii="楷体" w:hAnsi="楷体" w:eastAsia="楷体" w:cs="楷体"/>
          <w:sz w:val="24"/>
          <w:szCs w:val="24"/>
        </w:rPr>
      </w:pPr>
      <w:r>
        <w:rPr>
          <w:rFonts w:hint="eastAsia" w:ascii="楷体" w:hAnsi="楷体" w:eastAsia="楷体" w:cs="楷体"/>
          <w:bCs/>
          <w:color w:val="000000"/>
          <w:sz w:val="24"/>
          <w:szCs w:val="24"/>
        </w:rPr>
        <w:t>总得分=1+2+3+4+5-6</w:t>
      </w:r>
    </w:p>
    <w:p>
      <w:pPr>
        <w:pStyle w:val="14"/>
        <w:adjustRightInd w:val="0"/>
        <w:spacing w:line="380" w:lineRule="exact"/>
        <w:contextualSpacing/>
        <w:rPr>
          <w:rFonts w:ascii="楷体" w:hAnsi="楷体" w:eastAsia="楷体" w:cs="楷体"/>
          <w:bCs/>
          <w:sz w:val="24"/>
          <w:szCs w:val="24"/>
        </w:rPr>
      </w:pPr>
      <w:r>
        <w:rPr>
          <w:rFonts w:hint="eastAsia" w:ascii="楷体" w:hAnsi="楷体" w:eastAsia="楷体" w:cs="楷体"/>
          <w:b/>
          <w:sz w:val="24"/>
          <w:szCs w:val="24"/>
        </w:rPr>
        <w:t>三、中标候选人推荐原则</w:t>
      </w:r>
    </w:p>
    <w:p>
      <w:pPr>
        <w:pStyle w:val="14"/>
        <w:adjustRightInd w:val="0"/>
        <w:spacing w:line="380" w:lineRule="exact"/>
        <w:ind w:firstLine="480" w:firstLineChars="200"/>
        <w:contextualSpacing/>
        <w:rPr>
          <w:rFonts w:ascii="楷体" w:hAnsi="楷体" w:eastAsia="楷体" w:cs="楷体"/>
          <w:bCs/>
          <w:sz w:val="24"/>
          <w:szCs w:val="24"/>
        </w:rPr>
      </w:pPr>
      <w:r>
        <w:rPr>
          <w:rFonts w:hint="eastAsia" w:ascii="楷体" w:hAnsi="楷体" w:eastAsia="楷体" w:cs="楷体"/>
          <w:bCs/>
          <w:sz w:val="24"/>
          <w:szCs w:val="24"/>
        </w:rPr>
        <w:t>评标委员会将按评审后得分由高到低顺序排列。得分相同的，按投标报价由低到高顺序排列。得分且投标报价相同的并列。投标文件满足招标文件全部实质性要求，且评审得分最高的投标人为排名第一的中标候选人。</w:t>
      </w:r>
      <w:r>
        <w:rPr>
          <w:rFonts w:hint="eastAsia" w:ascii="楷体" w:hAnsi="楷体" w:eastAsia="楷体" w:cs="楷体"/>
          <w:sz w:val="24"/>
          <w:szCs w:val="24"/>
          <w:shd w:val="clear" w:color="auto" w:fill="FFFFFF"/>
        </w:rPr>
        <w:t>采购人应当确定排名第一的中标候选人为中标人。除非有法定事由，如排名第一的中标候选人放弃中标、因不可抗力不能履行合同、不按照招标文件要求提交履约保证金，或者被查实存在影响中标结果的违法行为等情形，不符合中标条件的。该等情况下，采购人可以按照评标委员会提出的中标候选人名单排序依次确定其他中标候选人为中标人，也可以重新招标。</w:t>
      </w:r>
    </w:p>
    <w:p/>
    <w:p/>
    <w:p/>
    <w:p/>
    <w:p>
      <w:pPr>
        <w:pStyle w:val="7"/>
        <w:numPr>
          <w:ilvl w:val="5"/>
          <w:numId w:val="0"/>
        </w:numPr>
      </w:pPr>
    </w:p>
    <w:bookmarkEnd w:id="43"/>
    <w:p>
      <w:pPr>
        <w:pStyle w:val="3"/>
        <w:spacing w:before="0" w:after="0" w:line="360" w:lineRule="auto"/>
        <w:jc w:val="center"/>
      </w:pPr>
    </w:p>
    <w:p/>
    <w:p>
      <w:pPr>
        <w:pStyle w:val="11"/>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3"/>
        <w:spacing w:before="0" w:after="0" w:line="360" w:lineRule="auto"/>
        <w:jc w:val="center"/>
      </w:pPr>
      <w:bookmarkStart w:id="45" w:name="_Toc2169"/>
      <w:r>
        <w:rPr>
          <w:rFonts w:hint="eastAsia"/>
        </w:rPr>
        <w:t>第四章投标人须知</w:t>
      </w:r>
      <w:bookmarkEnd w:id="45"/>
    </w:p>
    <w:p>
      <w:pPr>
        <w:pStyle w:val="14"/>
        <w:spacing w:line="720" w:lineRule="auto"/>
        <w:jc w:val="center"/>
        <w:rPr>
          <w:rFonts w:ascii="Times New Roman" w:hAnsi="Times New Roman"/>
          <w:b/>
          <w:sz w:val="30"/>
          <w:szCs w:val="30"/>
        </w:rPr>
      </w:pPr>
      <w:r>
        <w:rPr>
          <w:rFonts w:hint="eastAsia" w:ascii="Times New Roman" w:hAnsi="Times New Roman"/>
          <w:b/>
          <w:sz w:val="30"/>
          <w:szCs w:val="30"/>
        </w:rPr>
        <w:t>投标人须知前附表</w:t>
      </w:r>
    </w:p>
    <w:p>
      <w:pPr>
        <w:pStyle w:val="14"/>
        <w:spacing w:line="460" w:lineRule="exact"/>
        <w:ind w:firstLine="420"/>
        <w:rPr>
          <w:rFonts w:ascii="Times New Roman" w:hAnsi="Times New Roman"/>
          <w:sz w:val="30"/>
          <w:szCs w:val="30"/>
          <w:highlight w:val="yellow"/>
        </w:rPr>
      </w:pPr>
      <w:r>
        <w:rPr>
          <w:rFonts w:hint="eastAsia"/>
        </w:rPr>
        <w:t>本表是关于本次采购项目的具体资料，是对后列条款的具体补充和修改。所有与本次采购有关的事宜，以本表规定的为准。</w:t>
      </w:r>
    </w:p>
    <w:tbl>
      <w:tblPr>
        <w:tblStyle w:val="26"/>
        <w:tblW w:w="1028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2415"/>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Ansi="宋体"/>
                <w:b/>
                <w:kern w:val="2"/>
                <w:sz w:val="21"/>
                <w:szCs w:val="21"/>
              </w:rPr>
            </w:pPr>
            <w:r>
              <w:rPr>
                <w:rFonts w:hint="eastAsia" w:hAnsi="宋体"/>
                <w:b/>
                <w:kern w:val="2"/>
                <w:sz w:val="21"/>
                <w:szCs w:val="21"/>
              </w:rPr>
              <w:t>条款号</w:t>
            </w:r>
          </w:p>
        </w:tc>
        <w:tc>
          <w:tcPr>
            <w:tcW w:w="241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Ansi="宋体"/>
                <w:b/>
                <w:kern w:val="2"/>
                <w:sz w:val="21"/>
                <w:szCs w:val="21"/>
              </w:rPr>
            </w:pPr>
            <w:r>
              <w:rPr>
                <w:rFonts w:hint="eastAsia" w:hAnsi="宋体"/>
                <w:b/>
                <w:kern w:val="2"/>
                <w:sz w:val="21"/>
                <w:szCs w:val="21"/>
              </w:rPr>
              <w:t>条款名称</w:t>
            </w:r>
          </w:p>
        </w:tc>
        <w:tc>
          <w:tcPr>
            <w:tcW w:w="6403" w:type="dxa"/>
            <w:tcBorders>
              <w:top w:val="single" w:color="auto" w:sz="4" w:space="0"/>
              <w:left w:val="single" w:color="auto" w:sz="4" w:space="0"/>
              <w:bottom w:val="single" w:color="auto" w:sz="4" w:space="0"/>
              <w:right w:val="single" w:color="auto" w:sz="4" w:space="0"/>
            </w:tcBorders>
          </w:tcPr>
          <w:p>
            <w:pPr>
              <w:pStyle w:val="14"/>
              <w:spacing w:line="360" w:lineRule="auto"/>
              <w:jc w:val="center"/>
              <w:rPr>
                <w:rFonts w:hAnsi="宋体"/>
                <w:b/>
                <w:kern w:val="2"/>
                <w:sz w:val="21"/>
                <w:szCs w:val="21"/>
              </w:rPr>
            </w:pPr>
            <w:r>
              <w:rPr>
                <w:rFonts w:hint="eastAsia" w:hAnsi="宋体"/>
                <w:b/>
                <w:kern w:val="2"/>
                <w:sz w:val="21"/>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1.1</w:t>
            </w: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采购人</w:t>
            </w:r>
          </w:p>
        </w:tc>
        <w:tc>
          <w:tcPr>
            <w:tcW w:w="64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名称：南宁高新技术产业开发区社会事业局</w:t>
            </w:r>
          </w:p>
          <w:p>
            <w:pPr>
              <w:spacing w:line="360" w:lineRule="auto"/>
              <w:jc w:val="left"/>
              <w:rPr>
                <w:rFonts w:ascii="仿宋" w:hAnsi="仿宋" w:eastAsia="仿宋" w:cs="仿宋"/>
                <w:sz w:val="24"/>
              </w:rPr>
            </w:pPr>
            <w:r>
              <w:rPr>
                <w:rFonts w:hint="eastAsia" w:ascii="仿宋" w:hAnsi="仿宋" w:eastAsia="仿宋" w:cs="仿宋"/>
                <w:sz w:val="24"/>
              </w:rPr>
              <w:t>地址：广西南宁市滨河路1号火炬大厦16楼1611室</w:t>
            </w:r>
          </w:p>
          <w:p>
            <w:pPr>
              <w:spacing w:line="360" w:lineRule="auto"/>
              <w:jc w:val="left"/>
              <w:rPr>
                <w:rFonts w:ascii="仿宋" w:hAnsi="仿宋" w:eastAsia="仿宋" w:cs="仿宋"/>
                <w:sz w:val="24"/>
              </w:rPr>
            </w:pPr>
            <w:r>
              <w:rPr>
                <w:rFonts w:hint="eastAsia" w:ascii="仿宋" w:hAnsi="仿宋" w:eastAsia="仿宋" w:cs="仿宋"/>
                <w:sz w:val="24"/>
              </w:rPr>
              <w:t>联系人：王自美</w:t>
            </w:r>
          </w:p>
          <w:p>
            <w:pPr>
              <w:spacing w:line="360" w:lineRule="auto"/>
              <w:jc w:val="left"/>
              <w:rPr>
                <w:rFonts w:hAnsi="宋体" w:eastAsia="仿宋"/>
                <w:szCs w:val="21"/>
              </w:rPr>
            </w:pPr>
            <w:r>
              <w:rPr>
                <w:rFonts w:hint="eastAsia" w:ascii="仿宋" w:hAnsi="仿宋" w:eastAsia="仿宋" w:cs="仿宋"/>
                <w:sz w:val="24"/>
              </w:rPr>
              <w:t>电话：0771-5816927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1.2</w:t>
            </w: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采购代理机构</w:t>
            </w:r>
          </w:p>
        </w:tc>
        <w:tc>
          <w:tcPr>
            <w:tcW w:w="64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名称：南宁高新技术产业开发区政府集中采购中心</w:t>
            </w:r>
          </w:p>
          <w:p>
            <w:pPr>
              <w:spacing w:line="360" w:lineRule="auto"/>
              <w:jc w:val="left"/>
              <w:rPr>
                <w:rFonts w:ascii="仿宋" w:hAnsi="仿宋" w:eastAsia="仿宋" w:cs="仿宋"/>
                <w:sz w:val="24"/>
              </w:rPr>
            </w:pPr>
            <w:r>
              <w:rPr>
                <w:rFonts w:hint="eastAsia" w:ascii="仿宋" w:hAnsi="仿宋" w:eastAsia="仿宋" w:cs="仿宋"/>
                <w:sz w:val="24"/>
              </w:rPr>
              <w:t>地址：广西南宁市滨河路1号火炬大厦1105室</w:t>
            </w:r>
          </w:p>
          <w:p>
            <w:pPr>
              <w:spacing w:line="360" w:lineRule="auto"/>
              <w:jc w:val="left"/>
              <w:rPr>
                <w:rFonts w:ascii="仿宋" w:hAnsi="仿宋" w:eastAsia="仿宋" w:cs="仿宋"/>
                <w:sz w:val="24"/>
              </w:rPr>
            </w:pPr>
            <w:r>
              <w:rPr>
                <w:rFonts w:hint="eastAsia" w:ascii="仿宋" w:hAnsi="仿宋" w:eastAsia="仿宋" w:cs="仿宋"/>
                <w:sz w:val="24"/>
              </w:rPr>
              <w:t>邮编：530007</w:t>
            </w:r>
          </w:p>
          <w:p>
            <w:pPr>
              <w:spacing w:line="360" w:lineRule="auto"/>
              <w:jc w:val="left"/>
              <w:rPr>
                <w:rFonts w:ascii="仿宋" w:hAnsi="仿宋" w:eastAsia="仿宋" w:cs="仿宋"/>
                <w:sz w:val="24"/>
              </w:rPr>
            </w:pPr>
            <w:r>
              <w:rPr>
                <w:rFonts w:hint="eastAsia" w:ascii="仿宋" w:hAnsi="仿宋" w:eastAsia="仿宋" w:cs="仿宋"/>
                <w:sz w:val="24"/>
              </w:rPr>
              <w:t>联系人：方乐、张露予</w:t>
            </w:r>
          </w:p>
          <w:p>
            <w:pPr>
              <w:spacing w:line="360" w:lineRule="auto"/>
              <w:jc w:val="left"/>
              <w:rPr>
                <w:rFonts w:ascii="仿宋" w:hAnsi="仿宋" w:eastAsia="仿宋" w:cs="仿宋"/>
                <w:sz w:val="24"/>
              </w:rPr>
            </w:pPr>
            <w:r>
              <w:rPr>
                <w:rFonts w:hint="eastAsia" w:ascii="仿宋" w:hAnsi="仿宋" w:eastAsia="仿宋" w:cs="仿宋"/>
                <w:sz w:val="24"/>
              </w:rPr>
              <w:t>联系电话：0771-5816874</w:t>
            </w:r>
          </w:p>
          <w:p>
            <w:pPr>
              <w:pStyle w:val="14"/>
              <w:spacing w:line="400" w:lineRule="exact"/>
              <w:rPr>
                <w:rFonts w:hAnsi="宋体"/>
                <w:kern w:val="2"/>
                <w:sz w:val="21"/>
                <w:szCs w:val="21"/>
              </w:rPr>
            </w:pPr>
            <w:r>
              <w:rPr>
                <w:rFonts w:hint="eastAsia" w:ascii="仿宋" w:hAnsi="仿宋" w:eastAsia="仿宋" w:cs="仿宋"/>
                <w:sz w:val="24"/>
              </w:rPr>
              <w:t>传真电话：0771-5816774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1.3</w:t>
            </w: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项目名称</w:t>
            </w:r>
          </w:p>
        </w:tc>
        <w:tc>
          <w:tcPr>
            <w:tcW w:w="640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left="1200" w:hanging="1200" w:hangingChars="500"/>
              <w:jc w:val="left"/>
              <w:rPr>
                <w:rFonts w:ascii="宋体" w:hAnsi="宋体"/>
                <w:szCs w:val="21"/>
              </w:rPr>
            </w:pPr>
            <w:r>
              <w:rPr>
                <w:rFonts w:hint="eastAsia" w:ascii="仿宋" w:hAnsi="仿宋" w:eastAsia="仿宋" w:cs="仿宋"/>
                <w:sz w:val="24"/>
              </w:rPr>
              <w:t>南宁高新技术产业开发区示范性公办养老院医养结合医疗设备采购项目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1.4</w:t>
            </w: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项目编号</w:t>
            </w:r>
          </w:p>
        </w:tc>
        <w:tc>
          <w:tcPr>
            <w:tcW w:w="640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left="1200" w:hanging="1200" w:hangingChars="500"/>
              <w:rPr>
                <w:rFonts w:ascii="宋体" w:hAnsi="宋体"/>
                <w:szCs w:val="21"/>
              </w:rPr>
            </w:pPr>
            <w:r>
              <w:rPr>
                <w:rFonts w:hint="eastAsia" w:ascii="仿宋" w:hAnsi="仿宋" w:eastAsia="仿宋" w:cs="仿宋"/>
                <w:sz w:val="24"/>
              </w:rPr>
              <w:t>GXZC2020-52G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1.5</w:t>
            </w: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采购预算</w:t>
            </w:r>
          </w:p>
        </w:tc>
        <w:tc>
          <w:tcPr>
            <w:tcW w:w="6403" w:type="dxa"/>
            <w:tcBorders>
              <w:top w:val="single" w:color="auto" w:sz="4" w:space="0"/>
              <w:left w:val="single" w:color="auto" w:sz="4" w:space="0"/>
              <w:bottom w:val="single" w:color="auto" w:sz="4" w:space="0"/>
              <w:right w:val="single" w:color="auto" w:sz="4" w:space="0"/>
            </w:tcBorders>
          </w:tcPr>
          <w:p>
            <w:pPr>
              <w:pStyle w:val="14"/>
              <w:spacing w:line="360" w:lineRule="auto"/>
              <w:jc w:val="left"/>
              <w:rPr>
                <w:rFonts w:hAnsi="宋体"/>
                <w:szCs w:val="21"/>
              </w:rPr>
            </w:pPr>
            <w:r>
              <w:rPr>
                <w:rFonts w:hint="eastAsia" w:ascii="仿宋" w:hAnsi="仿宋" w:eastAsia="仿宋" w:cs="仿宋"/>
                <w:kern w:val="2"/>
                <w:sz w:val="24"/>
                <w:szCs w:val="24"/>
              </w:rPr>
              <w:t>350万元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1.7</w:t>
            </w: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获取招标文件的时间、地点、方式</w:t>
            </w:r>
          </w:p>
        </w:tc>
        <w:tc>
          <w:tcPr>
            <w:tcW w:w="64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时间：自公告发布之日起</w:t>
            </w:r>
          </w:p>
          <w:p>
            <w:pPr>
              <w:spacing w:line="360" w:lineRule="auto"/>
              <w:jc w:val="left"/>
              <w:rPr>
                <w:rFonts w:ascii="仿宋" w:hAnsi="仿宋" w:eastAsia="仿宋" w:cs="仿宋"/>
                <w:sz w:val="24"/>
              </w:rPr>
            </w:pPr>
            <w:r>
              <w:rPr>
                <w:rFonts w:hint="eastAsia" w:ascii="仿宋" w:hAnsi="仿宋" w:eastAsia="仿宋" w:cs="仿宋"/>
                <w:sz w:val="24"/>
              </w:rPr>
              <w:t>地点：南宁市公共资源交易平台网站</w:t>
            </w:r>
          </w:p>
          <w:p>
            <w:pPr>
              <w:spacing w:line="360" w:lineRule="auto"/>
              <w:jc w:val="left"/>
              <w:rPr>
                <w:rFonts w:ascii="仿宋" w:hAnsi="仿宋" w:eastAsia="仿宋" w:cs="仿宋"/>
                <w:sz w:val="24"/>
              </w:rPr>
            </w:pPr>
            <w:r>
              <w:rPr>
                <w:rFonts w:hint="eastAsia" w:ascii="仿宋" w:hAnsi="仿宋" w:eastAsia="仿宋" w:cs="仿宋"/>
                <w:sz w:val="24"/>
              </w:rPr>
              <w:t>方式: 本项目不发放纸质文件，供应商在南宁市公共资源交易平台（https://www.nnggzy.org.cn/gxnnzbw/）的信息公告处下载招标文件。</w:t>
            </w:r>
          </w:p>
          <w:p>
            <w:pPr>
              <w:spacing w:line="360" w:lineRule="auto"/>
              <w:jc w:val="left"/>
              <w:rPr>
                <w:rFonts w:ascii="仿宋" w:hAnsi="仿宋" w:eastAsia="仿宋" w:cs="仿宋"/>
                <w:sz w:val="24"/>
              </w:rPr>
            </w:pPr>
            <w:r>
              <w:rPr>
                <w:rFonts w:hint="eastAsia" w:ascii="仿宋" w:hAnsi="仿宋" w:eastAsia="仿宋" w:cs="仿宋"/>
                <w:sz w:val="24"/>
              </w:rPr>
              <w:t>售价：0元</w:t>
            </w:r>
          </w:p>
          <w:p>
            <w:pPr>
              <w:spacing w:line="360" w:lineRule="auto"/>
              <w:jc w:val="left"/>
              <w:rPr>
                <w:rFonts w:hAnsi="宋体"/>
                <w:szCs w:val="21"/>
              </w:rPr>
            </w:pPr>
            <w:r>
              <w:rPr>
                <w:rFonts w:hint="eastAsia" w:ascii="仿宋" w:hAnsi="仿宋" w:eastAsia="仿宋" w:cs="仿宋"/>
                <w:sz w:val="24"/>
              </w:rPr>
              <w:t>咨询联系电话：0771-5816774  0771-5816874  方乐、张露予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1.8</w:t>
            </w: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预留采购份额</w:t>
            </w:r>
          </w:p>
        </w:tc>
        <w:tc>
          <w:tcPr>
            <w:tcW w:w="6403" w:type="dxa"/>
            <w:tcBorders>
              <w:top w:val="single" w:color="auto" w:sz="4" w:space="0"/>
              <w:left w:val="single" w:color="auto" w:sz="4" w:space="0"/>
              <w:bottom w:val="single" w:color="auto" w:sz="4" w:space="0"/>
              <w:right w:val="single" w:color="auto" w:sz="4" w:space="0"/>
            </w:tcBorders>
            <w:vAlign w:val="center"/>
          </w:tcPr>
          <w:p>
            <w:pPr>
              <w:pStyle w:val="14"/>
              <w:spacing w:line="360" w:lineRule="exact"/>
              <w:ind w:left="682" w:hanging="681" w:hangingChars="284"/>
              <w:rPr>
                <w:rFonts w:hAnsi="宋体"/>
                <w:kern w:val="2"/>
                <w:sz w:val="21"/>
                <w:szCs w:val="21"/>
              </w:rPr>
            </w:pPr>
            <w:r>
              <w:rPr>
                <w:rFonts w:hint="eastAsia" w:ascii="仿宋" w:hAnsi="仿宋" w:eastAsia="仿宋" w:cs="仿宋"/>
                <w:kern w:val="2"/>
                <w:sz w:val="24"/>
                <w:szCs w:val="24"/>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3.1</w:t>
            </w: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投标人基本资格条件</w:t>
            </w:r>
          </w:p>
        </w:tc>
        <w:tc>
          <w:tcPr>
            <w:tcW w:w="64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1.具有国内法人资格，注册经营(业务)范围满足采购内容的供应商</w:t>
            </w:r>
          </w:p>
          <w:p>
            <w:pPr>
              <w:spacing w:line="360" w:lineRule="auto"/>
              <w:jc w:val="left"/>
              <w:rPr>
                <w:rFonts w:ascii="宋体" w:hAnsi="宋体"/>
                <w:szCs w:val="21"/>
              </w:rPr>
            </w:pPr>
            <w:r>
              <w:rPr>
                <w:rFonts w:hint="eastAsia" w:ascii="仿宋" w:hAnsi="仿宋" w:eastAsia="仿宋" w:cs="仿宋"/>
                <w:sz w:val="24"/>
              </w:rPr>
              <w:t>2.投标人未被“信用中国网站(www.creditchina.gov.cn)”、“中国政府采购网（www.ccgp.gov.cn）”列入失信被执行人、重大税收违法案件当事人名单、政府采购严重违法失信行为记录名单，且符合《中华人民共和国政府采购法》第二十二条规定的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3.2</w:t>
            </w: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针对本项目，投标人应具备的特定条件</w:t>
            </w:r>
          </w:p>
        </w:tc>
        <w:tc>
          <w:tcPr>
            <w:tcW w:w="64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3.3</w:t>
            </w: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是否接受联合体投标</w:t>
            </w:r>
          </w:p>
        </w:tc>
        <w:tc>
          <w:tcPr>
            <w:tcW w:w="64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bookmarkStart w:id="46" w:name="CgwjmbEntity：sflhttb_0"/>
            <w:r>
              <w:rPr>
                <w:rFonts w:hint="eastAsia" w:ascii="仿宋" w:hAnsi="仿宋" w:eastAsia="仿宋" w:cs="仿宋"/>
                <w:sz w:val="24"/>
              </w:rPr>
              <w:t>不接受联合体投标</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4.2</w:t>
            </w: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质疑受理单位、提交地点和电话</w:t>
            </w:r>
          </w:p>
        </w:tc>
        <w:tc>
          <w:tcPr>
            <w:tcW w:w="64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南宁高新技术产业开发区政府集中采购中心</w:t>
            </w:r>
          </w:p>
          <w:p>
            <w:pPr>
              <w:spacing w:line="360" w:lineRule="auto"/>
              <w:jc w:val="left"/>
              <w:rPr>
                <w:rFonts w:ascii="仿宋" w:hAnsi="仿宋" w:eastAsia="仿宋" w:cs="仿宋"/>
                <w:sz w:val="24"/>
              </w:rPr>
            </w:pPr>
            <w:r>
              <w:rPr>
                <w:rFonts w:hint="eastAsia" w:ascii="仿宋" w:hAnsi="仿宋" w:eastAsia="仿宋" w:cs="仿宋"/>
                <w:sz w:val="24"/>
              </w:rPr>
              <w:t>地址：广西南宁市滨河路1号火炬大厦1105办公室</w:t>
            </w:r>
          </w:p>
          <w:p>
            <w:pPr>
              <w:spacing w:line="360" w:lineRule="auto"/>
              <w:jc w:val="left"/>
              <w:rPr>
                <w:rFonts w:ascii="仿宋" w:hAnsi="仿宋" w:eastAsia="仿宋" w:cs="仿宋"/>
                <w:sz w:val="24"/>
              </w:rPr>
            </w:pPr>
            <w:r>
              <w:rPr>
                <w:rFonts w:hint="eastAsia" w:ascii="仿宋" w:hAnsi="仿宋" w:eastAsia="仿宋" w:cs="仿宋"/>
                <w:sz w:val="24"/>
              </w:rPr>
              <w:t>电话：0771-5816874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8.8</w:t>
            </w: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投标文件份数</w:t>
            </w:r>
          </w:p>
        </w:tc>
        <w:tc>
          <w:tcPr>
            <w:tcW w:w="6403"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hAnsi="宋体"/>
                <w:b/>
                <w:bCs/>
                <w:kern w:val="2"/>
                <w:sz w:val="21"/>
                <w:szCs w:val="21"/>
              </w:rPr>
            </w:pPr>
            <w:r>
              <w:rPr>
                <w:rFonts w:hint="eastAsia" w:hAnsi="宋体"/>
                <w:b/>
                <w:bCs/>
                <w:kern w:val="2"/>
                <w:sz w:val="21"/>
                <w:szCs w:val="21"/>
              </w:rPr>
              <w:t>报价文件：正本壹份，副本肆份</w:t>
            </w:r>
          </w:p>
          <w:p>
            <w:pPr>
              <w:pStyle w:val="14"/>
              <w:spacing w:line="360" w:lineRule="auto"/>
              <w:rPr>
                <w:rFonts w:hAnsi="宋体"/>
                <w:b/>
                <w:bCs/>
                <w:kern w:val="2"/>
                <w:sz w:val="21"/>
                <w:szCs w:val="21"/>
              </w:rPr>
            </w:pPr>
            <w:r>
              <w:rPr>
                <w:rFonts w:hint="eastAsia" w:hAnsi="宋体"/>
                <w:b/>
                <w:bCs/>
                <w:kern w:val="2"/>
                <w:sz w:val="21"/>
                <w:szCs w:val="21"/>
              </w:rPr>
              <w:t>资格文件：正本壹份，副本贰份</w:t>
            </w:r>
          </w:p>
          <w:p>
            <w:pPr>
              <w:pStyle w:val="14"/>
              <w:spacing w:line="360" w:lineRule="auto"/>
              <w:rPr>
                <w:rFonts w:hAnsi="宋体"/>
                <w:b/>
                <w:bCs/>
                <w:kern w:val="2"/>
                <w:sz w:val="21"/>
                <w:szCs w:val="21"/>
              </w:rPr>
            </w:pPr>
            <w:r>
              <w:rPr>
                <w:rFonts w:hint="eastAsia" w:hAnsi="宋体"/>
                <w:b/>
                <w:bCs/>
                <w:kern w:val="2"/>
                <w:sz w:val="21"/>
                <w:szCs w:val="21"/>
              </w:rPr>
              <w:t>技术文件：正本壹份，副本肆份</w:t>
            </w:r>
          </w:p>
          <w:p>
            <w:pPr>
              <w:pStyle w:val="14"/>
              <w:spacing w:line="360" w:lineRule="auto"/>
              <w:rPr>
                <w:rFonts w:hAnsi="宋体"/>
                <w:b/>
                <w:bCs/>
                <w:kern w:val="2"/>
                <w:sz w:val="21"/>
                <w:szCs w:val="21"/>
              </w:rPr>
            </w:pPr>
            <w:r>
              <w:rPr>
                <w:rFonts w:hint="eastAsia" w:hAnsi="宋体"/>
                <w:b/>
                <w:bCs/>
                <w:kern w:val="2"/>
                <w:sz w:val="21"/>
                <w:szCs w:val="21"/>
              </w:rPr>
              <w:t>商务文件：正本壹份，副本肆份</w:t>
            </w:r>
          </w:p>
          <w:p>
            <w:pPr>
              <w:pStyle w:val="14"/>
              <w:spacing w:line="440" w:lineRule="exact"/>
              <w:rPr>
                <w:rFonts w:hAnsi="宋体"/>
                <w:kern w:val="2"/>
                <w:sz w:val="21"/>
                <w:szCs w:val="21"/>
              </w:rPr>
            </w:pPr>
            <w:r>
              <w:rPr>
                <w:rFonts w:hint="eastAsia" w:hAnsi="宋体"/>
                <w:kern w:val="2"/>
                <w:sz w:val="21"/>
                <w:szCs w:val="21"/>
              </w:rPr>
              <w:t>报价文件、资格文件、技术文件、商务文件</w:t>
            </w:r>
            <w:r>
              <w:rPr>
                <w:rFonts w:hint="eastAsia" w:hAnsi="宋体"/>
                <w:b/>
                <w:kern w:val="2"/>
                <w:sz w:val="21"/>
                <w:szCs w:val="21"/>
              </w:rPr>
              <w:t>分别装订成册</w:t>
            </w:r>
            <w:r>
              <w:rPr>
                <w:rFonts w:hint="eastAsia" w:hAnsi="宋体"/>
                <w:kern w:val="2"/>
                <w:sz w:val="21"/>
                <w:szCs w:val="21"/>
              </w:rPr>
              <w:t>。</w:t>
            </w:r>
            <w:r>
              <w:rPr>
                <w:rFonts w:hint="eastAsia" w:hAnsi="宋体"/>
                <w:b/>
                <w:kern w:val="2"/>
                <w:sz w:val="21"/>
                <w:szCs w:val="21"/>
              </w:rPr>
              <w:t>特别注意投标报价不得出现在资格文件、技术文件、商务文件中。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 xml:space="preserve">10.1 </w:t>
            </w:r>
          </w:p>
        </w:tc>
        <w:tc>
          <w:tcPr>
            <w:tcW w:w="2415" w:type="dxa"/>
            <w:tcBorders>
              <w:top w:val="single" w:color="auto" w:sz="4" w:space="0"/>
              <w:left w:val="single" w:color="auto" w:sz="4" w:space="0"/>
              <w:bottom w:val="single" w:color="auto" w:sz="4" w:space="0"/>
              <w:right w:val="single" w:color="auto" w:sz="4" w:space="0"/>
            </w:tcBorders>
            <w:vAlign w:val="bottom"/>
          </w:tcPr>
          <w:p>
            <w:pPr>
              <w:spacing w:line="360" w:lineRule="auto"/>
              <w:jc w:val="left"/>
              <w:rPr>
                <w:rFonts w:ascii="仿宋" w:hAnsi="仿宋" w:eastAsia="仿宋" w:cs="仿宋"/>
                <w:sz w:val="24"/>
              </w:rPr>
            </w:pPr>
            <w:r>
              <w:rPr>
                <w:rFonts w:hint="eastAsia" w:ascii="仿宋" w:hAnsi="仿宋" w:eastAsia="仿宋" w:cs="仿宋"/>
                <w:sz w:val="24"/>
              </w:rPr>
              <w:t>投标文件的组成</w:t>
            </w:r>
          </w:p>
          <w:p>
            <w:pPr>
              <w:spacing w:line="360" w:lineRule="auto"/>
              <w:jc w:val="left"/>
              <w:rPr>
                <w:rFonts w:ascii="仿宋" w:hAnsi="仿宋" w:eastAsia="仿宋" w:cs="仿宋"/>
                <w:sz w:val="24"/>
              </w:rPr>
            </w:pPr>
          </w:p>
        </w:tc>
        <w:tc>
          <w:tcPr>
            <w:tcW w:w="6403"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rPr>
                <w:rFonts w:hAnsi="宋体"/>
                <w:kern w:val="2"/>
                <w:sz w:val="21"/>
                <w:szCs w:val="21"/>
              </w:rPr>
            </w:pPr>
            <w:r>
              <w:rPr>
                <w:rFonts w:hint="eastAsia" w:ascii="仿宋" w:hAnsi="仿宋" w:eastAsia="仿宋" w:cs="仿宋"/>
                <w:kern w:val="2"/>
                <w:sz w:val="24"/>
                <w:szCs w:val="24"/>
              </w:rPr>
              <w:t>投标人需编制的投标文件包括报价文件、资格文件、技术文件、商务文件四部分，投标人应按“10.1.1 报价文件”、“10.1.2 资格文件”、“10.1.3 技术文件”、“10.1.4  商务文件”说明编写和提交。应递交的有关文件如未特别注明为原件的，可提交复印件加盖公章。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11.4</w:t>
            </w: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采购代理服务费</w:t>
            </w:r>
          </w:p>
        </w:tc>
        <w:tc>
          <w:tcPr>
            <w:tcW w:w="64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南宁高新区政府集中采购中心不收取采购代理服务费。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12.1</w:t>
            </w: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投标有效期</w:t>
            </w:r>
          </w:p>
        </w:tc>
        <w:tc>
          <w:tcPr>
            <w:tcW w:w="64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自投标截止时间起90天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13.2</w:t>
            </w: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递交投标文件截止时间（投标截止时间/开标时间）</w:t>
            </w:r>
          </w:p>
        </w:tc>
        <w:tc>
          <w:tcPr>
            <w:tcW w:w="64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szCs w:val="21"/>
              </w:rPr>
            </w:pPr>
            <w:r>
              <w:rPr>
                <w:rFonts w:hint="eastAsia" w:ascii="仿宋" w:hAnsi="仿宋" w:eastAsia="仿宋" w:cs="仿宋"/>
                <w:sz w:val="24"/>
              </w:rPr>
              <w:t>与第一章公告一致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13.3</w:t>
            </w: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收取邮寄投标文件地点（递交投标文件地点）</w:t>
            </w:r>
          </w:p>
        </w:tc>
        <w:tc>
          <w:tcPr>
            <w:tcW w:w="64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1.疫情期间，采取不见面开标，请以EMS等邮寄等方式寄至广西南宁市西乡塘区滨河路1号火炬大厦11楼1105室，南宁高新技术产业开发区政府集中采购中心，方乐、张露予（收）联系电话：5816774/5816874，邮编：530007</w:t>
            </w:r>
          </w:p>
          <w:p>
            <w:pPr>
              <w:spacing w:line="360" w:lineRule="auto"/>
              <w:jc w:val="left"/>
              <w:rPr>
                <w:rFonts w:ascii="仿宋" w:hAnsi="仿宋" w:eastAsia="仿宋" w:cs="仿宋"/>
                <w:sz w:val="24"/>
              </w:rPr>
            </w:pPr>
            <w:r>
              <w:rPr>
                <w:rFonts w:hint="eastAsia" w:ascii="仿宋" w:hAnsi="仿宋" w:eastAsia="仿宋" w:cs="仿宋"/>
                <w:sz w:val="24"/>
              </w:rPr>
              <w:t>2.寄出后请电话与本中心确认</w:t>
            </w:r>
          </w:p>
          <w:p>
            <w:pPr>
              <w:spacing w:line="360" w:lineRule="auto"/>
              <w:jc w:val="left"/>
              <w:rPr>
                <w:rFonts w:ascii="仿宋" w:hAnsi="仿宋" w:eastAsia="仿宋" w:cs="仿宋"/>
                <w:sz w:val="24"/>
              </w:rPr>
            </w:pPr>
            <w:r>
              <w:rPr>
                <w:rFonts w:hint="eastAsia" w:ascii="仿宋" w:hAnsi="仿宋" w:eastAsia="仿宋" w:cs="仿宋"/>
                <w:sz w:val="24"/>
              </w:rPr>
              <w:t>3.本中心在收到密封完整的投标、响应文件后将以邮件的形式回复告知投标人，请投标人注意在寄送过来的邮件上标明清楚电子邮箱编号（请务必按公告要求填写）</w:t>
            </w:r>
          </w:p>
          <w:p>
            <w:pPr>
              <w:spacing w:line="360" w:lineRule="auto"/>
              <w:jc w:val="left"/>
              <w:rPr>
                <w:rFonts w:ascii="仿宋" w:hAnsi="仿宋" w:eastAsia="仿宋" w:cs="仿宋"/>
                <w:sz w:val="24"/>
              </w:rPr>
            </w:pPr>
            <w:r>
              <w:rPr>
                <w:rFonts w:hint="eastAsia" w:ascii="仿宋" w:hAnsi="仿宋" w:eastAsia="仿宋" w:cs="仿宋"/>
                <w:sz w:val="24"/>
              </w:rPr>
              <w:t>4.疫情防控期间，接收投标文件的截止时间为2020年11月23日下午18时前（北京时间）。</w:t>
            </w:r>
          </w:p>
          <w:p>
            <w:pPr>
              <w:widowControl/>
              <w:jc w:val="left"/>
              <w:rPr>
                <w:rFonts w:ascii="宋体" w:hAnsi="宋体"/>
                <w:szCs w:val="21"/>
              </w:rPr>
            </w:pPr>
            <w:r>
              <w:rPr>
                <w:rFonts w:hint="eastAsia" w:ascii="仿宋" w:hAnsi="仿宋" w:eastAsia="仿宋" w:cs="仿宋"/>
                <w:b/>
                <w:bCs/>
                <w:sz w:val="24"/>
              </w:rPr>
              <w:t>投标文件递交截止时间详见招标文件内容，疫情期间，开标现场不接收投标文件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13.4</w:t>
            </w: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递交投标样品截止时间</w:t>
            </w:r>
          </w:p>
        </w:tc>
        <w:tc>
          <w:tcPr>
            <w:tcW w:w="64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13.5</w:t>
            </w: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递交投标样品地点</w:t>
            </w:r>
          </w:p>
        </w:tc>
        <w:tc>
          <w:tcPr>
            <w:tcW w:w="64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14.1</w:t>
            </w: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开标地点</w:t>
            </w:r>
          </w:p>
        </w:tc>
        <w:tc>
          <w:tcPr>
            <w:tcW w:w="6403" w:type="dxa"/>
            <w:tcBorders>
              <w:top w:val="single" w:color="auto" w:sz="4" w:space="0"/>
              <w:left w:val="single" w:color="auto" w:sz="4" w:space="0"/>
              <w:bottom w:val="single" w:color="auto" w:sz="4" w:space="0"/>
              <w:right w:val="single" w:color="auto" w:sz="4" w:space="0"/>
            </w:tcBorders>
            <w:vAlign w:val="center"/>
          </w:tcPr>
          <w:p>
            <w:pPr>
              <w:spacing w:line="540" w:lineRule="exact"/>
              <w:rPr>
                <w:rFonts w:hAnsi="Courier New"/>
                <w:bCs/>
              </w:rPr>
            </w:pPr>
            <w:r>
              <w:rPr>
                <w:rFonts w:hint="eastAsia" w:ascii="仿宋" w:hAnsi="仿宋" w:eastAsia="仿宋" w:cs="仿宋"/>
                <w:sz w:val="24"/>
              </w:rPr>
              <w:t>南宁市良庆区玉洞大道33号（青少年活动中心旁）南宁市民中心9楼南宁市公共资源交易中心交易厅（详见9楼电子显示屏场地安排）开标。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16.3</w:t>
            </w: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评标方法</w:t>
            </w:r>
          </w:p>
        </w:tc>
        <w:tc>
          <w:tcPr>
            <w:tcW w:w="6403"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hAnsi="宋体"/>
                <w:kern w:val="2"/>
                <w:sz w:val="21"/>
                <w:szCs w:val="21"/>
              </w:rPr>
            </w:pPr>
            <w:r>
              <w:rPr>
                <w:rFonts w:hint="eastAsia" w:ascii="仿宋" w:hAnsi="仿宋" w:eastAsia="仿宋" w:cs="仿宋"/>
                <w:kern w:val="2"/>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26.1</w:t>
            </w: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需要补充的其他内容</w:t>
            </w:r>
          </w:p>
        </w:tc>
        <w:tc>
          <w:tcPr>
            <w:tcW w:w="6403" w:type="dxa"/>
            <w:tcBorders>
              <w:top w:val="single" w:color="auto" w:sz="4" w:space="0"/>
              <w:left w:val="single" w:color="auto" w:sz="4" w:space="0"/>
              <w:bottom w:val="single" w:color="auto" w:sz="4" w:space="0"/>
              <w:right w:val="single" w:color="auto" w:sz="4" w:space="0"/>
            </w:tcBorders>
            <w:vAlign w:val="center"/>
          </w:tcPr>
          <w:p>
            <w:pPr>
              <w:spacing w:line="540" w:lineRule="exact"/>
              <w:rPr>
                <w:rFonts w:ascii="仿宋" w:hAnsi="仿宋" w:eastAsia="仿宋" w:cs="仿宋"/>
                <w:sz w:val="24"/>
              </w:rPr>
            </w:pPr>
            <w:r>
              <w:rPr>
                <w:rFonts w:hint="eastAsia" w:ascii="仿宋" w:hAnsi="仿宋" w:eastAsia="仿宋" w:cs="仿宋"/>
                <w:sz w:val="24"/>
              </w:rPr>
              <w:t>注意：1、因疫情原因，本次进场交易项目实行不见面开标。</w:t>
            </w:r>
          </w:p>
          <w:p>
            <w:pPr>
              <w:spacing w:line="540" w:lineRule="exact"/>
              <w:rPr>
                <w:rFonts w:ascii="仿宋" w:hAnsi="仿宋" w:eastAsia="仿宋" w:cs="仿宋"/>
                <w:sz w:val="24"/>
              </w:rPr>
            </w:pPr>
            <w:r>
              <w:rPr>
                <w:rFonts w:hint="eastAsia" w:ascii="仿宋" w:hAnsi="仿宋" w:eastAsia="仿宋" w:cs="仿宋"/>
                <w:sz w:val="24"/>
              </w:rPr>
              <w:t>2、开标当天请投标人保持通讯畅通。</w:t>
            </w:r>
          </w:p>
          <w:p>
            <w:pPr>
              <w:spacing w:line="540" w:lineRule="exact"/>
              <w:rPr>
                <w:rFonts w:hAnsi="宋体"/>
                <w:b/>
                <w:szCs w:val="21"/>
              </w:rPr>
            </w:pPr>
            <w:r>
              <w:rPr>
                <w:rFonts w:hint="eastAsia" w:ascii="仿宋" w:hAnsi="仿宋" w:eastAsia="仿宋" w:cs="仿宋"/>
                <w:sz w:val="24"/>
              </w:rPr>
              <w:t>3、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tc>
      </w:tr>
    </w:tbl>
    <w:p>
      <w:pPr>
        <w:pStyle w:val="14"/>
        <w:jc w:val="center"/>
        <w:outlineLvl w:val="1"/>
        <w:rPr>
          <w:rFonts w:hAnsi="宋体"/>
          <w:b/>
          <w:sz w:val="28"/>
          <w:szCs w:val="28"/>
        </w:rPr>
      </w:pPr>
      <w:r>
        <w:rPr>
          <w:rFonts w:hint="eastAsia" w:hAnsi="宋体"/>
          <w:sz w:val="28"/>
          <w:szCs w:val="28"/>
        </w:rPr>
        <w:br w:type="page"/>
      </w:r>
      <w:bookmarkStart w:id="47" w:name="_Toc6770"/>
      <w:r>
        <w:rPr>
          <w:rFonts w:hint="eastAsia" w:ascii="Times New Roman" w:hAnsi="Times New Roman"/>
          <w:b/>
          <w:sz w:val="30"/>
          <w:szCs w:val="30"/>
        </w:rPr>
        <w:t>一总则</w:t>
      </w:r>
      <w:bookmarkEnd w:id="47"/>
    </w:p>
    <w:p>
      <w:pPr>
        <w:spacing w:line="360" w:lineRule="auto"/>
        <w:ind w:left="213" w:hanging="212" w:hangingChars="101"/>
        <w:jc w:val="left"/>
        <w:rPr>
          <w:rFonts w:ascii="宋体" w:hAnsi="宋体"/>
          <w:b/>
          <w:bCs/>
          <w:kern w:val="0"/>
          <w:szCs w:val="21"/>
        </w:rPr>
      </w:pPr>
      <w:r>
        <w:rPr>
          <w:rFonts w:hint="eastAsia" w:ascii="宋体" w:hAnsi="宋体"/>
          <w:b/>
          <w:bCs/>
          <w:kern w:val="0"/>
          <w:szCs w:val="21"/>
        </w:rPr>
        <w:t>1.  项目概况</w:t>
      </w:r>
    </w:p>
    <w:p>
      <w:pPr>
        <w:spacing w:line="360" w:lineRule="auto"/>
        <w:ind w:left="2" w:firstLine="418"/>
        <w:jc w:val="left"/>
        <w:rPr>
          <w:rFonts w:ascii="宋体" w:hAnsi="宋体"/>
          <w:bCs/>
          <w:kern w:val="0"/>
          <w:szCs w:val="21"/>
        </w:rPr>
      </w:pPr>
      <w:r>
        <w:rPr>
          <w:rFonts w:hint="eastAsia" w:ascii="宋体" w:hAnsi="宋体"/>
          <w:bCs/>
          <w:kern w:val="0"/>
          <w:szCs w:val="21"/>
        </w:rPr>
        <w:t>1.1  采购人：见投标人须知前附表。</w:t>
      </w:r>
    </w:p>
    <w:p>
      <w:pPr>
        <w:spacing w:line="360" w:lineRule="auto"/>
        <w:ind w:left="2" w:firstLine="418"/>
        <w:jc w:val="left"/>
        <w:rPr>
          <w:rFonts w:ascii="宋体" w:hAnsi="宋体"/>
          <w:bCs/>
          <w:kern w:val="0"/>
          <w:szCs w:val="21"/>
        </w:rPr>
      </w:pPr>
      <w:r>
        <w:rPr>
          <w:rFonts w:hint="eastAsia" w:ascii="宋体" w:hAnsi="宋体"/>
          <w:bCs/>
          <w:kern w:val="0"/>
          <w:szCs w:val="21"/>
        </w:rPr>
        <w:t>1.2  采购代理机构：见投标人须知前附表。</w:t>
      </w:r>
    </w:p>
    <w:p>
      <w:pPr>
        <w:spacing w:line="360" w:lineRule="auto"/>
        <w:ind w:left="2" w:firstLine="418"/>
        <w:jc w:val="left"/>
        <w:rPr>
          <w:rFonts w:ascii="宋体" w:hAnsi="宋体"/>
          <w:bCs/>
          <w:kern w:val="0"/>
          <w:szCs w:val="21"/>
        </w:rPr>
      </w:pPr>
      <w:r>
        <w:rPr>
          <w:rFonts w:hint="eastAsia" w:ascii="宋体" w:hAnsi="宋体"/>
          <w:bCs/>
          <w:kern w:val="0"/>
          <w:szCs w:val="21"/>
        </w:rPr>
        <w:t>1.3  项目名称：见投标人须知前附表。</w:t>
      </w:r>
    </w:p>
    <w:p>
      <w:pPr>
        <w:spacing w:line="360" w:lineRule="auto"/>
        <w:ind w:left="2" w:firstLine="418"/>
        <w:jc w:val="left"/>
        <w:rPr>
          <w:rFonts w:ascii="宋体" w:hAnsi="宋体"/>
          <w:bCs/>
          <w:kern w:val="0"/>
          <w:szCs w:val="21"/>
        </w:rPr>
      </w:pPr>
      <w:r>
        <w:rPr>
          <w:rFonts w:hint="eastAsia" w:ascii="宋体" w:hAnsi="宋体"/>
          <w:bCs/>
          <w:kern w:val="0"/>
          <w:szCs w:val="21"/>
        </w:rPr>
        <w:t>1.4  项目编号：见投标人须知前附表</w:t>
      </w:r>
    </w:p>
    <w:p>
      <w:pPr>
        <w:spacing w:line="360" w:lineRule="auto"/>
        <w:ind w:left="2" w:firstLine="418"/>
        <w:jc w:val="left"/>
        <w:rPr>
          <w:rFonts w:ascii="宋体" w:hAnsi="宋体"/>
          <w:bCs/>
          <w:kern w:val="0"/>
          <w:szCs w:val="21"/>
        </w:rPr>
      </w:pPr>
      <w:r>
        <w:rPr>
          <w:rFonts w:hint="eastAsia" w:ascii="宋体" w:hAnsi="宋体"/>
          <w:bCs/>
          <w:kern w:val="0"/>
          <w:szCs w:val="21"/>
        </w:rPr>
        <w:t>1.5  采购预算：见投标人须知前附表。</w:t>
      </w:r>
    </w:p>
    <w:p>
      <w:pPr>
        <w:spacing w:line="360" w:lineRule="auto"/>
        <w:ind w:left="2" w:firstLine="418"/>
        <w:jc w:val="left"/>
        <w:rPr>
          <w:rFonts w:ascii="宋体" w:hAnsi="宋体"/>
          <w:bCs/>
          <w:kern w:val="0"/>
          <w:szCs w:val="21"/>
        </w:rPr>
      </w:pPr>
      <w:r>
        <w:rPr>
          <w:rFonts w:hint="eastAsia" w:ascii="宋体" w:hAnsi="宋体"/>
          <w:bCs/>
          <w:kern w:val="0"/>
          <w:szCs w:val="21"/>
        </w:rPr>
        <w:t>1.6  资金来源：财政性资金。</w:t>
      </w:r>
    </w:p>
    <w:p>
      <w:pPr>
        <w:spacing w:line="360" w:lineRule="auto"/>
        <w:ind w:left="2" w:firstLine="418"/>
        <w:jc w:val="left"/>
        <w:rPr>
          <w:rFonts w:ascii="宋体" w:hAnsi="宋体"/>
          <w:bCs/>
          <w:kern w:val="0"/>
          <w:szCs w:val="21"/>
        </w:rPr>
      </w:pPr>
      <w:r>
        <w:rPr>
          <w:rFonts w:hint="eastAsia" w:ascii="宋体" w:hAnsi="宋体"/>
          <w:bCs/>
          <w:kern w:val="0"/>
          <w:szCs w:val="21"/>
        </w:rPr>
        <w:t>1.7  获取招标文件的时间、地点、方式、招标文件售价：见投标人须知前附表。</w:t>
      </w:r>
    </w:p>
    <w:p>
      <w:pPr>
        <w:spacing w:line="360" w:lineRule="auto"/>
        <w:ind w:left="2" w:firstLine="418"/>
        <w:jc w:val="left"/>
        <w:rPr>
          <w:rFonts w:ascii="宋体" w:hAnsi="宋体"/>
          <w:bCs/>
          <w:kern w:val="0"/>
          <w:szCs w:val="21"/>
        </w:rPr>
      </w:pPr>
      <w:r>
        <w:rPr>
          <w:rFonts w:hint="eastAsia" w:ascii="宋体" w:hAnsi="宋体"/>
          <w:bCs/>
          <w:kern w:val="0"/>
          <w:szCs w:val="21"/>
        </w:rPr>
        <w:t>1.8  预留采购份额：见投标人须知前附表。</w:t>
      </w:r>
    </w:p>
    <w:p>
      <w:pPr>
        <w:spacing w:line="360" w:lineRule="auto"/>
        <w:ind w:left="213" w:hanging="212" w:hangingChars="101"/>
        <w:jc w:val="left"/>
        <w:rPr>
          <w:rFonts w:ascii="宋体" w:hAnsi="宋体"/>
          <w:b/>
          <w:bCs/>
          <w:kern w:val="0"/>
          <w:szCs w:val="21"/>
        </w:rPr>
      </w:pPr>
      <w:r>
        <w:rPr>
          <w:rFonts w:hint="eastAsia" w:ascii="宋体" w:hAnsi="宋体"/>
          <w:b/>
          <w:bCs/>
          <w:kern w:val="0"/>
          <w:szCs w:val="21"/>
        </w:rPr>
        <w:t>2.  政府采购信息发布媒体</w:t>
      </w:r>
    </w:p>
    <w:p>
      <w:pPr>
        <w:spacing w:line="360" w:lineRule="auto"/>
        <w:ind w:left="2" w:firstLine="418"/>
        <w:jc w:val="left"/>
        <w:rPr>
          <w:rFonts w:ascii="宋体" w:hAnsi="宋体"/>
          <w:bCs/>
          <w:kern w:val="0"/>
          <w:szCs w:val="21"/>
        </w:rPr>
      </w:pPr>
      <w:r>
        <w:rPr>
          <w:rFonts w:hint="eastAsia" w:ascii="宋体" w:hAnsi="宋体"/>
          <w:bCs/>
          <w:kern w:val="0"/>
          <w:szCs w:val="21"/>
        </w:rPr>
        <w:t>2.1  与本项目相关的政府采购业务信息（包括公开招标公告、中标公告及其更正事项等）将在以下媒体上发布：广西壮族自治区政府采购网（http://zfcg.gxzf.gov.cn/home.html）, 南宁政府采购网（http://zfcg.nanning.gov.cn/index.do），南宁市公共资源交易平台（https://www.nnggzy.org.cn/gxnnzbw/），南宁高新网（http://gxq.nanning.gov.cn/）。</w:t>
      </w:r>
    </w:p>
    <w:p>
      <w:pPr>
        <w:spacing w:line="360" w:lineRule="auto"/>
        <w:ind w:left="2" w:firstLine="418"/>
        <w:jc w:val="left"/>
        <w:rPr>
          <w:rFonts w:ascii="宋体" w:hAnsi="宋体"/>
          <w:bCs/>
          <w:kern w:val="0"/>
          <w:szCs w:val="21"/>
        </w:rPr>
      </w:pPr>
      <w:r>
        <w:rPr>
          <w:rFonts w:hint="eastAsia" w:ascii="宋体" w:hAnsi="宋体"/>
          <w:bCs/>
          <w:kern w:val="0"/>
          <w:szCs w:val="21"/>
        </w:rPr>
        <w:t>2.2  本项目公开招标公告期限为自公告发布之日起5个工作日。</w:t>
      </w:r>
    </w:p>
    <w:p>
      <w:pPr>
        <w:spacing w:line="360" w:lineRule="auto"/>
        <w:ind w:left="213" w:hanging="212" w:hangingChars="101"/>
        <w:jc w:val="left"/>
        <w:rPr>
          <w:rFonts w:ascii="宋体" w:hAnsi="宋体"/>
          <w:b/>
          <w:bCs/>
          <w:kern w:val="0"/>
          <w:szCs w:val="21"/>
        </w:rPr>
      </w:pPr>
      <w:r>
        <w:rPr>
          <w:rFonts w:hint="eastAsia" w:ascii="宋体" w:hAnsi="宋体"/>
          <w:b/>
          <w:bCs/>
          <w:kern w:val="0"/>
          <w:szCs w:val="21"/>
        </w:rPr>
        <w:t>3.  投标人资格要求：</w:t>
      </w:r>
    </w:p>
    <w:p>
      <w:pPr>
        <w:spacing w:line="360" w:lineRule="auto"/>
        <w:ind w:left="2" w:firstLine="418"/>
        <w:jc w:val="left"/>
        <w:rPr>
          <w:rFonts w:ascii="宋体" w:hAnsi="宋体"/>
          <w:bCs/>
          <w:kern w:val="0"/>
          <w:szCs w:val="21"/>
        </w:rPr>
      </w:pPr>
      <w:r>
        <w:rPr>
          <w:rFonts w:hint="eastAsia" w:ascii="宋体" w:hAnsi="宋体"/>
          <w:bCs/>
          <w:kern w:val="0"/>
          <w:szCs w:val="21"/>
        </w:rPr>
        <w:t>3.1  投标人未被列入失信被执行人、重大税收违法案件当事人名单、政府采购严重违法失信行为记录名单，且应符合《中华人民共和国政府采购法》第二十二条规定的下列投标人资格条件：</w:t>
      </w:r>
    </w:p>
    <w:p>
      <w:pPr>
        <w:spacing w:line="360" w:lineRule="auto"/>
        <w:ind w:left="2" w:firstLine="418"/>
        <w:jc w:val="left"/>
        <w:rPr>
          <w:rFonts w:ascii="宋体" w:hAnsi="宋体"/>
          <w:bCs/>
          <w:kern w:val="0"/>
          <w:szCs w:val="21"/>
        </w:rPr>
      </w:pPr>
      <w:r>
        <w:rPr>
          <w:rFonts w:hint="eastAsia" w:ascii="宋体" w:hAnsi="宋体"/>
          <w:bCs/>
          <w:kern w:val="0"/>
          <w:szCs w:val="21"/>
        </w:rPr>
        <w:t>（1）具有独立承担民事责任的能力；</w:t>
      </w:r>
    </w:p>
    <w:p>
      <w:pPr>
        <w:spacing w:line="360" w:lineRule="auto"/>
        <w:ind w:left="2" w:firstLine="418"/>
        <w:jc w:val="left"/>
        <w:rPr>
          <w:rFonts w:ascii="宋体" w:hAnsi="宋体"/>
          <w:bCs/>
          <w:kern w:val="0"/>
          <w:szCs w:val="21"/>
        </w:rPr>
      </w:pPr>
      <w:r>
        <w:rPr>
          <w:rFonts w:hint="eastAsia" w:ascii="宋体" w:hAnsi="宋体"/>
          <w:bCs/>
          <w:kern w:val="0"/>
          <w:szCs w:val="21"/>
        </w:rPr>
        <w:t>（2）具有良好的商业信誉和健全的财务会计制度；</w:t>
      </w:r>
    </w:p>
    <w:p>
      <w:pPr>
        <w:spacing w:line="360" w:lineRule="auto"/>
        <w:ind w:left="2" w:firstLine="418"/>
        <w:jc w:val="left"/>
        <w:rPr>
          <w:rFonts w:ascii="宋体" w:hAnsi="宋体"/>
          <w:bCs/>
          <w:kern w:val="0"/>
          <w:szCs w:val="21"/>
        </w:rPr>
      </w:pPr>
      <w:r>
        <w:rPr>
          <w:rFonts w:hint="eastAsia" w:ascii="宋体" w:hAnsi="宋体"/>
          <w:bCs/>
          <w:kern w:val="0"/>
          <w:szCs w:val="21"/>
        </w:rPr>
        <w:t>（3）具有履行合同所必需的设备和专业技术能力；</w:t>
      </w:r>
    </w:p>
    <w:p>
      <w:pPr>
        <w:spacing w:line="360" w:lineRule="auto"/>
        <w:ind w:left="2" w:firstLine="418"/>
        <w:jc w:val="left"/>
        <w:rPr>
          <w:rFonts w:ascii="宋体" w:hAnsi="宋体"/>
          <w:bCs/>
          <w:kern w:val="0"/>
          <w:szCs w:val="21"/>
        </w:rPr>
      </w:pPr>
      <w:r>
        <w:rPr>
          <w:rFonts w:hint="eastAsia" w:ascii="宋体" w:hAnsi="宋体"/>
          <w:bCs/>
          <w:kern w:val="0"/>
          <w:szCs w:val="21"/>
        </w:rPr>
        <w:t>（4）有依法缴纳税收和社会保障资金的良好记录；</w:t>
      </w:r>
    </w:p>
    <w:p>
      <w:pPr>
        <w:spacing w:line="360" w:lineRule="auto"/>
        <w:ind w:left="2" w:firstLine="418"/>
        <w:jc w:val="left"/>
        <w:rPr>
          <w:rFonts w:ascii="宋体" w:hAnsi="宋体"/>
          <w:bCs/>
          <w:kern w:val="0"/>
          <w:szCs w:val="21"/>
        </w:rPr>
      </w:pPr>
      <w:r>
        <w:rPr>
          <w:rFonts w:hint="eastAsia" w:ascii="宋体" w:hAnsi="宋体"/>
          <w:bCs/>
          <w:kern w:val="0"/>
          <w:szCs w:val="21"/>
        </w:rPr>
        <w:t>（5）参加政府采购活动前三年内，在经营活动中没有重大违法记录；</w:t>
      </w:r>
    </w:p>
    <w:p>
      <w:pPr>
        <w:spacing w:line="360" w:lineRule="auto"/>
        <w:ind w:left="2" w:firstLine="418"/>
        <w:jc w:val="left"/>
        <w:rPr>
          <w:rFonts w:ascii="宋体" w:hAnsi="宋体"/>
          <w:bCs/>
          <w:kern w:val="0"/>
          <w:szCs w:val="21"/>
        </w:rPr>
      </w:pPr>
      <w:r>
        <w:rPr>
          <w:rFonts w:hint="eastAsia" w:ascii="宋体" w:hAnsi="宋体"/>
          <w:bCs/>
          <w:kern w:val="0"/>
          <w:szCs w:val="21"/>
        </w:rPr>
        <w:t>（6）法律、行政法规规定的其他条件。</w:t>
      </w:r>
    </w:p>
    <w:p>
      <w:pPr>
        <w:spacing w:line="360" w:lineRule="auto"/>
        <w:ind w:left="2" w:firstLine="418"/>
        <w:jc w:val="left"/>
        <w:rPr>
          <w:rFonts w:ascii="宋体" w:hAnsi="宋体"/>
          <w:bCs/>
          <w:kern w:val="0"/>
          <w:szCs w:val="21"/>
        </w:rPr>
      </w:pPr>
      <w:r>
        <w:rPr>
          <w:rFonts w:hint="eastAsia" w:ascii="宋体" w:hAnsi="宋体"/>
          <w:bCs/>
          <w:kern w:val="0"/>
          <w:szCs w:val="21"/>
        </w:rPr>
        <w:t>3.2  针对本项目，投标人应具备的特定条件：见投标人须知前附表。</w:t>
      </w:r>
    </w:p>
    <w:p>
      <w:pPr>
        <w:spacing w:line="360" w:lineRule="auto"/>
        <w:ind w:left="2" w:firstLine="418"/>
        <w:jc w:val="left"/>
        <w:rPr>
          <w:rFonts w:ascii="宋体" w:hAnsi="宋体"/>
          <w:bCs/>
          <w:kern w:val="0"/>
          <w:szCs w:val="21"/>
        </w:rPr>
      </w:pPr>
      <w:r>
        <w:rPr>
          <w:rFonts w:hint="eastAsia" w:ascii="宋体" w:hAnsi="宋体"/>
          <w:bCs/>
          <w:kern w:val="0"/>
          <w:szCs w:val="21"/>
        </w:rPr>
        <w:t>3.3  本项目不接受联合体投标。</w:t>
      </w:r>
    </w:p>
    <w:p>
      <w:pPr>
        <w:spacing w:line="360" w:lineRule="auto"/>
        <w:ind w:left="2" w:firstLine="418"/>
        <w:jc w:val="left"/>
        <w:rPr>
          <w:rFonts w:ascii="宋体" w:hAnsi="宋体"/>
          <w:bCs/>
          <w:kern w:val="0"/>
          <w:szCs w:val="21"/>
        </w:rPr>
      </w:pPr>
      <w:r>
        <w:rPr>
          <w:rFonts w:hint="eastAsia" w:ascii="宋体" w:hAnsi="宋体"/>
          <w:bCs/>
          <w:kern w:val="0"/>
          <w:szCs w:val="21"/>
        </w:rPr>
        <w:t xml:space="preserve">3.4  投标人不得直接或间接地与为本次采购的项目内容进行设计、编制规范和其他文件的咨询公司、采购人、采购代理机构或其附属机构有任何关联。 </w:t>
      </w:r>
    </w:p>
    <w:p>
      <w:pPr>
        <w:spacing w:line="360" w:lineRule="auto"/>
        <w:ind w:left="213" w:hanging="212" w:hangingChars="101"/>
        <w:jc w:val="left"/>
        <w:rPr>
          <w:rFonts w:ascii="宋体" w:hAnsi="宋体"/>
          <w:b/>
          <w:bCs/>
          <w:kern w:val="0"/>
          <w:szCs w:val="21"/>
        </w:rPr>
      </w:pPr>
      <w:r>
        <w:rPr>
          <w:rFonts w:hint="eastAsia" w:ascii="宋体" w:hAnsi="宋体"/>
          <w:b/>
          <w:bCs/>
          <w:kern w:val="0"/>
          <w:szCs w:val="21"/>
        </w:rPr>
        <w:t>4.  询问和质疑</w:t>
      </w:r>
    </w:p>
    <w:p>
      <w:pPr>
        <w:spacing w:line="360" w:lineRule="auto"/>
        <w:ind w:left="2" w:firstLine="418"/>
        <w:jc w:val="left"/>
        <w:rPr>
          <w:rFonts w:ascii="宋体" w:hAnsi="宋体"/>
          <w:bCs/>
          <w:kern w:val="0"/>
          <w:szCs w:val="21"/>
        </w:rPr>
      </w:pPr>
      <w:r>
        <w:rPr>
          <w:rFonts w:hint="eastAsia" w:ascii="宋体" w:hAnsi="宋体"/>
          <w:bCs/>
          <w:kern w:val="0"/>
          <w:szCs w:val="21"/>
        </w:rPr>
        <w:t>4.1  投标人对政府采购活动事项有疑问的，可以向采购人或采购代理机构项目负责人提出询问。</w:t>
      </w:r>
    </w:p>
    <w:p>
      <w:pPr>
        <w:spacing w:line="360" w:lineRule="auto"/>
        <w:ind w:left="2" w:firstLine="418"/>
        <w:jc w:val="left"/>
        <w:rPr>
          <w:rFonts w:ascii="宋体" w:hAnsi="宋体"/>
          <w:bCs/>
          <w:kern w:val="0"/>
          <w:szCs w:val="21"/>
        </w:rPr>
      </w:pPr>
      <w:r>
        <w:rPr>
          <w:rFonts w:hint="eastAsia" w:ascii="宋体" w:hAnsi="宋体"/>
          <w:bCs/>
          <w:kern w:val="0"/>
          <w:szCs w:val="21"/>
        </w:rPr>
        <w:t>4.2  投标人认为公开招标文件使自己的权益受到损害的，应当在公开招标文件公告期限届满之日起7个工作日内以书面形式向采购人或采购人委托的采购代理机构质疑；投标人认为采购过程使自己的权益受到损害的，应当在各采购程序环节结束之日起7个工作日内，以书面形式向采购人或采购人委托的采购代理机构质疑；投标人认为中标结果使自己的权益受到损害的，应当在中标结果公告期限届满之日起7个工作日内，以书面形式向采购人或采购人委托的采购代理机构质疑。质疑有效期结束后，采购人或采购代理机构不再受理该项目质疑。（质疑受理单位、递交质疑地点详见投标人须知前附表）</w:t>
      </w:r>
    </w:p>
    <w:p>
      <w:pPr>
        <w:spacing w:line="360" w:lineRule="auto"/>
        <w:ind w:left="2" w:firstLine="418"/>
        <w:jc w:val="left"/>
        <w:rPr>
          <w:rFonts w:ascii="宋体" w:hAnsi="宋体"/>
          <w:bCs/>
          <w:kern w:val="0"/>
          <w:szCs w:val="21"/>
        </w:rPr>
      </w:pPr>
      <w:r>
        <w:rPr>
          <w:rFonts w:hint="eastAsia" w:ascii="宋体" w:hAnsi="宋体"/>
          <w:bCs/>
          <w:kern w:val="0"/>
          <w:szCs w:val="21"/>
        </w:rPr>
        <w:t>4.3  供应商质疑实行实名制，其质疑应当有具体的质疑事项及事实根据，不得进行虚假、恶意质疑。</w:t>
      </w:r>
    </w:p>
    <w:p>
      <w:pPr>
        <w:spacing w:line="360" w:lineRule="auto"/>
        <w:ind w:left="2" w:firstLine="418"/>
        <w:jc w:val="left"/>
        <w:rPr>
          <w:rFonts w:ascii="宋体" w:hAnsi="宋体"/>
          <w:bCs/>
          <w:kern w:val="0"/>
          <w:szCs w:val="21"/>
        </w:rPr>
      </w:pPr>
      <w:r>
        <w:rPr>
          <w:rFonts w:hint="eastAsia" w:ascii="宋体" w:hAnsi="宋体"/>
          <w:bCs/>
          <w:kern w:val="0"/>
          <w:szCs w:val="21"/>
        </w:rPr>
        <w:t>4.4  供应商质疑时，应当提交质疑书原件，质疑书应当包括下列主要内容：</w:t>
      </w:r>
    </w:p>
    <w:p>
      <w:pPr>
        <w:spacing w:line="360" w:lineRule="auto"/>
        <w:ind w:left="2" w:firstLine="418"/>
        <w:jc w:val="left"/>
        <w:rPr>
          <w:rFonts w:ascii="宋体" w:hAnsi="宋体"/>
          <w:bCs/>
          <w:kern w:val="0"/>
          <w:szCs w:val="21"/>
        </w:rPr>
      </w:pPr>
      <w:r>
        <w:rPr>
          <w:rFonts w:hint="eastAsia" w:ascii="宋体" w:hAnsi="宋体"/>
          <w:bCs/>
          <w:kern w:val="0"/>
          <w:szCs w:val="21"/>
        </w:rPr>
        <w:t>（1）质疑供应商和被质疑的采购人或采购人委托的采购代理机构名称、地址、电话、邮编等；</w:t>
      </w:r>
    </w:p>
    <w:p>
      <w:pPr>
        <w:spacing w:line="360" w:lineRule="auto"/>
        <w:ind w:left="2" w:firstLine="418"/>
        <w:jc w:val="left"/>
        <w:rPr>
          <w:rFonts w:ascii="宋体" w:hAnsi="宋体"/>
          <w:bCs/>
          <w:kern w:val="0"/>
          <w:szCs w:val="21"/>
        </w:rPr>
      </w:pPr>
      <w:r>
        <w:rPr>
          <w:rFonts w:hint="eastAsia" w:ascii="宋体" w:hAnsi="宋体"/>
          <w:bCs/>
          <w:kern w:val="0"/>
          <w:szCs w:val="21"/>
        </w:rPr>
        <w:t>（2）质疑项目的名称、编号；</w:t>
      </w:r>
    </w:p>
    <w:p>
      <w:pPr>
        <w:spacing w:line="360" w:lineRule="auto"/>
        <w:ind w:left="2" w:firstLine="418"/>
        <w:jc w:val="left"/>
        <w:rPr>
          <w:rFonts w:ascii="宋体" w:hAnsi="宋体"/>
          <w:bCs/>
          <w:kern w:val="0"/>
          <w:szCs w:val="21"/>
        </w:rPr>
      </w:pPr>
      <w:r>
        <w:rPr>
          <w:rFonts w:hint="eastAsia" w:ascii="宋体" w:hAnsi="宋体"/>
          <w:bCs/>
          <w:kern w:val="0"/>
          <w:szCs w:val="21"/>
        </w:rPr>
        <w:t>（3）权益受到损害的事实和理由,以及明确的请求；</w:t>
      </w:r>
    </w:p>
    <w:p>
      <w:pPr>
        <w:spacing w:line="360" w:lineRule="auto"/>
        <w:ind w:left="2" w:firstLine="418"/>
        <w:jc w:val="left"/>
        <w:rPr>
          <w:rFonts w:ascii="宋体" w:hAnsi="宋体"/>
          <w:bCs/>
          <w:kern w:val="0"/>
          <w:szCs w:val="21"/>
        </w:rPr>
      </w:pPr>
      <w:r>
        <w:rPr>
          <w:rFonts w:hint="eastAsia" w:ascii="宋体" w:hAnsi="宋体"/>
          <w:bCs/>
          <w:kern w:val="0"/>
          <w:szCs w:val="21"/>
        </w:rPr>
        <w:t>（4）相关证明材料；</w:t>
      </w:r>
    </w:p>
    <w:p>
      <w:pPr>
        <w:spacing w:line="360" w:lineRule="auto"/>
        <w:ind w:left="2" w:firstLine="418"/>
        <w:jc w:val="left"/>
        <w:rPr>
          <w:rFonts w:ascii="宋体" w:hAnsi="宋体"/>
          <w:bCs/>
          <w:kern w:val="0"/>
          <w:szCs w:val="21"/>
        </w:rPr>
      </w:pPr>
      <w:r>
        <w:rPr>
          <w:rFonts w:hint="eastAsia" w:ascii="宋体" w:hAnsi="宋体"/>
          <w:bCs/>
          <w:kern w:val="0"/>
          <w:szCs w:val="21"/>
        </w:rPr>
        <w:t>（5）提起质疑的日期；</w:t>
      </w:r>
    </w:p>
    <w:p>
      <w:pPr>
        <w:spacing w:line="360" w:lineRule="auto"/>
        <w:ind w:left="2" w:firstLine="418"/>
        <w:jc w:val="left"/>
        <w:rPr>
          <w:rFonts w:ascii="宋体" w:hAnsi="宋体"/>
          <w:bCs/>
          <w:kern w:val="0"/>
          <w:szCs w:val="21"/>
        </w:rPr>
      </w:pPr>
      <w:r>
        <w:rPr>
          <w:rFonts w:hint="eastAsia" w:ascii="宋体" w:hAnsi="宋体"/>
          <w:bCs/>
          <w:kern w:val="0"/>
          <w:szCs w:val="21"/>
        </w:rPr>
        <w:t>（6）附件材料：营业执照副本内页复印件（要求证件有效并清晰反映企业法人经营范围）；近期连续三个月依法缴纳税收证明材料（复印件，原件备查）；近期连续三个月在职职工依法缴纳社会保障资金证明材料（复印件，原件备查）。</w:t>
      </w:r>
    </w:p>
    <w:p>
      <w:pPr>
        <w:spacing w:line="360" w:lineRule="auto"/>
        <w:ind w:left="2" w:firstLine="418"/>
        <w:jc w:val="left"/>
        <w:rPr>
          <w:rFonts w:ascii="宋体" w:hAnsi="宋体"/>
          <w:bCs/>
          <w:kern w:val="0"/>
          <w:szCs w:val="21"/>
        </w:rPr>
      </w:pPr>
      <w:r>
        <w:rPr>
          <w:rFonts w:hint="eastAsia" w:ascii="宋体" w:hAnsi="宋体"/>
          <w:bCs/>
          <w:kern w:val="0"/>
          <w:szCs w:val="21"/>
        </w:rPr>
        <w:t>质疑书应当署名。质疑供应商为法人或者其他组织的，应当由法定代表人或者主要负责人签字（质疑供应商为法人的由法定代表人签字，质疑供应商为其他组织的由主要负责人签字）并加盖公章。</w:t>
      </w:r>
    </w:p>
    <w:p>
      <w:pPr>
        <w:spacing w:line="360" w:lineRule="auto"/>
        <w:ind w:left="2" w:firstLine="418"/>
        <w:jc w:val="left"/>
        <w:rPr>
          <w:rFonts w:ascii="宋体" w:hAnsi="宋体"/>
          <w:bCs/>
          <w:kern w:val="0"/>
          <w:szCs w:val="21"/>
        </w:rPr>
      </w:pPr>
      <w:r>
        <w:rPr>
          <w:rFonts w:hint="eastAsia" w:ascii="宋体" w:hAnsi="宋体"/>
          <w:bCs/>
          <w:kern w:val="0"/>
          <w:szCs w:val="21"/>
        </w:rPr>
        <w:t>4.5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委托代理人身份证明复印件和近期三个月社保缴费证明复印件。</w:t>
      </w:r>
    </w:p>
    <w:p>
      <w:pPr>
        <w:spacing w:line="360" w:lineRule="auto"/>
        <w:ind w:left="2" w:firstLine="418"/>
        <w:jc w:val="left"/>
        <w:rPr>
          <w:rFonts w:ascii="宋体" w:hAnsi="宋体"/>
          <w:bCs/>
          <w:kern w:val="0"/>
          <w:szCs w:val="21"/>
        </w:rPr>
      </w:pPr>
      <w:r>
        <w:rPr>
          <w:rFonts w:hint="eastAsia" w:ascii="宋体" w:hAnsi="宋体"/>
          <w:bCs/>
          <w:kern w:val="0"/>
          <w:szCs w:val="21"/>
        </w:rPr>
        <w:t>4.6  质疑供应商提起质疑应当符合下列条件：</w:t>
      </w:r>
    </w:p>
    <w:p>
      <w:pPr>
        <w:spacing w:line="360" w:lineRule="auto"/>
        <w:ind w:left="2" w:firstLine="418"/>
        <w:jc w:val="left"/>
        <w:rPr>
          <w:rFonts w:ascii="宋体" w:hAnsi="宋体"/>
          <w:bCs/>
          <w:kern w:val="0"/>
          <w:szCs w:val="21"/>
        </w:rPr>
      </w:pPr>
      <w:r>
        <w:rPr>
          <w:rFonts w:hint="eastAsia" w:ascii="宋体" w:hAnsi="宋体"/>
          <w:bCs/>
          <w:kern w:val="0"/>
          <w:szCs w:val="21"/>
        </w:rPr>
        <w:t>（1）质疑供应商是参与所质疑政府采购活动的供应商；</w:t>
      </w:r>
    </w:p>
    <w:p>
      <w:pPr>
        <w:spacing w:line="360" w:lineRule="auto"/>
        <w:ind w:left="2" w:firstLine="418"/>
        <w:jc w:val="left"/>
        <w:rPr>
          <w:rFonts w:ascii="宋体" w:hAnsi="宋体"/>
          <w:bCs/>
          <w:kern w:val="0"/>
          <w:szCs w:val="21"/>
        </w:rPr>
      </w:pPr>
      <w:r>
        <w:rPr>
          <w:rFonts w:hint="eastAsia" w:ascii="宋体" w:hAnsi="宋体"/>
          <w:bCs/>
          <w:kern w:val="0"/>
          <w:szCs w:val="21"/>
        </w:rPr>
        <w:t>（2）质疑书内容符合本章第4.4项的规定；</w:t>
      </w:r>
    </w:p>
    <w:p>
      <w:pPr>
        <w:spacing w:line="360" w:lineRule="auto"/>
        <w:ind w:left="2" w:firstLine="418"/>
        <w:jc w:val="left"/>
        <w:rPr>
          <w:rFonts w:ascii="宋体" w:hAnsi="宋体"/>
          <w:bCs/>
          <w:kern w:val="0"/>
          <w:szCs w:val="21"/>
        </w:rPr>
      </w:pPr>
      <w:r>
        <w:rPr>
          <w:rFonts w:hint="eastAsia" w:ascii="宋体" w:hAnsi="宋体"/>
          <w:bCs/>
          <w:kern w:val="0"/>
          <w:szCs w:val="21"/>
        </w:rPr>
        <w:t>（3）在质疑有效期限内提起质疑；</w:t>
      </w:r>
    </w:p>
    <w:p>
      <w:pPr>
        <w:spacing w:line="360" w:lineRule="auto"/>
        <w:ind w:left="2" w:firstLine="418"/>
        <w:jc w:val="left"/>
        <w:rPr>
          <w:rFonts w:ascii="宋体" w:hAnsi="宋体"/>
          <w:bCs/>
          <w:kern w:val="0"/>
          <w:szCs w:val="21"/>
        </w:rPr>
      </w:pPr>
      <w:r>
        <w:rPr>
          <w:rFonts w:hint="eastAsia" w:ascii="宋体" w:hAnsi="宋体"/>
          <w:bCs/>
          <w:kern w:val="0"/>
          <w:szCs w:val="21"/>
        </w:rPr>
        <w:t>（4）属于所质疑的采购人或采购人委托的采购代理机构组织的采购活动；</w:t>
      </w:r>
    </w:p>
    <w:p>
      <w:pPr>
        <w:spacing w:line="360" w:lineRule="auto"/>
        <w:ind w:left="2" w:firstLine="418"/>
        <w:jc w:val="left"/>
        <w:rPr>
          <w:rFonts w:ascii="宋体" w:hAnsi="宋体"/>
          <w:bCs/>
          <w:kern w:val="0"/>
          <w:szCs w:val="21"/>
        </w:rPr>
      </w:pPr>
      <w:r>
        <w:rPr>
          <w:rFonts w:hint="eastAsia" w:ascii="宋体" w:hAnsi="宋体"/>
          <w:bCs/>
          <w:kern w:val="0"/>
          <w:szCs w:val="21"/>
        </w:rPr>
        <w:t>（5）同一质疑事项未经采购人或采购人委托的采购代理机构质疑处理；</w:t>
      </w:r>
    </w:p>
    <w:p>
      <w:pPr>
        <w:spacing w:line="360" w:lineRule="auto"/>
        <w:ind w:left="2" w:firstLine="418"/>
        <w:jc w:val="left"/>
        <w:rPr>
          <w:rFonts w:ascii="宋体" w:hAnsi="宋体"/>
          <w:bCs/>
          <w:kern w:val="0"/>
          <w:szCs w:val="21"/>
        </w:rPr>
      </w:pPr>
      <w:r>
        <w:rPr>
          <w:rFonts w:hint="eastAsia" w:ascii="宋体" w:hAnsi="宋体"/>
          <w:bCs/>
          <w:kern w:val="0"/>
          <w:szCs w:val="21"/>
        </w:rPr>
        <w:t>（6）财政部门规定的其他条件。</w:t>
      </w:r>
    </w:p>
    <w:p>
      <w:pPr>
        <w:spacing w:line="360" w:lineRule="auto"/>
        <w:ind w:left="2" w:firstLine="418"/>
        <w:jc w:val="left"/>
        <w:rPr>
          <w:rFonts w:ascii="宋体" w:hAnsi="宋体"/>
          <w:bCs/>
          <w:kern w:val="0"/>
          <w:szCs w:val="21"/>
        </w:rPr>
      </w:pPr>
      <w:r>
        <w:rPr>
          <w:rFonts w:hint="eastAsia" w:ascii="宋体" w:hAnsi="宋体"/>
          <w:bCs/>
          <w:kern w:val="0"/>
          <w:szCs w:val="21"/>
        </w:rPr>
        <w:t>4.7  采购人或采购人委托的采购代理机构自受理质疑之日起7个工作日内，对质疑事项作出答复，并以书面形式通知质疑供应商及其他有关供应商。</w:t>
      </w:r>
    </w:p>
    <w:p>
      <w:pPr>
        <w:spacing w:line="360" w:lineRule="auto"/>
        <w:ind w:left="213" w:hanging="212" w:hangingChars="101"/>
        <w:jc w:val="left"/>
        <w:rPr>
          <w:rFonts w:ascii="宋体" w:hAnsi="宋体"/>
          <w:b/>
          <w:bCs/>
          <w:kern w:val="0"/>
          <w:szCs w:val="21"/>
        </w:rPr>
      </w:pPr>
      <w:r>
        <w:rPr>
          <w:rFonts w:hint="eastAsia" w:ascii="宋体" w:hAnsi="宋体"/>
          <w:b/>
          <w:bCs/>
          <w:kern w:val="0"/>
          <w:szCs w:val="21"/>
        </w:rPr>
        <w:t>5.  投诉</w:t>
      </w:r>
    </w:p>
    <w:p>
      <w:pPr>
        <w:spacing w:line="360" w:lineRule="auto"/>
        <w:ind w:left="2" w:firstLine="418"/>
        <w:jc w:val="left"/>
        <w:rPr>
          <w:rFonts w:ascii="宋体" w:hAnsi="宋体"/>
          <w:bCs/>
          <w:kern w:val="0"/>
          <w:szCs w:val="21"/>
        </w:rPr>
      </w:pPr>
      <w:r>
        <w:rPr>
          <w:rFonts w:hint="eastAsia" w:ascii="宋体" w:hAnsi="宋体"/>
          <w:bCs/>
          <w:kern w:val="0"/>
          <w:szCs w:val="21"/>
        </w:rPr>
        <w:t>5.1  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15个工作日内向南宁高新区政府采购监督管理部门提起投诉。</w:t>
      </w:r>
    </w:p>
    <w:p>
      <w:pPr>
        <w:spacing w:line="360" w:lineRule="auto"/>
        <w:ind w:left="2" w:firstLine="418"/>
        <w:jc w:val="left"/>
        <w:rPr>
          <w:rFonts w:ascii="宋体" w:hAnsi="宋体"/>
          <w:bCs/>
          <w:kern w:val="0"/>
          <w:szCs w:val="21"/>
        </w:rPr>
      </w:pPr>
      <w:r>
        <w:rPr>
          <w:rFonts w:hint="eastAsia" w:ascii="宋体" w:hAnsi="宋体"/>
          <w:bCs/>
          <w:kern w:val="0"/>
          <w:szCs w:val="21"/>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spacing w:line="360" w:lineRule="auto"/>
        <w:ind w:left="2" w:firstLine="418"/>
        <w:jc w:val="left"/>
        <w:rPr>
          <w:rFonts w:ascii="宋体" w:hAnsi="宋体"/>
          <w:bCs/>
          <w:kern w:val="0"/>
          <w:szCs w:val="21"/>
        </w:rPr>
      </w:pPr>
      <w:r>
        <w:rPr>
          <w:rFonts w:hint="eastAsia" w:ascii="宋体" w:hAnsi="宋体"/>
          <w:bCs/>
          <w:kern w:val="0"/>
          <w:szCs w:val="21"/>
        </w:rPr>
        <w:t xml:space="preserve">（1）投诉人和被投诉人的名称、地址、电话等； </w:t>
      </w:r>
    </w:p>
    <w:p>
      <w:pPr>
        <w:spacing w:line="360" w:lineRule="auto"/>
        <w:ind w:left="2" w:firstLine="418"/>
        <w:jc w:val="left"/>
        <w:rPr>
          <w:rFonts w:ascii="宋体" w:hAnsi="宋体"/>
          <w:bCs/>
          <w:kern w:val="0"/>
          <w:szCs w:val="21"/>
        </w:rPr>
      </w:pPr>
      <w:r>
        <w:rPr>
          <w:rFonts w:hint="eastAsia" w:ascii="宋体" w:hAnsi="宋体"/>
          <w:bCs/>
          <w:kern w:val="0"/>
          <w:szCs w:val="21"/>
        </w:rPr>
        <w:t>（2）具体的投诉事项及事实依据；</w:t>
      </w:r>
    </w:p>
    <w:p>
      <w:pPr>
        <w:spacing w:line="360" w:lineRule="auto"/>
        <w:ind w:left="2" w:firstLine="418"/>
        <w:jc w:val="left"/>
        <w:rPr>
          <w:rFonts w:ascii="宋体" w:hAnsi="宋体"/>
          <w:bCs/>
          <w:kern w:val="0"/>
          <w:szCs w:val="21"/>
        </w:rPr>
      </w:pPr>
      <w:r>
        <w:rPr>
          <w:rFonts w:hint="eastAsia" w:ascii="宋体" w:hAnsi="宋体"/>
          <w:bCs/>
          <w:kern w:val="0"/>
          <w:szCs w:val="21"/>
        </w:rPr>
        <w:t xml:space="preserve">（3）质疑和质疑答复情况及相关证明材料； </w:t>
      </w:r>
    </w:p>
    <w:p>
      <w:pPr>
        <w:spacing w:line="360" w:lineRule="auto"/>
        <w:ind w:left="2" w:firstLine="418"/>
        <w:jc w:val="left"/>
        <w:rPr>
          <w:rFonts w:ascii="宋体" w:hAnsi="宋体"/>
          <w:bCs/>
          <w:kern w:val="0"/>
          <w:szCs w:val="21"/>
        </w:rPr>
      </w:pPr>
      <w:r>
        <w:rPr>
          <w:rFonts w:hint="eastAsia" w:ascii="宋体" w:hAnsi="宋体"/>
          <w:bCs/>
          <w:kern w:val="0"/>
          <w:szCs w:val="21"/>
        </w:rPr>
        <w:t>（4）提起投诉的日期。</w:t>
      </w:r>
    </w:p>
    <w:p>
      <w:pPr>
        <w:spacing w:line="360" w:lineRule="auto"/>
        <w:ind w:left="2" w:firstLine="418"/>
        <w:jc w:val="left"/>
        <w:rPr>
          <w:rFonts w:ascii="宋体" w:hAnsi="宋体"/>
          <w:bCs/>
          <w:kern w:val="0"/>
          <w:szCs w:val="21"/>
        </w:rPr>
      </w:pPr>
      <w:r>
        <w:rPr>
          <w:rFonts w:hint="eastAsia" w:ascii="宋体" w:hAnsi="宋体"/>
          <w:bCs/>
          <w:kern w:val="0"/>
          <w:szCs w:val="21"/>
        </w:rPr>
        <w:t>（5）附件材料：营业执照副本内页复印件（要求证件有效并清晰反映企业法人经营范围；近期连续三个月依法缴纳税收和在职职工社会保障资金证明材料（复印件，原件备查）。</w:t>
      </w:r>
      <w:r>
        <w:rPr>
          <w:rFonts w:hint="eastAsia" w:ascii="宋体" w:hAnsi="宋体"/>
          <w:bCs/>
          <w:kern w:val="0"/>
          <w:szCs w:val="21"/>
        </w:rPr>
        <w:tab/>
      </w:r>
    </w:p>
    <w:p>
      <w:pPr>
        <w:spacing w:line="360" w:lineRule="auto"/>
        <w:ind w:left="2" w:firstLine="418"/>
        <w:jc w:val="left"/>
        <w:rPr>
          <w:rFonts w:ascii="宋体" w:hAnsi="宋体"/>
          <w:bCs/>
          <w:kern w:val="0"/>
          <w:szCs w:val="21"/>
        </w:rPr>
      </w:pPr>
      <w:r>
        <w:rPr>
          <w:rFonts w:hint="eastAsia" w:ascii="宋体" w:hAnsi="宋体"/>
          <w:bCs/>
          <w:kern w:val="0"/>
          <w:szCs w:val="21"/>
        </w:rPr>
        <w:t>投诉书应当署名。投诉人为法人或者其他组织的，应当由法定代表人或者主要负责人签字盖章并加盖公章。</w:t>
      </w:r>
    </w:p>
    <w:p>
      <w:pPr>
        <w:spacing w:line="360" w:lineRule="auto"/>
        <w:ind w:left="2" w:firstLine="418"/>
        <w:jc w:val="left"/>
        <w:rPr>
          <w:rFonts w:ascii="宋体" w:hAnsi="宋体"/>
          <w:bCs/>
          <w:kern w:val="0"/>
          <w:szCs w:val="21"/>
        </w:rPr>
      </w:pPr>
      <w:r>
        <w:rPr>
          <w:rFonts w:hint="eastAsia" w:ascii="宋体" w:hAnsi="宋体"/>
          <w:bCs/>
          <w:kern w:val="0"/>
          <w:szCs w:val="21"/>
        </w:rPr>
        <w:t>5.3  投诉人可以委托代理人办理投诉事务。委托代理人应为投诉供应商的正式员工并熟悉相关业务情况。代理人办理投诉事务时，除提交投诉书外，还应当提交投诉人的授权委托书，授权委托书应当载明委托代理的具体权限和事项；提交委托代理人身份证明复印件和近期三个月社保缴费证复印件。</w:t>
      </w:r>
    </w:p>
    <w:p>
      <w:pPr>
        <w:spacing w:line="360" w:lineRule="auto"/>
        <w:ind w:left="2" w:firstLine="418"/>
        <w:jc w:val="left"/>
        <w:rPr>
          <w:rFonts w:ascii="宋体" w:hAnsi="宋体"/>
          <w:bCs/>
          <w:kern w:val="0"/>
          <w:szCs w:val="21"/>
        </w:rPr>
      </w:pPr>
      <w:r>
        <w:rPr>
          <w:rFonts w:hint="eastAsia" w:ascii="宋体" w:hAnsi="宋体"/>
          <w:bCs/>
          <w:kern w:val="0"/>
          <w:szCs w:val="21"/>
        </w:rPr>
        <w:t>5.4  投诉人提起投诉应当符合下列条件：</w:t>
      </w:r>
    </w:p>
    <w:p>
      <w:pPr>
        <w:spacing w:line="360" w:lineRule="auto"/>
        <w:ind w:left="2" w:firstLine="418"/>
        <w:jc w:val="left"/>
        <w:rPr>
          <w:rFonts w:ascii="宋体" w:hAnsi="宋体"/>
          <w:bCs/>
          <w:kern w:val="0"/>
          <w:szCs w:val="21"/>
        </w:rPr>
      </w:pPr>
      <w:r>
        <w:rPr>
          <w:rFonts w:hint="eastAsia" w:ascii="宋体" w:hAnsi="宋体"/>
          <w:bCs/>
          <w:kern w:val="0"/>
          <w:szCs w:val="21"/>
        </w:rPr>
        <w:t>（1）投诉人是参与所投诉政府采购活动的供应商；</w:t>
      </w:r>
    </w:p>
    <w:p>
      <w:pPr>
        <w:spacing w:line="360" w:lineRule="auto"/>
        <w:ind w:left="2" w:firstLine="418"/>
        <w:jc w:val="left"/>
        <w:rPr>
          <w:rFonts w:ascii="宋体" w:hAnsi="宋体"/>
          <w:bCs/>
          <w:kern w:val="0"/>
          <w:szCs w:val="21"/>
        </w:rPr>
      </w:pPr>
      <w:r>
        <w:rPr>
          <w:rFonts w:hint="eastAsia" w:ascii="宋体" w:hAnsi="宋体"/>
          <w:bCs/>
          <w:kern w:val="0"/>
          <w:szCs w:val="21"/>
        </w:rPr>
        <w:t>（2）提起投诉前已依法进行质疑；</w:t>
      </w:r>
    </w:p>
    <w:p>
      <w:pPr>
        <w:spacing w:line="360" w:lineRule="auto"/>
        <w:ind w:left="2" w:firstLine="418"/>
        <w:jc w:val="left"/>
        <w:rPr>
          <w:rFonts w:ascii="宋体" w:hAnsi="宋体"/>
          <w:bCs/>
          <w:kern w:val="0"/>
          <w:szCs w:val="21"/>
        </w:rPr>
      </w:pPr>
      <w:r>
        <w:rPr>
          <w:rFonts w:hint="eastAsia" w:ascii="宋体" w:hAnsi="宋体"/>
          <w:bCs/>
          <w:kern w:val="0"/>
          <w:szCs w:val="21"/>
        </w:rPr>
        <w:t>（3）投诉书内容符合本章第5.2项的规定；</w:t>
      </w:r>
    </w:p>
    <w:p>
      <w:pPr>
        <w:spacing w:line="360" w:lineRule="auto"/>
        <w:ind w:left="2" w:firstLine="418"/>
        <w:jc w:val="left"/>
        <w:rPr>
          <w:rFonts w:ascii="宋体" w:hAnsi="宋体"/>
          <w:bCs/>
          <w:kern w:val="0"/>
          <w:szCs w:val="21"/>
        </w:rPr>
      </w:pPr>
      <w:r>
        <w:rPr>
          <w:rFonts w:hint="eastAsia" w:ascii="宋体" w:hAnsi="宋体"/>
          <w:bCs/>
          <w:kern w:val="0"/>
          <w:szCs w:val="21"/>
        </w:rPr>
        <w:t>（4）在投诉有效期限内提起投诉；</w:t>
      </w:r>
    </w:p>
    <w:p>
      <w:pPr>
        <w:spacing w:line="360" w:lineRule="auto"/>
        <w:ind w:left="2" w:firstLine="418"/>
        <w:jc w:val="left"/>
        <w:rPr>
          <w:rFonts w:ascii="宋体" w:hAnsi="宋体"/>
          <w:bCs/>
          <w:kern w:val="0"/>
          <w:szCs w:val="21"/>
        </w:rPr>
      </w:pPr>
      <w:r>
        <w:rPr>
          <w:rFonts w:hint="eastAsia" w:ascii="宋体" w:hAnsi="宋体"/>
          <w:bCs/>
          <w:kern w:val="0"/>
          <w:szCs w:val="21"/>
        </w:rPr>
        <w:t>（5）属于南宁高新区政府采购监督管理部门管辖；</w:t>
      </w:r>
    </w:p>
    <w:p>
      <w:pPr>
        <w:spacing w:line="360" w:lineRule="auto"/>
        <w:ind w:left="2" w:firstLine="418"/>
        <w:jc w:val="left"/>
        <w:rPr>
          <w:rFonts w:ascii="宋体" w:hAnsi="宋体"/>
          <w:bCs/>
          <w:kern w:val="0"/>
          <w:szCs w:val="21"/>
        </w:rPr>
      </w:pPr>
      <w:r>
        <w:rPr>
          <w:rFonts w:hint="eastAsia" w:ascii="宋体" w:hAnsi="宋体"/>
          <w:bCs/>
          <w:kern w:val="0"/>
          <w:szCs w:val="21"/>
        </w:rPr>
        <w:t>（6）同一投诉事项未经南宁高新区政府采购监督管理部门投诉处理；</w:t>
      </w:r>
    </w:p>
    <w:p>
      <w:pPr>
        <w:spacing w:line="360" w:lineRule="auto"/>
        <w:ind w:left="2" w:firstLine="418"/>
        <w:jc w:val="left"/>
        <w:rPr>
          <w:rFonts w:ascii="宋体" w:hAnsi="宋体"/>
          <w:bCs/>
          <w:kern w:val="0"/>
          <w:szCs w:val="21"/>
        </w:rPr>
      </w:pPr>
      <w:r>
        <w:rPr>
          <w:rFonts w:hint="eastAsia" w:ascii="宋体" w:hAnsi="宋体"/>
          <w:bCs/>
          <w:kern w:val="0"/>
          <w:szCs w:val="21"/>
        </w:rPr>
        <w:t>（7）国务院财政部门规定的其他条件。</w:t>
      </w:r>
    </w:p>
    <w:p>
      <w:pPr>
        <w:spacing w:line="360" w:lineRule="auto"/>
        <w:ind w:left="2" w:firstLine="418"/>
        <w:jc w:val="left"/>
        <w:rPr>
          <w:rFonts w:ascii="宋体" w:hAnsi="宋体"/>
          <w:bCs/>
          <w:kern w:val="0"/>
          <w:szCs w:val="21"/>
        </w:rPr>
      </w:pPr>
      <w:r>
        <w:rPr>
          <w:rFonts w:hint="eastAsia" w:ascii="宋体" w:hAnsi="宋体"/>
          <w:bCs/>
          <w:kern w:val="0"/>
          <w:szCs w:val="21"/>
        </w:rPr>
        <w:t>5.5  南宁高新区政府采购监督管理部门自受理投诉之日起30个工作日内，对投诉事项作出处理决定，并以书面形式通知投诉人、被投诉人及其他与投诉处理结果有利害关系的政府采购当事人。</w:t>
      </w:r>
    </w:p>
    <w:p>
      <w:pPr>
        <w:spacing w:line="360" w:lineRule="auto"/>
        <w:ind w:left="2" w:firstLine="418"/>
        <w:jc w:val="left"/>
        <w:rPr>
          <w:rFonts w:ascii="宋体" w:hAnsi="宋体"/>
          <w:bCs/>
          <w:kern w:val="0"/>
          <w:szCs w:val="21"/>
        </w:rPr>
      </w:pPr>
      <w:r>
        <w:rPr>
          <w:rFonts w:hint="eastAsia" w:ascii="宋体" w:hAnsi="宋体"/>
          <w:bCs/>
          <w:kern w:val="0"/>
          <w:szCs w:val="21"/>
        </w:rPr>
        <w:t>5.6  南宁高新区政府采购监督管理部门在处理投诉事项期间，可以视具体情况暂停采购活动。</w:t>
      </w:r>
    </w:p>
    <w:p>
      <w:pPr>
        <w:pStyle w:val="7"/>
        <w:numPr>
          <w:ilvl w:val="5"/>
          <w:numId w:val="0"/>
        </w:numPr>
      </w:pPr>
    </w:p>
    <w:p>
      <w:pPr>
        <w:spacing w:line="360" w:lineRule="auto"/>
        <w:jc w:val="center"/>
        <w:outlineLvl w:val="1"/>
        <w:rPr>
          <w:rFonts w:ascii="宋体" w:hAnsi="宋体"/>
          <w:b/>
          <w:kern w:val="0"/>
          <w:sz w:val="36"/>
          <w:szCs w:val="36"/>
        </w:rPr>
      </w:pPr>
      <w:bookmarkStart w:id="48" w:name="_Toc24568"/>
      <w:r>
        <w:rPr>
          <w:rFonts w:hint="eastAsia" w:ascii="宋体" w:hAnsi="宋体"/>
          <w:b/>
          <w:kern w:val="0"/>
          <w:sz w:val="36"/>
          <w:szCs w:val="36"/>
        </w:rPr>
        <w:t>二    公开招标文件</w:t>
      </w:r>
      <w:bookmarkEnd w:id="48"/>
    </w:p>
    <w:p>
      <w:pPr>
        <w:spacing w:line="360" w:lineRule="auto"/>
        <w:ind w:left="213" w:hanging="212" w:hangingChars="101"/>
        <w:jc w:val="left"/>
        <w:rPr>
          <w:rFonts w:ascii="宋体" w:hAnsi="宋体"/>
          <w:b/>
          <w:bCs/>
          <w:kern w:val="0"/>
          <w:szCs w:val="21"/>
        </w:rPr>
      </w:pPr>
      <w:r>
        <w:rPr>
          <w:rFonts w:hint="eastAsia" w:ascii="宋体" w:hAnsi="宋体"/>
          <w:b/>
          <w:bCs/>
          <w:kern w:val="0"/>
          <w:szCs w:val="21"/>
        </w:rPr>
        <w:t>6.  公开招标文件的组成</w:t>
      </w:r>
    </w:p>
    <w:p>
      <w:pPr>
        <w:spacing w:line="360" w:lineRule="auto"/>
        <w:ind w:firstLine="420" w:firstLineChars="200"/>
        <w:rPr>
          <w:rFonts w:ascii="宋体" w:hAnsi="宋体"/>
          <w:kern w:val="0"/>
          <w:szCs w:val="21"/>
        </w:rPr>
      </w:pPr>
      <w:r>
        <w:rPr>
          <w:rFonts w:hint="eastAsia" w:ascii="宋体" w:hAnsi="宋体"/>
          <w:kern w:val="0"/>
          <w:szCs w:val="21"/>
        </w:rPr>
        <w:t>6.1  本公开招标文件包括六个章节，各章的内容如下：</w:t>
      </w:r>
    </w:p>
    <w:p>
      <w:pPr>
        <w:spacing w:line="360" w:lineRule="auto"/>
        <w:ind w:firstLine="420" w:firstLineChars="200"/>
        <w:rPr>
          <w:rFonts w:ascii="宋体" w:hAnsi="宋体"/>
          <w:kern w:val="0"/>
          <w:szCs w:val="21"/>
        </w:rPr>
      </w:pPr>
      <w:r>
        <w:rPr>
          <w:rFonts w:hint="eastAsia" w:ascii="宋体" w:hAnsi="宋体"/>
          <w:kern w:val="0"/>
          <w:szCs w:val="21"/>
        </w:rPr>
        <w:t>第一章  公告</w:t>
      </w:r>
    </w:p>
    <w:p>
      <w:pPr>
        <w:spacing w:line="360" w:lineRule="auto"/>
        <w:ind w:firstLine="420" w:firstLineChars="200"/>
        <w:rPr>
          <w:rFonts w:ascii="宋体" w:hAnsi="宋体"/>
          <w:kern w:val="0"/>
          <w:szCs w:val="21"/>
        </w:rPr>
      </w:pPr>
      <w:r>
        <w:rPr>
          <w:rFonts w:hint="eastAsia" w:ascii="宋体" w:hAnsi="宋体"/>
          <w:kern w:val="0"/>
          <w:szCs w:val="21"/>
        </w:rPr>
        <w:t>第二章  项目采购需求一栏表</w:t>
      </w:r>
    </w:p>
    <w:p>
      <w:pPr>
        <w:spacing w:line="360" w:lineRule="auto"/>
        <w:ind w:firstLine="420" w:firstLineChars="200"/>
        <w:rPr>
          <w:rFonts w:ascii="宋体" w:hAnsi="宋体"/>
          <w:kern w:val="0"/>
          <w:szCs w:val="21"/>
        </w:rPr>
      </w:pPr>
      <w:r>
        <w:rPr>
          <w:rFonts w:hint="eastAsia" w:ascii="宋体" w:hAnsi="宋体"/>
          <w:kern w:val="0"/>
          <w:szCs w:val="21"/>
        </w:rPr>
        <w:t>第三章  评标方法</w:t>
      </w:r>
    </w:p>
    <w:p>
      <w:pPr>
        <w:spacing w:line="360" w:lineRule="auto"/>
        <w:ind w:firstLine="420" w:firstLineChars="200"/>
        <w:rPr>
          <w:rFonts w:ascii="宋体" w:hAnsi="宋体"/>
          <w:kern w:val="0"/>
          <w:szCs w:val="21"/>
        </w:rPr>
      </w:pPr>
      <w:r>
        <w:rPr>
          <w:rFonts w:hint="eastAsia" w:ascii="宋体" w:hAnsi="宋体"/>
          <w:kern w:val="0"/>
          <w:szCs w:val="21"/>
        </w:rPr>
        <w:t>第四章  投标人须知</w:t>
      </w:r>
    </w:p>
    <w:p>
      <w:pPr>
        <w:spacing w:line="360" w:lineRule="auto"/>
        <w:ind w:firstLine="420" w:firstLineChars="200"/>
        <w:rPr>
          <w:rFonts w:ascii="宋体" w:hAnsi="宋体"/>
          <w:kern w:val="0"/>
          <w:szCs w:val="21"/>
        </w:rPr>
      </w:pPr>
      <w:r>
        <w:rPr>
          <w:rFonts w:hint="eastAsia" w:ascii="宋体" w:hAnsi="宋体"/>
          <w:kern w:val="0"/>
          <w:szCs w:val="21"/>
        </w:rPr>
        <w:t>第五章  投标文件格式</w:t>
      </w:r>
    </w:p>
    <w:p>
      <w:pPr>
        <w:spacing w:line="360" w:lineRule="auto"/>
        <w:ind w:firstLine="420" w:firstLineChars="200"/>
        <w:rPr>
          <w:rFonts w:ascii="宋体" w:hAnsi="宋体"/>
          <w:kern w:val="0"/>
          <w:szCs w:val="21"/>
        </w:rPr>
      </w:pPr>
      <w:r>
        <w:rPr>
          <w:rFonts w:hint="eastAsia" w:ascii="宋体" w:hAnsi="宋体"/>
          <w:kern w:val="0"/>
          <w:szCs w:val="21"/>
        </w:rPr>
        <w:t>第六章  合同条款及格式</w:t>
      </w:r>
    </w:p>
    <w:p>
      <w:pPr>
        <w:spacing w:line="360" w:lineRule="auto"/>
        <w:ind w:firstLine="420" w:firstLineChars="200"/>
        <w:rPr>
          <w:rFonts w:ascii="宋体" w:hAnsi="宋体"/>
          <w:kern w:val="0"/>
          <w:szCs w:val="21"/>
        </w:rPr>
      </w:pPr>
      <w:r>
        <w:rPr>
          <w:rFonts w:hint="eastAsia" w:ascii="宋体" w:hAnsi="宋体"/>
          <w:kern w:val="0"/>
          <w:szCs w:val="21"/>
        </w:rPr>
        <w:t>6.2  根据本章第7.1项的规定对公开招标文件所做的澄清、修改，构成招标文件的组成部分。当公开招标文件与招标文件的澄清和修改就同一内容的表述不一致时，以最后发出的书面文件为准。</w:t>
      </w:r>
    </w:p>
    <w:p>
      <w:pPr>
        <w:spacing w:line="360" w:lineRule="auto"/>
        <w:rPr>
          <w:rFonts w:ascii="宋体" w:hAnsi="宋体"/>
          <w:b/>
          <w:bCs/>
          <w:kern w:val="0"/>
          <w:szCs w:val="21"/>
        </w:rPr>
      </w:pPr>
      <w:r>
        <w:rPr>
          <w:rFonts w:hint="eastAsia" w:ascii="宋体" w:hAnsi="宋体"/>
          <w:b/>
          <w:bCs/>
          <w:kern w:val="0"/>
          <w:szCs w:val="21"/>
        </w:rPr>
        <w:t>7.  招标文件的澄清和修改</w:t>
      </w:r>
    </w:p>
    <w:p>
      <w:pPr>
        <w:spacing w:line="360" w:lineRule="auto"/>
        <w:ind w:firstLine="420" w:firstLineChars="200"/>
        <w:rPr>
          <w:rFonts w:ascii="宋体" w:hAnsi="宋体"/>
          <w:kern w:val="0"/>
          <w:szCs w:val="21"/>
        </w:rPr>
      </w:pPr>
      <w:r>
        <w:rPr>
          <w:rFonts w:hint="eastAsia" w:ascii="宋体" w:hAnsi="宋体"/>
          <w:kern w:val="0"/>
          <w:szCs w:val="21"/>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spacing w:line="360" w:lineRule="auto"/>
        <w:ind w:firstLine="420" w:firstLineChars="200"/>
        <w:rPr>
          <w:rFonts w:ascii="宋体" w:hAnsi="宋体"/>
          <w:kern w:val="0"/>
          <w:szCs w:val="21"/>
        </w:rPr>
      </w:pPr>
      <w:r>
        <w:rPr>
          <w:rFonts w:hint="eastAsia" w:ascii="宋体" w:hAnsi="宋体"/>
          <w:kern w:val="0"/>
          <w:szCs w:val="21"/>
        </w:rPr>
        <w:t>7.2  采购人或采购代理机构必须在投标截止时间15日前，以书面形式答复投标人要求澄清的问题，并将不包含问题来源的澄清通知(在本章第2.1项规定的政府采购信息发布媒体上发布更正公告)所有获取招标文件的潜在投标人，除书面澄清以外的其他澄清方式及澄清内容均无效；如果澄清发出的时间距投标截止时间不足15日，则相应延长投标截止时间。</w:t>
      </w:r>
    </w:p>
    <w:p>
      <w:pPr>
        <w:spacing w:line="360" w:lineRule="auto"/>
        <w:ind w:firstLine="420" w:firstLineChars="200"/>
        <w:rPr>
          <w:rFonts w:ascii="宋体" w:hAnsi="宋体"/>
          <w:kern w:val="0"/>
          <w:szCs w:val="21"/>
        </w:rPr>
      </w:pPr>
      <w:r>
        <w:rPr>
          <w:rFonts w:hint="eastAsia" w:ascii="宋体" w:hAnsi="宋体"/>
          <w:kern w:val="0"/>
          <w:szCs w:val="21"/>
        </w:rPr>
        <w:t>7.3  采购人或者采购代理机构可以对已发出的招标文件进行必要的澄清或者修改。澄清或者修改的内容可能影响投标文件编制的，采购人或者采购代理机构应当在投标截止时间至少15日前，以书面形式通知(在本章第2.1项规定的政府采购信息发布媒体上发布更正公告)所有获取招标文件的潜在投标人；不足15日的，采购人或者采购代理机构应当顺延提交投标文件的截止时间。</w:t>
      </w:r>
    </w:p>
    <w:p>
      <w:pPr>
        <w:spacing w:line="360" w:lineRule="auto"/>
        <w:ind w:firstLine="420" w:firstLineChars="200"/>
        <w:rPr>
          <w:rFonts w:ascii="宋体" w:hAnsi="宋体"/>
          <w:kern w:val="0"/>
          <w:szCs w:val="21"/>
        </w:rPr>
      </w:pPr>
      <w:r>
        <w:rPr>
          <w:rFonts w:hint="eastAsia" w:ascii="宋体" w:hAnsi="宋体"/>
          <w:kern w:val="0"/>
          <w:szCs w:val="21"/>
        </w:rPr>
        <w:t>7.4  采购人和采购代理机构可以视采购具体情况，变更投标截止时间和开标时间，将变更时间书面通知(在本章第2.1项规定的政府采购信息发布媒体上发布更正公告)所有获取招标文件的潜在投标人。</w:t>
      </w:r>
    </w:p>
    <w:p>
      <w:pPr>
        <w:pStyle w:val="14"/>
        <w:spacing w:line="440" w:lineRule="exact"/>
        <w:ind w:left="2" w:firstLine="360"/>
        <w:rPr>
          <w:rFonts w:hAnsi="宋体"/>
          <w:b/>
          <w:bCs/>
        </w:rPr>
      </w:pPr>
    </w:p>
    <w:p>
      <w:pPr>
        <w:pStyle w:val="14"/>
        <w:spacing w:line="440" w:lineRule="exact"/>
        <w:ind w:left="2" w:firstLine="360"/>
        <w:rPr>
          <w:rFonts w:hAnsi="宋体"/>
        </w:rPr>
      </w:pPr>
    </w:p>
    <w:p>
      <w:pPr>
        <w:pStyle w:val="14"/>
        <w:spacing w:line="440" w:lineRule="exact"/>
        <w:ind w:left="2" w:firstLine="360"/>
        <w:rPr>
          <w:rFonts w:hAnsi="宋体"/>
        </w:rPr>
      </w:pPr>
    </w:p>
    <w:p>
      <w:pPr>
        <w:pStyle w:val="14"/>
        <w:spacing w:line="440" w:lineRule="exact"/>
        <w:ind w:left="2" w:firstLine="360"/>
        <w:rPr>
          <w:rFonts w:hAnsi="宋体"/>
        </w:rPr>
      </w:pPr>
    </w:p>
    <w:p>
      <w:pPr>
        <w:pStyle w:val="14"/>
        <w:spacing w:line="440" w:lineRule="exact"/>
        <w:ind w:left="2" w:firstLine="360"/>
        <w:rPr>
          <w:rFonts w:hAnsi="宋体"/>
        </w:rPr>
      </w:pPr>
    </w:p>
    <w:p>
      <w:pPr>
        <w:pStyle w:val="14"/>
        <w:jc w:val="center"/>
        <w:outlineLvl w:val="1"/>
        <w:rPr>
          <w:rFonts w:ascii="Times New Roman" w:hAnsi="Times New Roman"/>
          <w:b/>
          <w:sz w:val="30"/>
          <w:szCs w:val="30"/>
        </w:rPr>
        <w:sectPr>
          <w:headerReference r:id="rId5" w:type="default"/>
          <w:footerReference r:id="rId6" w:type="default"/>
          <w:pgSz w:w="11907" w:h="16840"/>
          <w:pgMar w:top="1134" w:right="1134" w:bottom="1134" w:left="1134" w:header="851" w:footer="794" w:gutter="0"/>
          <w:cols w:space="720" w:num="1"/>
          <w:docGrid w:type="linesAndChars" w:linePitch="312" w:charSpace="0"/>
        </w:sectPr>
      </w:pPr>
    </w:p>
    <w:p>
      <w:pPr>
        <w:spacing w:line="360" w:lineRule="auto"/>
        <w:jc w:val="center"/>
        <w:outlineLvl w:val="1"/>
        <w:rPr>
          <w:rFonts w:ascii="宋体" w:hAnsi="宋体"/>
          <w:b/>
          <w:kern w:val="0"/>
          <w:sz w:val="36"/>
          <w:szCs w:val="36"/>
        </w:rPr>
      </w:pPr>
      <w:bookmarkStart w:id="49" w:name="_Toc22473"/>
      <w:r>
        <w:rPr>
          <w:rFonts w:hint="eastAsia" w:ascii="宋体" w:hAnsi="宋体"/>
          <w:b/>
          <w:kern w:val="0"/>
          <w:sz w:val="36"/>
          <w:szCs w:val="36"/>
        </w:rPr>
        <w:t>三  投标文件</w:t>
      </w:r>
      <w:bookmarkEnd w:id="49"/>
    </w:p>
    <w:p>
      <w:pPr>
        <w:pStyle w:val="14"/>
        <w:spacing w:line="440" w:lineRule="exact"/>
        <w:rPr>
          <w:rFonts w:hAnsi="宋体"/>
          <w:b/>
          <w:bCs/>
          <w:sz w:val="21"/>
          <w:szCs w:val="21"/>
        </w:rPr>
      </w:pPr>
      <w:r>
        <w:rPr>
          <w:rFonts w:hint="eastAsia" w:hAnsi="宋体"/>
          <w:b/>
          <w:bCs/>
          <w:sz w:val="21"/>
          <w:szCs w:val="21"/>
        </w:rPr>
        <w:t>8.  投标文件的编制</w:t>
      </w:r>
    </w:p>
    <w:p>
      <w:pPr>
        <w:spacing w:line="360" w:lineRule="auto"/>
        <w:ind w:left="2" w:firstLine="418"/>
        <w:rPr>
          <w:rFonts w:ascii="宋体" w:hAnsi="宋体"/>
          <w:kern w:val="0"/>
          <w:szCs w:val="21"/>
        </w:rPr>
      </w:pPr>
      <w:r>
        <w:rPr>
          <w:rFonts w:hint="eastAsia" w:ascii="宋体" w:hAnsi="宋体"/>
          <w:kern w:val="0"/>
          <w:szCs w:val="21"/>
        </w:rPr>
        <w:t>8.1  投标人应仔细阅读招标文件，在充分了解招标的内容、货物内容及要求和商务条款以及实质性要求和条件后，编写投标文件。</w:t>
      </w:r>
    </w:p>
    <w:p>
      <w:pPr>
        <w:spacing w:line="360" w:lineRule="auto"/>
        <w:ind w:left="2" w:firstLine="418"/>
        <w:rPr>
          <w:rFonts w:ascii="宋体" w:hAnsi="宋体"/>
          <w:kern w:val="0"/>
          <w:szCs w:val="21"/>
        </w:rPr>
      </w:pPr>
      <w:r>
        <w:rPr>
          <w:rFonts w:hint="eastAsia" w:ascii="宋体" w:hAnsi="宋体"/>
          <w:kern w:val="0"/>
          <w:szCs w:val="21"/>
        </w:rPr>
        <w:t>8.2  对招标文件的实质性要求和条件作出响应是指投标人必须对招标文件中标注为实质性要求和条件的货物内容及要求、商务条款及其它内容作出满足或者优于原要求和条件的承诺。</w:t>
      </w:r>
    </w:p>
    <w:p>
      <w:pPr>
        <w:spacing w:line="360" w:lineRule="auto"/>
        <w:ind w:left="2" w:firstLine="418"/>
        <w:rPr>
          <w:rFonts w:ascii="宋体" w:hAnsi="宋体"/>
          <w:kern w:val="0"/>
          <w:szCs w:val="21"/>
        </w:rPr>
      </w:pPr>
      <w:r>
        <w:rPr>
          <w:rFonts w:hint="eastAsia" w:ascii="宋体" w:hAnsi="宋体"/>
          <w:kern w:val="0"/>
          <w:szCs w:val="21"/>
        </w:rPr>
        <w:t>8.3  招标文件中标注★号的内容为实质性要求和条件。未标注★号的内容在评标时不得作为判定投标无效的依据。</w:t>
      </w:r>
    </w:p>
    <w:p>
      <w:pPr>
        <w:spacing w:line="360" w:lineRule="auto"/>
        <w:ind w:left="2" w:firstLine="418"/>
        <w:rPr>
          <w:rFonts w:ascii="宋体" w:hAnsi="宋体"/>
          <w:kern w:val="0"/>
          <w:szCs w:val="21"/>
        </w:rPr>
      </w:pPr>
      <w:r>
        <w:rPr>
          <w:rFonts w:hint="eastAsia" w:ascii="宋体" w:hAnsi="宋体"/>
          <w:kern w:val="0"/>
          <w:szCs w:val="21"/>
        </w:rPr>
        <w:t>8.4  投标文件应用不褪色的材料书写或打印，保证其清楚、工整，相关材料的复印件应清晰可辨认。投标文件字迹潦草、表达不清、模糊无法辨认而导致非唯一理解是投标人的风险，很可能导致该投标无效。</w:t>
      </w:r>
    </w:p>
    <w:p>
      <w:pPr>
        <w:spacing w:line="360" w:lineRule="auto"/>
        <w:ind w:left="2" w:firstLine="418"/>
        <w:rPr>
          <w:rFonts w:ascii="宋体" w:hAnsi="宋体"/>
          <w:kern w:val="0"/>
          <w:szCs w:val="21"/>
        </w:rPr>
      </w:pPr>
      <w:r>
        <w:rPr>
          <w:rFonts w:hint="eastAsia" w:ascii="宋体" w:hAnsi="宋体"/>
          <w:kern w:val="0"/>
          <w:szCs w:val="21"/>
        </w:rPr>
        <w:t>8.5  第五章“投标文件格式”中规定了投标文件格式的，应按相应格式要求编写。</w:t>
      </w:r>
    </w:p>
    <w:p>
      <w:pPr>
        <w:spacing w:line="360" w:lineRule="auto"/>
        <w:ind w:left="2" w:firstLine="418"/>
        <w:rPr>
          <w:rFonts w:ascii="宋体" w:hAnsi="宋体"/>
          <w:kern w:val="0"/>
          <w:szCs w:val="21"/>
        </w:rPr>
      </w:pPr>
      <w:r>
        <w:rPr>
          <w:rFonts w:hint="eastAsia" w:ascii="宋体" w:hAnsi="宋体"/>
          <w:kern w:val="0"/>
          <w:szCs w:val="21"/>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spacing w:line="360" w:lineRule="auto"/>
        <w:ind w:left="2" w:firstLine="418"/>
        <w:rPr>
          <w:rFonts w:ascii="宋体" w:hAnsi="宋体"/>
          <w:kern w:val="0"/>
          <w:szCs w:val="21"/>
        </w:rPr>
      </w:pPr>
      <w:r>
        <w:rPr>
          <w:rFonts w:hint="eastAsia" w:ascii="宋体" w:hAnsi="宋体"/>
          <w:kern w:val="0"/>
          <w:szCs w:val="21"/>
        </w:rPr>
        <w:t>8.7  投标文件应编制目录，且页码清晰准确。</w:t>
      </w:r>
    </w:p>
    <w:p>
      <w:pPr>
        <w:spacing w:line="360" w:lineRule="auto"/>
        <w:ind w:left="2" w:firstLine="418"/>
        <w:rPr>
          <w:rFonts w:ascii="宋体" w:hAnsi="宋体"/>
          <w:kern w:val="0"/>
          <w:szCs w:val="21"/>
        </w:rPr>
      </w:pPr>
      <w:r>
        <w:rPr>
          <w:rFonts w:hint="eastAsia" w:ascii="宋体" w:hAnsi="宋体"/>
          <w:kern w:val="0"/>
          <w:szCs w:val="21"/>
        </w:rPr>
        <w:t>8.8  投标文件的正本和副本应分别装订成册，封面上应清楚地标记“正本”或“副本”字样，并标明项目名称、项目编号、投标人名称等内容。副本可以采用正本的复印件，当副本和正本不一致时，以正本为准。投标人应准备报价文件正本、资格文件正本、技术文件正本、商务文件正本各一份，副本份数见投标人须知前附表。</w:t>
      </w:r>
    </w:p>
    <w:p>
      <w:pPr>
        <w:pStyle w:val="14"/>
        <w:spacing w:line="440" w:lineRule="exact"/>
        <w:rPr>
          <w:rFonts w:hAnsi="宋体"/>
          <w:b/>
          <w:bCs/>
          <w:sz w:val="21"/>
          <w:szCs w:val="21"/>
        </w:rPr>
      </w:pPr>
      <w:r>
        <w:rPr>
          <w:rFonts w:hint="eastAsia" w:hAnsi="宋体"/>
          <w:b/>
          <w:bCs/>
          <w:sz w:val="21"/>
          <w:szCs w:val="21"/>
        </w:rPr>
        <w:t>9.  投标语言文字及计量单位</w:t>
      </w:r>
    </w:p>
    <w:p>
      <w:pPr>
        <w:spacing w:line="360" w:lineRule="auto"/>
        <w:ind w:left="2" w:firstLine="418"/>
        <w:rPr>
          <w:rFonts w:ascii="宋体" w:hAnsi="宋体"/>
          <w:kern w:val="0"/>
          <w:szCs w:val="21"/>
        </w:rPr>
      </w:pPr>
      <w:r>
        <w:rPr>
          <w:rFonts w:hint="eastAsia" w:ascii="宋体" w:hAnsi="宋体"/>
          <w:kern w:val="0"/>
          <w:szCs w:val="21"/>
        </w:rPr>
        <w:t>9.1  投标人的投标文件以及投标人与采购人、采购代理机构就有关投标的所有往来函电统一使用中文（特别规定除外）。</w:t>
      </w:r>
    </w:p>
    <w:p>
      <w:pPr>
        <w:spacing w:line="360" w:lineRule="auto"/>
        <w:ind w:left="2" w:firstLine="418"/>
        <w:rPr>
          <w:rFonts w:ascii="宋体" w:hAnsi="宋体"/>
          <w:kern w:val="0"/>
          <w:szCs w:val="21"/>
        </w:rPr>
      </w:pPr>
      <w:r>
        <w:rPr>
          <w:rFonts w:hint="eastAsia" w:ascii="宋体" w:hAnsi="宋体"/>
          <w:kern w:val="0"/>
          <w:szCs w:val="21"/>
        </w:rPr>
        <w:t>9.2  对不同文字文本投标文件的解释发生异议的，以中文文本为准。</w:t>
      </w:r>
    </w:p>
    <w:p>
      <w:pPr>
        <w:spacing w:line="360" w:lineRule="auto"/>
        <w:ind w:left="2" w:firstLine="418"/>
        <w:rPr>
          <w:rFonts w:ascii="宋体" w:hAnsi="宋体"/>
          <w:kern w:val="0"/>
          <w:szCs w:val="21"/>
        </w:rPr>
      </w:pPr>
      <w:r>
        <w:rPr>
          <w:rFonts w:hint="eastAsia" w:ascii="宋体" w:hAnsi="宋体"/>
          <w:kern w:val="0"/>
          <w:szCs w:val="21"/>
        </w:rPr>
        <w:t>9.3  投标文件使用的计量单位除招标文件中有特殊规定外，一律使用中华人民共和国法定计量单位。</w:t>
      </w:r>
    </w:p>
    <w:p>
      <w:pPr>
        <w:pStyle w:val="14"/>
        <w:spacing w:line="440" w:lineRule="exact"/>
        <w:rPr>
          <w:rFonts w:hAnsi="宋体"/>
          <w:b/>
          <w:bCs/>
          <w:sz w:val="21"/>
          <w:szCs w:val="21"/>
        </w:rPr>
      </w:pPr>
      <w:r>
        <w:rPr>
          <w:rFonts w:hint="eastAsia" w:hAnsi="宋体"/>
          <w:b/>
          <w:bCs/>
          <w:sz w:val="21"/>
          <w:szCs w:val="21"/>
        </w:rPr>
        <w:t>10.  投标文件的组成</w:t>
      </w:r>
    </w:p>
    <w:p>
      <w:pPr>
        <w:spacing w:line="360" w:lineRule="auto"/>
        <w:ind w:left="2" w:firstLine="418"/>
        <w:rPr>
          <w:rFonts w:ascii="宋体" w:hAnsi="宋体"/>
          <w:kern w:val="0"/>
          <w:szCs w:val="21"/>
        </w:rPr>
      </w:pPr>
      <w:r>
        <w:rPr>
          <w:rFonts w:hint="eastAsia" w:ascii="宋体" w:hAnsi="宋体"/>
          <w:kern w:val="0"/>
          <w:szCs w:val="21"/>
        </w:rPr>
        <w:t>10.1  投标人需编制的投标文件包括报价文件、资格文件、技术文件、商务文件四部分，投标人应按下列说明编写和提交。应递交的有关文件如未特别注明为原件的，可提交复印件。</w:t>
      </w:r>
    </w:p>
    <w:p>
      <w:pPr>
        <w:spacing w:line="360" w:lineRule="auto"/>
        <w:ind w:left="2" w:firstLine="418"/>
        <w:rPr>
          <w:rFonts w:ascii="宋体" w:hAnsi="宋体"/>
          <w:kern w:val="0"/>
          <w:szCs w:val="21"/>
        </w:rPr>
      </w:pPr>
      <w:r>
        <w:rPr>
          <w:rFonts w:hint="eastAsia" w:ascii="宋体" w:hAnsi="宋体"/>
          <w:kern w:val="0"/>
          <w:szCs w:val="21"/>
        </w:rPr>
        <w:t>10.1.1  报价文件，包括：</w:t>
      </w:r>
    </w:p>
    <w:p>
      <w:pPr>
        <w:spacing w:line="360" w:lineRule="auto"/>
        <w:ind w:left="2" w:firstLine="418"/>
        <w:rPr>
          <w:rFonts w:ascii="宋体" w:hAnsi="宋体"/>
          <w:kern w:val="0"/>
          <w:szCs w:val="21"/>
        </w:rPr>
      </w:pPr>
      <w:r>
        <w:rPr>
          <w:rFonts w:hint="eastAsia" w:ascii="宋体" w:hAnsi="宋体"/>
          <w:kern w:val="0"/>
          <w:szCs w:val="21"/>
        </w:rPr>
        <w:t>（1）投标函：按第五章“投标文件格式”提供的“投标函（格式）”的要求填写；</w:t>
      </w:r>
    </w:p>
    <w:p>
      <w:pPr>
        <w:spacing w:line="360" w:lineRule="auto"/>
        <w:ind w:left="2" w:firstLine="418"/>
        <w:rPr>
          <w:rFonts w:ascii="宋体" w:hAnsi="宋体"/>
          <w:kern w:val="0"/>
          <w:szCs w:val="21"/>
        </w:rPr>
      </w:pPr>
      <w:r>
        <w:rPr>
          <w:rFonts w:hint="eastAsia" w:ascii="宋体" w:hAnsi="宋体"/>
          <w:kern w:val="0"/>
          <w:szCs w:val="21"/>
        </w:rPr>
        <w:t>（2）投标报价表：按第五章“投标文件格式”提供的“投标报价表（格式）”的要求填写;</w:t>
      </w:r>
    </w:p>
    <w:p>
      <w:pPr>
        <w:spacing w:line="360" w:lineRule="auto"/>
        <w:ind w:left="2" w:firstLine="418"/>
        <w:rPr>
          <w:rFonts w:ascii="宋体" w:hAnsi="宋体"/>
          <w:kern w:val="0"/>
          <w:szCs w:val="21"/>
        </w:rPr>
      </w:pPr>
      <w:r>
        <w:rPr>
          <w:rFonts w:hint="eastAsia" w:ascii="宋体" w:hAnsi="宋体"/>
          <w:kern w:val="0"/>
          <w:szCs w:val="21"/>
        </w:rPr>
        <w:t>（3）中小企业声明函：按第五章“投标文件格式”提供的“中小企业声明函（格式）”的要求填写；</w:t>
      </w:r>
    </w:p>
    <w:p>
      <w:pPr>
        <w:spacing w:line="360" w:lineRule="auto"/>
        <w:ind w:left="2" w:firstLine="418"/>
        <w:rPr>
          <w:rFonts w:ascii="宋体" w:hAnsi="宋体"/>
          <w:kern w:val="0"/>
          <w:szCs w:val="21"/>
        </w:rPr>
      </w:pPr>
      <w:r>
        <w:rPr>
          <w:rFonts w:hint="eastAsia" w:ascii="宋体" w:hAnsi="宋体"/>
          <w:kern w:val="0"/>
          <w:szCs w:val="21"/>
        </w:rPr>
        <w:t>（4）广西工业产品声明函：按第五章“投标文件格式”提供的“广西工业产品声明函（格式）”的要求填写。</w:t>
      </w:r>
    </w:p>
    <w:p>
      <w:pPr>
        <w:spacing w:line="360" w:lineRule="auto"/>
        <w:ind w:left="2" w:firstLine="418"/>
        <w:rPr>
          <w:rFonts w:ascii="宋体" w:hAnsi="宋体"/>
          <w:kern w:val="0"/>
          <w:szCs w:val="21"/>
        </w:rPr>
      </w:pPr>
      <w:r>
        <w:rPr>
          <w:rFonts w:hint="eastAsia" w:ascii="宋体" w:hAnsi="宋体"/>
          <w:kern w:val="0"/>
          <w:szCs w:val="21"/>
        </w:rPr>
        <w:t>（5）投标人针对报价需要说明的其他文件和说明（格式自拟）。</w:t>
      </w:r>
    </w:p>
    <w:p>
      <w:pPr>
        <w:spacing w:line="360" w:lineRule="auto"/>
        <w:ind w:left="2" w:firstLine="418"/>
        <w:rPr>
          <w:rFonts w:ascii="宋体" w:hAnsi="宋体"/>
          <w:b/>
          <w:bCs/>
          <w:kern w:val="0"/>
          <w:szCs w:val="21"/>
        </w:rPr>
      </w:pPr>
      <w:r>
        <w:rPr>
          <w:rFonts w:hint="eastAsia" w:ascii="宋体" w:hAnsi="宋体"/>
          <w:b/>
          <w:bCs/>
          <w:kern w:val="0"/>
          <w:szCs w:val="21"/>
        </w:rPr>
        <w:t>其中，报价文件组成要求的第（1）～（2）项必须提交；第（3）～（5）项如有请提交。</w:t>
      </w:r>
    </w:p>
    <w:p>
      <w:pPr>
        <w:spacing w:line="360" w:lineRule="auto"/>
        <w:ind w:left="2" w:firstLine="418"/>
        <w:rPr>
          <w:rFonts w:ascii="宋体" w:hAnsi="宋体"/>
          <w:kern w:val="0"/>
          <w:szCs w:val="21"/>
        </w:rPr>
      </w:pPr>
      <w:r>
        <w:rPr>
          <w:rFonts w:hint="eastAsia" w:ascii="宋体" w:hAnsi="宋体"/>
          <w:kern w:val="0"/>
          <w:szCs w:val="21"/>
        </w:rPr>
        <w:t>10.1.2  资格文件，包括：</w:t>
      </w:r>
    </w:p>
    <w:p>
      <w:pPr>
        <w:spacing w:line="360" w:lineRule="auto"/>
        <w:ind w:left="2" w:firstLine="418"/>
        <w:rPr>
          <w:rFonts w:ascii="宋体" w:hAnsi="宋体"/>
          <w:kern w:val="0"/>
          <w:szCs w:val="21"/>
        </w:rPr>
      </w:pPr>
      <w:r>
        <w:rPr>
          <w:rFonts w:hint="eastAsia" w:ascii="宋体" w:hAnsi="宋体"/>
          <w:kern w:val="0"/>
          <w:szCs w:val="21"/>
        </w:rPr>
        <w:t>（1）资格声明函。按第五章“投标文件格式”提供的“资格声明函（格式）”的要求填写。对列入失信被执行人、重大税收违法案件当事人名单、政府采购严重违法失信行为记录名单的投标人，将被拒绝参与本项目政府采购活动。</w:t>
      </w:r>
    </w:p>
    <w:p>
      <w:pPr>
        <w:spacing w:line="360" w:lineRule="auto"/>
        <w:ind w:left="2" w:firstLine="418"/>
        <w:rPr>
          <w:rFonts w:ascii="宋体" w:hAnsi="宋体"/>
          <w:kern w:val="0"/>
          <w:szCs w:val="21"/>
        </w:rPr>
      </w:pPr>
      <w:r>
        <w:rPr>
          <w:rFonts w:hint="eastAsia" w:ascii="宋体" w:hAnsi="宋体"/>
          <w:kern w:val="0"/>
          <w:szCs w:val="21"/>
        </w:rPr>
        <w:t>（2）根据本章第3.2项规定的投标人应具备的特定条件提供包括营业执照副本内页或事业单位法人证复印件（投标人如为企业的，要求证件有效并清晰反映企业法人和经营范围）和投标人资格的其他证明文件复印件；</w:t>
      </w:r>
    </w:p>
    <w:p>
      <w:pPr>
        <w:spacing w:line="360" w:lineRule="auto"/>
        <w:ind w:left="2" w:firstLine="418"/>
        <w:rPr>
          <w:rFonts w:ascii="宋体" w:hAnsi="宋体"/>
          <w:kern w:val="0"/>
          <w:szCs w:val="21"/>
        </w:rPr>
      </w:pPr>
      <w:r>
        <w:rPr>
          <w:rFonts w:hint="eastAsia" w:ascii="宋体" w:hAnsi="宋体"/>
          <w:kern w:val="0"/>
          <w:szCs w:val="21"/>
        </w:rPr>
        <w:t xml:space="preserve">（3）法定代表人身份证明复印件：如使用第二代身份证应提交正、反面复印件，如法定代表人非中国国籍应提交护照复印件，要求证件有效并与营业执照或事业单位法人证中的法定代表人相符； </w:t>
      </w:r>
    </w:p>
    <w:p>
      <w:pPr>
        <w:pStyle w:val="14"/>
        <w:spacing w:line="440" w:lineRule="exact"/>
        <w:ind w:firstLine="720"/>
        <w:rPr>
          <w:rFonts w:hAnsi="宋体"/>
          <w:b/>
          <w:bCs/>
          <w:sz w:val="21"/>
          <w:szCs w:val="21"/>
        </w:rPr>
      </w:pPr>
      <w:r>
        <w:rPr>
          <w:rFonts w:hint="eastAsia" w:hAnsi="宋体"/>
          <w:b/>
          <w:bCs/>
          <w:sz w:val="21"/>
          <w:szCs w:val="21"/>
        </w:rPr>
        <w:t>其中，资格文件组成要求的第（1）～（3）项必须提交。</w:t>
      </w:r>
    </w:p>
    <w:p>
      <w:pPr>
        <w:spacing w:line="360" w:lineRule="auto"/>
        <w:ind w:left="2" w:firstLine="418"/>
        <w:rPr>
          <w:rFonts w:ascii="宋体" w:hAnsi="宋体"/>
          <w:kern w:val="0"/>
          <w:szCs w:val="21"/>
        </w:rPr>
      </w:pPr>
      <w:r>
        <w:rPr>
          <w:rFonts w:hint="eastAsia" w:ascii="宋体" w:hAnsi="宋体"/>
          <w:kern w:val="0"/>
          <w:szCs w:val="21"/>
        </w:rPr>
        <w:t>10.1.3 技术文件，包括：</w:t>
      </w:r>
    </w:p>
    <w:p>
      <w:pPr>
        <w:spacing w:line="360" w:lineRule="auto"/>
        <w:ind w:left="2" w:firstLine="418"/>
        <w:rPr>
          <w:rFonts w:ascii="宋体" w:hAnsi="宋体"/>
          <w:kern w:val="0"/>
          <w:szCs w:val="21"/>
        </w:rPr>
      </w:pPr>
      <w:r>
        <w:rPr>
          <w:rFonts w:hint="eastAsia" w:ascii="宋体" w:hAnsi="宋体"/>
          <w:kern w:val="0"/>
          <w:szCs w:val="21"/>
        </w:rPr>
        <w:t>（1）投标货物技术资料表：按第五章“投标文件格式”提供的“投标货物技术资料表（格式）”的要求填写；</w:t>
      </w:r>
    </w:p>
    <w:p>
      <w:pPr>
        <w:spacing w:line="360" w:lineRule="auto"/>
        <w:ind w:left="2" w:firstLine="418"/>
        <w:rPr>
          <w:rFonts w:ascii="宋体" w:hAnsi="宋体"/>
          <w:kern w:val="0"/>
          <w:szCs w:val="21"/>
        </w:rPr>
      </w:pPr>
      <w:r>
        <w:rPr>
          <w:rFonts w:hint="eastAsia" w:ascii="宋体" w:hAnsi="宋体"/>
          <w:kern w:val="0"/>
          <w:szCs w:val="21"/>
        </w:rPr>
        <w:t>（2）其它：针对本项目所投标货物的主要技术指标、参数及性能的详细说明，相关的图纸、图片，产品有效检测和鉴定证明复印件，等等。</w:t>
      </w:r>
    </w:p>
    <w:p>
      <w:pPr>
        <w:pStyle w:val="14"/>
        <w:spacing w:line="440" w:lineRule="exact"/>
        <w:ind w:firstLine="720"/>
        <w:rPr>
          <w:rFonts w:hAnsi="宋体"/>
          <w:b/>
          <w:bCs/>
          <w:sz w:val="21"/>
          <w:szCs w:val="21"/>
        </w:rPr>
      </w:pPr>
      <w:r>
        <w:rPr>
          <w:rFonts w:hint="eastAsia" w:hAnsi="宋体"/>
          <w:b/>
          <w:bCs/>
          <w:sz w:val="21"/>
          <w:szCs w:val="21"/>
        </w:rPr>
        <w:t>其中，技术文件组成要求的第（1）项必须提交；第（2）项如有请提交；</w:t>
      </w:r>
    </w:p>
    <w:p>
      <w:pPr>
        <w:spacing w:line="360" w:lineRule="auto"/>
        <w:ind w:left="2" w:firstLine="418"/>
        <w:rPr>
          <w:rFonts w:ascii="宋体" w:hAnsi="宋体"/>
          <w:kern w:val="0"/>
          <w:szCs w:val="21"/>
        </w:rPr>
      </w:pPr>
      <w:r>
        <w:rPr>
          <w:rFonts w:hint="eastAsia" w:ascii="宋体" w:hAnsi="宋体"/>
          <w:kern w:val="0"/>
          <w:szCs w:val="21"/>
        </w:rPr>
        <w:t>10.1.4  商务文件，包括：</w:t>
      </w:r>
    </w:p>
    <w:p>
      <w:pPr>
        <w:spacing w:line="360" w:lineRule="auto"/>
        <w:ind w:left="2" w:firstLine="418"/>
        <w:rPr>
          <w:rFonts w:ascii="宋体" w:hAnsi="宋体"/>
          <w:kern w:val="0"/>
          <w:szCs w:val="21"/>
        </w:rPr>
      </w:pPr>
      <w:r>
        <w:rPr>
          <w:rFonts w:hint="eastAsia" w:ascii="宋体" w:hAnsi="宋体"/>
          <w:kern w:val="0"/>
          <w:szCs w:val="21"/>
        </w:rPr>
        <w:t>（1）投标人最近一个季度或近期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w:t>
      </w:r>
    </w:p>
    <w:p>
      <w:pPr>
        <w:spacing w:line="360" w:lineRule="auto"/>
        <w:ind w:left="2" w:firstLine="418"/>
        <w:rPr>
          <w:rFonts w:ascii="宋体" w:hAnsi="宋体"/>
          <w:kern w:val="0"/>
          <w:szCs w:val="21"/>
        </w:rPr>
      </w:pPr>
      <w:r>
        <w:rPr>
          <w:rFonts w:hint="eastAsia" w:ascii="宋体" w:hAnsi="宋体"/>
          <w:kern w:val="0"/>
          <w:szCs w:val="21"/>
        </w:rPr>
        <w:t>（2）商务条款偏离表：按第五章“投标文件格式”提供的“商务条款偏离表（格式）” 的要求填写；</w:t>
      </w:r>
    </w:p>
    <w:p>
      <w:pPr>
        <w:spacing w:line="360" w:lineRule="auto"/>
        <w:ind w:left="2" w:firstLine="418"/>
        <w:rPr>
          <w:rFonts w:ascii="宋体" w:hAnsi="宋体"/>
          <w:kern w:val="0"/>
          <w:szCs w:val="21"/>
        </w:rPr>
      </w:pPr>
      <w:r>
        <w:rPr>
          <w:rFonts w:hint="eastAsia" w:ascii="宋体" w:hAnsi="宋体"/>
          <w:kern w:val="0"/>
          <w:szCs w:val="21"/>
        </w:rPr>
        <w:t>（3）售后服务承诺书：按第五章“投标文件格式”提供的“售后服务承诺书（格式）” 的要求填写；</w:t>
      </w:r>
    </w:p>
    <w:p>
      <w:pPr>
        <w:spacing w:line="360" w:lineRule="auto"/>
        <w:ind w:left="2" w:firstLine="418"/>
        <w:rPr>
          <w:rFonts w:ascii="宋体" w:hAnsi="宋体"/>
          <w:kern w:val="0"/>
          <w:szCs w:val="21"/>
        </w:rPr>
      </w:pPr>
      <w:r>
        <w:rPr>
          <w:rFonts w:hint="eastAsia" w:ascii="宋体" w:hAnsi="宋体"/>
          <w:kern w:val="0"/>
          <w:szCs w:val="21"/>
        </w:rPr>
        <w:t>（4）法定代表人授权委托书：按第五章“投标文件格式”提供的“法定代表人授权委托书（格式）”的要求填写；</w:t>
      </w:r>
    </w:p>
    <w:p>
      <w:pPr>
        <w:spacing w:line="360" w:lineRule="auto"/>
        <w:ind w:left="2" w:firstLine="418"/>
        <w:rPr>
          <w:rFonts w:ascii="宋体" w:hAnsi="宋体"/>
          <w:kern w:val="0"/>
          <w:szCs w:val="21"/>
        </w:rPr>
      </w:pPr>
      <w:r>
        <w:rPr>
          <w:rFonts w:hint="eastAsia" w:ascii="宋体" w:hAnsi="宋体"/>
          <w:kern w:val="0"/>
          <w:szCs w:val="21"/>
        </w:rPr>
        <w:t>（5）委托代理人身份证明复印件和社保缴费凭证复印件：如使用第二代身份证应提交正、反面复印件，如委托代理人非中国国籍应提交护照复印件，要求证件有效并与法定代表人授权委托书中的委托代理人相符；社保缴费凭证应清晰反映人员身份和缴费的信息；</w:t>
      </w:r>
    </w:p>
    <w:p>
      <w:pPr>
        <w:spacing w:line="360" w:lineRule="auto"/>
        <w:ind w:left="2" w:firstLine="418"/>
        <w:rPr>
          <w:rFonts w:ascii="宋体" w:hAnsi="宋体"/>
          <w:kern w:val="0"/>
          <w:szCs w:val="21"/>
        </w:rPr>
      </w:pPr>
      <w:r>
        <w:rPr>
          <w:rFonts w:hint="eastAsia" w:ascii="宋体" w:hAnsi="宋体"/>
          <w:kern w:val="0"/>
          <w:szCs w:val="21"/>
        </w:rPr>
        <w:t>（6）财务会计报表复印件：投标人近三年的财务会计报表，包括资产负债表、现金流量表、利润表、财务情况说明书和审计报告；</w:t>
      </w:r>
    </w:p>
    <w:p>
      <w:pPr>
        <w:spacing w:line="360" w:lineRule="auto"/>
        <w:ind w:left="2" w:firstLine="418"/>
        <w:rPr>
          <w:rFonts w:ascii="宋体" w:hAnsi="宋体"/>
          <w:kern w:val="0"/>
          <w:szCs w:val="21"/>
        </w:rPr>
      </w:pPr>
      <w:r>
        <w:rPr>
          <w:rFonts w:hint="eastAsia" w:ascii="宋体" w:hAnsi="宋体"/>
          <w:kern w:val="0"/>
          <w:szCs w:val="21"/>
        </w:rPr>
        <w:t>（7）其它：投标人通过国家或国际认证资格证书复印件、银行出具的投标人资信证明或信用等级证明复印件、投标人近三年同类服务的实际业绩证明（附中标通知书复印件或合同复印件）、投标产品近三年的质量获奖荣誉证书复印件、生产厂家的环保体系认证证书复印件、投标人近三年发生的诉讼及仲裁情况说明（附法院或仲裁机构作出的判决、裁决等有关法律文书复印件），等等。</w:t>
      </w:r>
    </w:p>
    <w:p>
      <w:pPr>
        <w:spacing w:line="360" w:lineRule="auto"/>
        <w:ind w:left="2" w:firstLine="418"/>
        <w:rPr>
          <w:rFonts w:ascii="宋体" w:hAnsi="宋体"/>
          <w:b/>
          <w:bCs/>
          <w:kern w:val="0"/>
          <w:szCs w:val="21"/>
        </w:rPr>
      </w:pPr>
      <w:r>
        <w:rPr>
          <w:rFonts w:hint="eastAsia" w:ascii="宋体" w:hAnsi="宋体"/>
          <w:b/>
          <w:bCs/>
          <w:kern w:val="0"/>
          <w:szCs w:val="21"/>
        </w:rPr>
        <w:t>其中，商务文件组成要求的第（1）～（2）项必须提交；第二章“项目采购需求一览表”中有售后服务要求的，第（3）项必须提交；第（4）、（5）项在委托代理时必须提交；第（6）、（7）项如有请提交。</w:t>
      </w:r>
    </w:p>
    <w:p>
      <w:pPr>
        <w:spacing w:line="360" w:lineRule="auto"/>
        <w:ind w:left="2" w:firstLine="418"/>
        <w:rPr>
          <w:rFonts w:ascii="宋体" w:hAnsi="宋体"/>
          <w:b/>
          <w:bCs/>
          <w:kern w:val="0"/>
          <w:szCs w:val="21"/>
        </w:rPr>
      </w:pPr>
      <w:r>
        <w:rPr>
          <w:rFonts w:hint="eastAsia" w:ascii="宋体" w:hAnsi="宋体"/>
          <w:b/>
          <w:bCs/>
          <w:kern w:val="0"/>
          <w:szCs w:val="21"/>
        </w:rPr>
        <w:t>10.2  投标人应编制目录，按上述顺序将报价文件、资格文件、技术文件、商务文件分别装订成册。特别注意投标报价不得出现在资格文件、技术文件、商务文件中。</w:t>
      </w:r>
    </w:p>
    <w:p>
      <w:pPr>
        <w:spacing w:line="360" w:lineRule="auto"/>
        <w:rPr>
          <w:rFonts w:ascii="宋体" w:hAnsi="宋体"/>
          <w:b/>
          <w:bCs/>
          <w:kern w:val="0"/>
          <w:szCs w:val="21"/>
        </w:rPr>
      </w:pPr>
      <w:r>
        <w:rPr>
          <w:rFonts w:hint="eastAsia" w:ascii="宋体" w:hAnsi="宋体"/>
          <w:b/>
          <w:bCs/>
          <w:kern w:val="0"/>
          <w:szCs w:val="21"/>
        </w:rPr>
        <w:t>11.  投标报价</w:t>
      </w:r>
    </w:p>
    <w:p>
      <w:pPr>
        <w:spacing w:line="360" w:lineRule="auto"/>
        <w:ind w:firstLine="420"/>
        <w:rPr>
          <w:rFonts w:ascii="宋体" w:hAnsi="宋体"/>
          <w:kern w:val="0"/>
          <w:szCs w:val="21"/>
        </w:rPr>
      </w:pPr>
      <w:r>
        <w:rPr>
          <w:rFonts w:hint="eastAsia" w:ascii="宋体" w:hAnsi="宋体"/>
          <w:kern w:val="0"/>
          <w:szCs w:val="21"/>
        </w:rPr>
        <w:t>11.1  投标人应以人民币报价。</w:t>
      </w:r>
    </w:p>
    <w:p>
      <w:pPr>
        <w:spacing w:line="360" w:lineRule="auto"/>
        <w:ind w:firstLine="420"/>
        <w:rPr>
          <w:rFonts w:ascii="宋体" w:hAnsi="宋体"/>
          <w:kern w:val="0"/>
          <w:szCs w:val="21"/>
        </w:rPr>
      </w:pPr>
      <w:r>
        <w:rPr>
          <w:rFonts w:hint="eastAsia" w:ascii="宋体" w:hAnsi="宋体"/>
          <w:kern w:val="0"/>
          <w:szCs w:val="21"/>
        </w:rPr>
        <w:t>11.2  投标人可就第二章“项目采购需求一览表”中的某一个分标内容报出完整且唯一报价，也可就某几个或所有分标内容分别报出完整且唯一报价，附带有条件的报价将不予接受。</w:t>
      </w:r>
    </w:p>
    <w:p>
      <w:pPr>
        <w:spacing w:line="360" w:lineRule="auto"/>
        <w:ind w:firstLine="420"/>
        <w:rPr>
          <w:rFonts w:ascii="宋体" w:hAnsi="宋体"/>
          <w:kern w:val="0"/>
          <w:szCs w:val="21"/>
        </w:rPr>
      </w:pPr>
      <w:r>
        <w:rPr>
          <w:rFonts w:hint="eastAsia" w:ascii="宋体" w:hAnsi="宋体"/>
          <w:kern w:val="0"/>
          <w:szCs w:val="21"/>
        </w:rPr>
        <w:t>11.3  投标报价为在采购人指定地点提交服务所需的全部费用，其组成部分详见第二章“项目需求一览表”。采购人不再向中标供应商支付其投标报价之外的任何费用。</w:t>
      </w:r>
    </w:p>
    <w:p>
      <w:pPr>
        <w:spacing w:line="360" w:lineRule="auto"/>
        <w:ind w:firstLine="420"/>
        <w:rPr>
          <w:rFonts w:ascii="宋体" w:hAnsi="宋体"/>
          <w:kern w:val="0"/>
          <w:szCs w:val="21"/>
        </w:rPr>
      </w:pPr>
      <w:r>
        <w:rPr>
          <w:rFonts w:hint="eastAsia" w:ascii="宋体" w:hAnsi="宋体"/>
          <w:kern w:val="0"/>
          <w:szCs w:val="21"/>
        </w:rPr>
        <w:t>11.4  本项目的采购代理服务费按物价部门核准的收费标准执行，见投标人须知前附表。</w:t>
      </w:r>
    </w:p>
    <w:p>
      <w:pPr>
        <w:spacing w:line="360" w:lineRule="auto"/>
        <w:ind w:firstLine="420"/>
        <w:rPr>
          <w:rFonts w:ascii="宋体" w:hAnsi="宋体"/>
          <w:kern w:val="0"/>
          <w:szCs w:val="21"/>
        </w:rPr>
      </w:pPr>
      <w:r>
        <w:rPr>
          <w:rFonts w:hint="eastAsia" w:ascii="宋体" w:hAnsi="宋体"/>
          <w:kern w:val="0"/>
          <w:szCs w:val="21"/>
        </w:rPr>
        <w:t>11.5  不论投标结果如何，投标人均应自行承担与编制和递交投标文件有关的全部费用。</w:t>
      </w:r>
    </w:p>
    <w:p>
      <w:pPr>
        <w:spacing w:line="360" w:lineRule="auto"/>
        <w:rPr>
          <w:rFonts w:ascii="宋体" w:hAnsi="宋体"/>
          <w:b/>
          <w:bCs/>
          <w:kern w:val="0"/>
          <w:szCs w:val="21"/>
        </w:rPr>
      </w:pPr>
      <w:r>
        <w:rPr>
          <w:rFonts w:hint="eastAsia" w:ascii="宋体" w:hAnsi="宋体"/>
          <w:b/>
          <w:bCs/>
          <w:kern w:val="0"/>
          <w:szCs w:val="21"/>
        </w:rPr>
        <w:t>12.  投标有效期</w:t>
      </w:r>
    </w:p>
    <w:p>
      <w:pPr>
        <w:spacing w:line="360" w:lineRule="auto"/>
        <w:ind w:firstLine="420"/>
        <w:rPr>
          <w:rFonts w:ascii="宋体" w:hAnsi="宋体"/>
          <w:kern w:val="0"/>
          <w:szCs w:val="21"/>
        </w:rPr>
      </w:pPr>
      <w:r>
        <w:rPr>
          <w:rFonts w:hint="eastAsia" w:ascii="宋体" w:hAnsi="宋体"/>
          <w:kern w:val="0"/>
          <w:szCs w:val="21"/>
        </w:rPr>
        <w:t>12.1  在投标人须知前附表规定的投标有效期内，投标人不得要求撤销或修改其投标文件。</w:t>
      </w:r>
    </w:p>
    <w:p>
      <w:pPr>
        <w:spacing w:line="360" w:lineRule="auto"/>
        <w:ind w:firstLine="420"/>
        <w:rPr>
          <w:rFonts w:ascii="宋体" w:hAnsi="宋体"/>
          <w:kern w:val="0"/>
          <w:szCs w:val="21"/>
        </w:rPr>
      </w:pPr>
      <w:r>
        <w:rPr>
          <w:rFonts w:hint="eastAsia" w:ascii="宋体" w:hAnsi="宋体"/>
          <w:kern w:val="0"/>
          <w:szCs w:val="21"/>
        </w:rPr>
        <w:t>12.2  在特殊情况下，采购人或采购代理机构可与投标人协商延长投标有效期，这种要求与答复均应使用书面形式。投标人同意延长的不得要求或被允许修改或撤销其投标文件。</w:t>
      </w:r>
    </w:p>
    <w:p>
      <w:pPr>
        <w:pStyle w:val="14"/>
        <w:spacing w:line="440" w:lineRule="exact"/>
        <w:jc w:val="center"/>
        <w:rPr>
          <w:rFonts w:hAnsi="宋体"/>
          <w:b/>
          <w:bCs/>
        </w:rPr>
      </w:pPr>
    </w:p>
    <w:p>
      <w:pPr>
        <w:spacing w:line="360" w:lineRule="auto"/>
        <w:jc w:val="center"/>
        <w:outlineLvl w:val="1"/>
        <w:rPr>
          <w:rFonts w:ascii="宋体" w:hAnsi="宋体"/>
          <w:b/>
          <w:kern w:val="0"/>
          <w:sz w:val="36"/>
          <w:szCs w:val="36"/>
        </w:rPr>
      </w:pPr>
      <w:bookmarkStart w:id="50" w:name="_Toc10011"/>
      <w:r>
        <w:rPr>
          <w:rFonts w:hint="eastAsia" w:ascii="宋体" w:hAnsi="宋体"/>
          <w:b/>
          <w:kern w:val="0"/>
          <w:sz w:val="36"/>
          <w:szCs w:val="36"/>
        </w:rPr>
        <w:t>四   投标</w:t>
      </w:r>
      <w:bookmarkEnd w:id="50"/>
    </w:p>
    <w:p>
      <w:pPr>
        <w:spacing w:line="360" w:lineRule="auto"/>
        <w:rPr>
          <w:rFonts w:ascii="宋体" w:hAnsi="宋体"/>
          <w:b/>
          <w:bCs/>
          <w:kern w:val="0"/>
          <w:szCs w:val="21"/>
        </w:rPr>
      </w:pPr>
      <w:r>
        <w:rPr>
          <w:rFonts w:hint="eastAsia" w:ascii="宋体" w:hAnsi="宋体"/>
          <w:b/>
          <w:bCs/>
          <w:kern w:val="0"/>
          <w:szCs w:val="21"/>
        </w:rPr>
        <w:t>13.  投标文件的密封及投标文件与投标样品的递交</w:t>
      </w:r>
    </w:p>
    <w:p>
      <w:pPr>
        <w:spacing w:line="360" w:lineRule="auto"/>
        <w:ind w:firstLine="420" w:firstLineChars="200"/>
        <w:rPr>
          <w:rFonts w:ascii="宋体" w:hAnsi="宋体"/>
          <w:kern w:val="0"/>
          <w:szCs w:val="21"/>
        </w:rPr>
      </w:pPr>
      <w:r>
        <w:rPr>
          <w:rFonts w:hint="eastAsia" w:ascii="宋体" w:hAnsi="宋体"/>
          <w:kern w:val="0"/>
          <w:szCs w:val="21"/>
        </w:rPr>
        <w:t>13.1投标人应将投标正、副本文件进行密封包装。</w:t>
      </w:r>
    </w:p>
    <w:p>
      <w:pPr>
        <w:spacing w:line="360" w:lineRule="auto"/>
        <w:ind w:firstLine="420" w:firstLineChars="200"/>
        <w:rPr>
          <w:rFonts w:ascii="宋体" w:hAnsi="宋体"/>
          <w:kern w:val="0"/>
          <w:szCs w:val="21"/>
        </w:rPr>
      </w:pPr>
      <w:r>
        <w:rPr>
          <w:rFonts w:hint="eastAsia" w:ascii="宋体" w:hAnsi="宋体"/>
          <w:kern w:val="0"/>
          <w:szCs w:val="21"/>
        </w:rPr>
        <w:t>13.2  投标人投标截止时间：见投标人须知前附表。</w:t>
      </w:r>
    </w:p>
    <w:p>
      <w:pPr>
        <w:spacing w:line="360" w:lineRule="auto"/>
        <w:ind w:firstLine="420" w:firstLineChars="200"/>
        <w:rPr>
          <w:rFonts w:ascii="宋体" w:hAnsi="宋体"/>
          <w:kern w:val="0"/>
          <w:szCs w:val="21"/>
        </w:rPr>
      </w:pPr>
      <w:r>
        <w:rPr>
          <w:rFonts w:hint="eastAsia" w:ascii="宋体" w:hAnsi="宋体"/>
          <w:kern w:val="0"/>
          <w:szCs w:val="21"/>
        </w:rPr>
        <w:t>13.3  投标人递交投标文件地点：见投标人须知前附表。</w:t>
      </w:r>
    </w:p>
    <w:p>
      <w:pPr>
        <w:spacing w:line="360" w:lineRule="auto"/>
        <w:ind w:firstLine="420" w:firstLineChars="200"/>
        <w:rPr>
          <w:rFonts w:ascii="宋体" w:hAnsi="宋体"/>
          <w:kern w:val="0"/>
          <w:szCs w:val="21"/>
        </w:rPr>
      </w:pPr>
      <w:r>
        <w:rPr>
          <w:rFonts w:hint="eastAsia" w:ascii="宋体" w:hAnsi="宋体"/>
          <w:kern w:val="0"/>
          <w:szCs w:val="21"/>
        </w:rPr>
        <w:t>13.4  投标人递交投标样品截止时间：见投标人须知前附表。</w:t>
      </w:r>
    </w:p>
    <w:p>
      <w:pPr>
        <w:spacing w:line="360" w:lineRule="auto"/>
        <w:ind w:firstLine="420" w:firstLineChars="200"/>
        <w:rPr>
          <w:rFonts w:ascii="宋体" w:hAnsi="宋体"/>
          <w:kern w:val="0"/>
          <w:szCs w:val="21"/>
        </w:rPr>
      </w:pPr>
      <w:r>
        <w:rPr>
          <w:rFonts w:hint="eastAsia" w:ascii="宋体" w:hAnsi="宋体"/>
          <w:kern w:val="0"/>
          <w:szCs w:val="21"/>
        </w:rPr>
        <w:t>13.5 投标人递交投标样品地点：见投标人须知前附表。</w:t>
      </w:r>
    </w:p>
    <w:p>
      <w:pPr>
        <w:pStyle w:val="14"/>
        <w:spacing w:line="440" w:lineRule="exact"/>
        <w:jc w:val="center"/>
        <w:rPr>
          <w:rFonts w:hAnsi="宋体"/>
        </w:rPr>
      </w:pPr>
    </w:p>
    <w:p>
      <w:pPr>
        <w:pStyle w:val="14"/>
        <w:jc w:val="center"/>
        <w:outlineLvl w:val="1"/>
        <w:rPr>
          <w:rFonts w:ascii="Times New Roman" w:hAnsi="Times New Roman"/>
          <w:b/>
          <w:sz w:val="30"/>
          <w:szCs w:val="30"/>
        </w:rPr>
      </w:pPr>
      <w:bookmarkStart w:id="51" w:name="_Toc9475"/>
      <w:r>
        <w:rPr>
          <w:rFonts w:hint="eastAsia" w:ascii="Times New Roman" w:hAnsi="Times New Roman"/>
          <w:b/>
          <w:sz w:val="30"/>
          <w:szCs w:val="30"/>
        </w:rPr>
        <w:t>五开标</w:t>
      </w:r>
      <w:r>
        <w:rPr>
          <w:rFonts w:hint="eastAsia"/>
          <w:b/>
          <w:sz w:val="30"/>
          <w:szCs w:val="30"/>
        </w:rPr>
        <w:t>、资格审查</w:t>
      </w:r>
      <w:r>
        <w:rPr>
          <w:rFonts w:hint="eastAsia" w:ascii="Times New Roman" w:hAnsi="Times New Roman"/>
          <w:b/>
          <w:sz w:val="30"/>
          <w:szCs w:val="30"/>
        </w:rPr>
        <w:t>与评标</w:t>
      </w:r>
      <w:bookmarkEnd w:id="51"/>
    </w:p>
    <w:p>
      <w:pPr>
        <w:spacing w:line="360" w:lineRule="auto"/>
        <w:rPr>
          <w:rFonts w:ascii="宋体" w:hAnsi="宋体"/>
          <w:b/>
          <w:bCs/>
          <w:kern w:val="0"/>
          <w:szCs w:val="21"/>
        </w:rPr>
      </w:pPr>
      <w:r>
        <w:rPr>
          <w:rFonts w:hint="eastAsia" w:ascii="宋体" w:hAnsi="宋体"/>
          <w:b/>
          <w:bCs/>
          <w:kern w:val="0"/>
          <w:szCs w:val="21"/>
        </w:rPr>
        <w:t>14.  开标</w:t>
      </w:r>
    </w:p>
    <w:p>
      <w:pPr>
        <w:spacing w:line="360" w:lineRule="auto"/>
        <w:ind w:firstLine="420" w:firstLineChars="200"/>
        <w:rPr>
          <w:rFonts w:ascii="宋体" w:hAnsi="宋体"/>
          <w:kern w:val="0"/>
          <w:szCs w:val="21"/>
        </w:rPr>
      </w:pPr>
      <w:r>
        <w:rPr>
          <w:rFonts w:hint="eastAsia" w:ascii="宋体" w:hAnsi="宋体"/>
          <w:kern w:val="0"/>
          <w:szCs w:val="21"/>
        </w:rPr>
        <w:t>14.1  采购代理机构将在本章第13.2项规定的开标时间和投标人须知前附表规定的地点公开开标。</w:t>
      </w:r>
    </w:p>
    <w:p>
      <w:pPr>
        <w:spacing w:line="360" w:lineRule="auto"/>
        <w:ind w:firstLine="420" w:firstLineChars="200"/>
        <w:rPr>
          <w:rFonts w:ascii="宋体" w:hAnsi="宋体"/>
          <w:kern w:val="0"/>
          <w:szCs w:val="21"/>
        </w:rPr>
      </w:pPr>
      <w:r>
        <w:rPr>
          <w:rFonts w:hint="eastAsia" w:ascii="宋体" w:hAnsi="宋体"/>
          <w:kern w:val="0"/>
          <w:szCs w:val="21"/>
        </w:rPr>
        <w:t>疫情防控期间，本项目实行“不见面”开标方式。</w:t>
      </w:r>
    </w:p>
    <w:p>
      <w:pPr>
        <w:spacing w:line="360" w:lineRule="auto"/>
        <w:rPr>
          <w:rFonts w:ascii="宋体" w:hAnsi="宋体"/>
          <w:b/>
          <w:bCs/>
          <w:kern w:val="0"/>
          <w:szCs w:val="21"/>
        </w:rPr>
      </w:pPr>
      <w:r>
        <w:rPr>
          <w:rFonts w:hint="eastAsia" w:ascii="宋体" w:hAnsi="宋体"/>
          <w:b/>
          <w:bCs/>
          <w:kern w:val="0"/>
          <w:szCs w:val="21"/>
        </w:rPr>
        <w:t>14.2  开标程序：</w:t>
      </w:r>
    </w:p>
    <w:p>
      <w:pPr>
        <w:spacing w:line="360" w:lineRule="auto"/>
        <w:ind w:firstLine="420" w:firstLineChars="200"/>
        <w:rPr>
          <w:rFonts w:ascii="宋体" w:hAnsi="宋体"/>
          <w:kern w:val="0"/>
          <w:szCs w:val="21"/>
        </w:rPr>
      </w:pPr>
      <w:r>
        <w:rPr>
          <w:rFonts w:hint="eastAsia" w:ascii="宋体" w:hAnsi="宋体"/>
          <w:kern w:val="0"/>
          <w:szCs w:val="21"/>
        </w:rPr>
        <w:t>（1）开标会由采购代理机构主持，主持人宣布开标会议开始，介绍开标现场相关人员；</w:t>
      </w:r>
    </w:p>
    <w:p>
      <w:pPr>
        <w:spacing w:line="360" w:lineRule="auto"/>
        <w:ind w:firstLine="420" w:firstLineChars="200"/>
        <w:rPr>
          <w:rFonts w:ascii="宋体" w:hAnsi="宋体"/>
          <w:kern w:val="0"/>
          <w:szCs w:val="21"/>
        </w:rPr>
      </w:pPr>
      <w:r>
        <w:rPr>
          <w:rFonts w:hint="eastAsia" w:ascii="宋体" w:hAnsi="宋体"/>
          <w:kern w:val="0"/>
          <w:szCs w:val="21"/>
        </w:rPr>
        <w:t>（2）公布在投标截止时间前递交投标文件的投标人名称；</w:t>
      </w:r>
    </w:p>
    <w:p>
      <w:pPr>
        <w:spacing w:line="360" w:lineRule="auto"/>
        <w:ind w:firstLine="420" w:firstLineChars="200"/>
        <w:rPr>
          <w:rFonts w:ascii="宋体" w:hAnsi="宋体"/>
          <w:kern w:val="0"/>
          <w:szCs w:val="21"/>
        </w:rPr>
      </w:pPr>
      <w:r>
        <w:rPr>
          <w:rFonts w:hint="eastAsia" w:ascii="宋体" w:hAnsi="宋体"/>
          <w:kern w:val="0"/>
          <w:szCs w:val="21"/>
        </w:rPr>
        <w:t>（3）采购代理机构和采购人按本章第13.1项的规定交叉检查投标文件的密封情况，并签字确认；</w:t>
      </w:r>
    </w:p>
    <w:p>
      <w:pPr>
        <w:spacing w:line="360" w:lineRule="auto"/>
        <w:ind w:firstLine="420" w:firstLineChars="200"/>
        <w:rPr>
          <w:rFonts w:ascii="宋体" w:hAnsi="宋体"/>
          <w:kern w:val="0"/>
          <w:szCs w:val="21"/>
        </w:rPr>
      </w:pPr>
      <w:r>
        <w:rPr>
          <w:rFonts w:hint="eastAsia" w:ascii="宋体" w:hAnsi="宋体"/>
          <w:kern w:val="0"/>
          <w:szCs w:val="21"/>
        </w:rPr>
        <w:t>（4）当众拆封投标文件，由唱标人宣读投标人名称、分标名称、投标文件正副本数量、投标报价、交货期等以及采购代理机构认为有必要宣读的其他内容，记录人负责做开标记录；</w:t>
      </w:r>
    </w:p>
    <w:p>
      <w:pPr>
        <w:spacing w:line="360" w:lineRule="auto"/>
        <w:ind w:firstLine="420" w:firstLineChars="200"/>
        <w:rPr>
          <w:rFonts w:ascii="宋体" w:hAnsi="宋体"/>
          <w:kern w:val="0"/>
          <w:szCs w:val="21"/>
        </w:rPr>
      </w:pPr>
      <w:r>
        <w:rPr>
          <w:rFonts w:hint="eastAsia" w:ascii="宋体" w:hAnsi="宋体"/>
          <w:kern w:val="0"/>
          <w:szCs w:val="21"/>
        </w:rPr>
        <w:t>（5）相关人员在开标记录上签字确认；</w:t>
      </w:r>
    </w:p>
    <w:p>
      <w:pPr>
        <w:spacing w:line="360" w:lineRule="auto"/>
        <w:ind w:firstLine="420" w:firstLineChars="200"/>
        <w:rPr>
          <w:rFonts w:ascii="宋体" w:hAnsi="宋体"/>
          <w:kern w:val="0"/>
          <w:szCs w:val="21"/>
        </w:rPr>
      </w:pPr>
      <w:r>
        <w:rPr>
          <w:rFonts w:hint="eastAsia" w:ascii="宋体" w:hAnsi="宋体"/>
          <w:kern w:val="0"/>
          <w:szCs w:val="21"/>
        </w:rPr>
        <w:t>（6）宣布评标期间的有关事项；</w:t>
      </w:r>
    </w:p>
    <w:p>
      <w:pPr>
        <w:spacing w:line="360" w:lineRule="auto"/>
        <w:ind w:firstLine="420" w:firstLineChars="200"/>
        <w:rPr>
          <w:rFonts w:ascii="宋体" w:hAnsi="宋体"/>
          <w:kern w:val="0"/>
          <w:szCs w:val="21"/>
        </w:rPr>
      </w:pPr>
      <w:r>
        <w:rPr>
          <w:rFonts w:hint="eastAsia" w:ascii="宋体" w:hAnsi="宋体"/>
          <w:kern w:val="0"/>
          <w:szCs w:val="21"/>
        </w:rPr>
        <w:t>（7）开标结束。</w:t>
      </w:r>
    </w:p>
    <w:p>
      <w:pPr>
        <w:spacing w:line="360" w:lineRule="auto"/>
        <w:rPr>
          <w:rFonts w:ascii="宋体" w:hAnsi="宋体"/>
          <w:b/>
          <w:bCs/>
          <w:kern w:val="0"/>
          <w:szCs w:val="21"/>
        </w:rPr>
      </w:pPr>
      <w:r>
        <w:rPr>
          <w:rFonts w:hint="eastAsia" w:ascii="宋体" w:hAnsi="宋体"/>
          <w:b/>
          <w:bCs/>
          <w:kern w:val="0"/>
          <w:szCs w:val="21"/>
        </w:rPr>
        <w:t>15.资格审查</w:t>
      </w:r>
    </w:p>
    <w:p>
      <w:pPr>
        <w:spacing w:line="360" w:lineRule="auto"/>
        <w:ind w:firstLine="420" w:firstLineChars="200"/>
        <w:rPr>
          <w:rFonts w:ascii="宋体" w:hAnsi="宋体"/>
          <w:kern w:val="0"/>
          <w:szCs w:val="21"/>
        </w:rPr>
      </w:pPr>
      <w:r>
        <w:rPr>
          <w:rFonts w:hint="eastAsia" w:ascii="宋体" w:hAnsi="宋体"/>
          <w:kern w:val="0"/>
          <w:szCs w:val="21"/>
        </w:rPr>
        <w:t>采购人依据法律法规和招标文件的规定，对投标文件中的资格文件进行审查，以确定投标供应商是否具备投标资格。合格投标人不足3家的，不得评标。</w:t>
      </w:r>
    </w:p>
    <w:p>
      <w:pPr>
        <w:spacing w:line="360" w:lineRule="auto"/>
        <w:rPr>
          <w:rFonts w:ascii="宋体" w:hAnsi="宋体"/>
          <w:b/>
          <w:bCs/>
          <w:kern w:val="0"/>
          <w:szCs w:val="21"/>
        </w:rPr>
      </w:pPr>
      <w:r>
        <w:rPr>
          <w:rFonts w:hint="eastAsia" w:ascii="宋体" w:hAnsi="宋体"/>
          <w:b/>
          <w:bCs/>
          <w:kern w:val="0"/>
          <w:szCs w:val="21"/>
        </w:rPr>
        <w:t>16. 评标</w:t>
      </w:r>
    </w:p>
    <w:p>
      <w:pPr>
        <w:spacing w:line="360" w:lineRule="auto"/>
        <w:ind w:firstLine="420" w:firstLineChars="200"/>
        <w:rPr>
          <w:rFonts w:ascii="宋体" w:hAnsi="宋体"/>
          <w:kern w:val="0"/>
          <w:szCs w:val="21"/>
        </w:rPr>
      </w:pPr>
      <w:r>
        <w:rPr>
          <w:rFonts w:hint="eastAsia" w:ascii="宋体" w:hAnsi="宋体"/>
          <w:kern w:val="0"/>
          <w:szCs w:val="21"/>
        </w:rPr>
        <w:t>16.1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spacing w:line="360" w:lineRule="auto"/>
        <w:ind w:firstLine="420" w:firstLineChars="200"/>
        <w:rPr>
          <w:rFonts w:ascii="宋体" w:hAnsi="宋体"/>
          <w:kern w:val="0"/>
          <w:szCs w:val="21"/>
        </w:rPr>
      </w:pPr>
      <w:r>
        <w:rPr>
          <w:rFonts w:hint="eastAsia" w:ascii="宋体" w:hAnsi="宋体"/>
          <w:kern w:val="0"/>
          <w:szCs w:val="21"/>
        </w:rPr>
        <w:t>16.2  评标原则：评标活动遵循公平、公正、科学和择优的原则。</w:t>
      </w:r>
    </w:p>
    <w:p>
      <w:pPr>
        <w:spacing w:line="360" w:lineRule="auto"/>
        <w:ind w:firstLine="420" w:firstLineChars="200"/>
        <w:rPr>
          <w:rFonts w:ascii="宋体" w:hAnsi="宋体"/>
          <w:kern w:val="0"/>
          <w:szCs w:val="21"/>
        </w:rPr>
      </w:pPr>
      <w:r>
        <w:rPr>
          <w:rFonts w:hint="eastAsia" w:ascii="宋体" w:hAnsi="宋体"/>
          <w:kern w:val="0"/>
          <w:szCs w:val="21"/>
        </w:rPr>
        <w:t>16.3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spacing w:line="360" w:lineRule="auto"/>
        <w:ind w:firstLine="420" w:firstLineChars="200"/>
        <w:rPr>
          <w:rFonts w:ascii="宋体" w:hAnsi="宋体"/>
          <w:kern w:val="0"/>
          <w:szCs w:val="21"/>
        </w:rPr>
      </w:pPr>
      <w:r>
        <w:rPr>
          <w:rFonts w:hint="eastAsia" w:ascii="宋体" w:hAnsi="宋体"/>
          <w:kern w:val="0"/>
          <w:szCs w:val="21"/>
        </w:rPr>
        <w:t>16.4  评标程序：</w:t>
      </w:r>
    </w:p>
    <w:p>
      <w:pPr>
        <w:spacing w:line="360" w:lineRule="auto"/>
        <w:ind w:firstLine="420" w:firstLineChars="200"/>
        <w:rPr>
          <w:rFonts w:ascii="宋体" w:hAnsi="宋体"/>
          <w:kern w:val="0"/>
          <w:szCs w:val="21"/>
        </w:rPr>
      </w:pPr>
      <w:r>
        <w:rPr>
          <w:rFonts w:hint="eastAsia" w:ascii="宋体" w:hAnsi="宋体"/>
          <w:kern w:val="0"/>
          <w:szCs w:val="21"/>
        </w:rPr>
        <w:t>16.4.1  采购代理机构项目负责人宣读评标现场纪律要求，集中管理通讯工具，询问在场人员是否申请回避；</w:t>
      </w:r>
    </w:p>
    <w:p>
      <w:pPr>
        <w:spacing w:line="360" w:lineRule="auto"/>
        <w:ind w:firstLine="420" w:firstLineChars="200"/>
        <w:rPr>
          <w:rFonts w:ascii="宋体" w:hAnsi="宋体"/>
          <w:kern w:val="0"/>
          <w:szCs w:val="21"/>
        </w:rPr>
      </w:pPr>
      <w:r>
        <w:rPr>
          <w:rFonts w:hint="eastAsia" w:ascii="宋体" w:hAnsi="宋体"/>
          <w:kern w:val="0"/>
          <w:szCs w:val="21"/>
        </w:rPr>
        <w:t>16.4.2  采购代理机构项目负责人介绍项目概况及评标委员会组成情况（但不得发表影响评审的倾向性、歧视性言论），推选评标组长（原则上采购人不得担任评标组长）；</w:t>
      </w:r>
    </w:p>
    <w:p>
      <w:pPr>
        <w:spacing w:line="360" w:lineRule="auto"/>
        <w:ind w:firstLine="420" w:firstLineChars="200"/>
        <w:rPr>
          <w:rFonts w:ascii="宋体" w:hAnsi="宋体"/>
          <w:kern w:val="0"/>
          <w:szCs w:val="21"/>
        </w:rPr>
      </w:pPr>
      <w:r>
        <w:rPr>
          <w:rFonts w:hint="eastAsia" w:ascii="宋体" w:hAnsi="宋体"/>
          <w:kern w:val="0"/>
          <w:szCs w:val="21"/>
        </w:rPr>
        <w:t>16.4.3  评标委员会按分工开展评标工作：</w:t>
      </w:r>
    </w:p>
    <w:p>
      <w:pPr>
        <w:spacing w:line="360" w:lineRule="auto"/>
        <w:ind w:firstLine="420" w:firstLineChars="200"/>
        <w:rPr>
          <w:rFonts w:ascii="宋体" w:hAnsi="宋体"/>
          <w:kern w:val="0"/>
          <w:szCs w:val="21"/>
        </w:rPr>
      </w:pPr>
      <w:r>
        <w:rPr>
          <w:rFonts w:hint="eastAsia" w:ascii="宋体" w:hAnsi="宋体"/>
          <w:kern w:val="0"/>
          <w:szCs w:val="21"/>
        </w:rPr>
        <w:t>16.4.3.1投标文件初审。符合性检查：依据招标文件的规定，从投标文件的有效性、完整性和对招标文件的响应程度进行审查，以确定是否对招标文件的实质性要求和条件作出响应。</w:t>
      </w:r>
    </w:p>
    <w:p>
      <w:pPr>
        <w:spacing w:line="360" w:lineRule="auto"/>
        <w:ind w:firstLine="420" w:firstLineChars="200"/>
        <w:rPr>
          <w:rFonts w:ascii="宋体" w:hAnsi="宋体"/>
          <w:kern w:val="0"/>
          <w:szCs w:val="21"/>
        </w:rPr>
      </w:pPr>
      <w:r>
        <w:rPr>
          <w:rFonts w:hint="eastAsia" w:ascii="宋体" w:hAnsi="宋体"/>
          <w:kern w:val="0"/>
          <w:szCs w:val="21"/>
        </w:rPr>
        <w:t>(1)有下列情形之一的视为投标人相互串通投标，投标文件将被视为无效。</w:t>
      </w:r>
    </w:p>
    <w:p>
      <w:pPr>
        <w:spacing w:line="360" w:lineRule="auto"/>
        <w:ind w:firstLine="420" w:firstLineChars="200"/>
        <w:rPr>
          <w:rFonts w:ascii="宋体" w:hAnsi="宋体"/>
          <w:kern w:val="0"/>
          <w:szCs w:val="21"/>
        </w:rPr>
      </w:pPr>
      <w:r>
        <w:rPr>
          <w:rFonts w:hint="eastAsia" w:ascii="宋体" w:hAnsi="宋体"/>
          <w:kern w:val="0"/>
          <w:szCs w:val="21"/>
        </w:rPr>
        <w:t>①不同投标人的投标文件由同一单位或者个人编制；或不同投标人报名的IP地址一致的;</w:t>
      </w:r>
    </w:p>
    <w:p>
      <w:pPr>
        <w:spacing w:line="360" w:lineRule="auto"/>
        <w:ind w:firstLine="420" w:firstLineChars="200"/>
        <w:rPr>
          <w:rFonts w:ascii="宋体" w:hAnsi="宋体"/>
          <w:kern w:val="0"/>
          <w:szCs w:val="21"/>
        </w:rPr>
      </w:pPr>
      <w:r>
        <w:rPr>
          <w:rFonts w:hint="eastAsia" w:ascii="宋体" w:hAnsi="宋体"/>
          <w:kern w:val="0"/>
          <w:szCs w:val="21"/>
        </w:rPr>
        <w:t>②不同投标人委托同一单位或者个人办理投标事宜;</w:t>
      </w:r>
    </w:p>
    <w:p>
      <w:pPr>
        <w:spacing w:line="360" w:lineRule="auto"/>
        <w:ind w:firstLine="420" w:firstLineChars="200"/>
        <w:rPr>
          <w:rFonts w:ascii="宋体" w:hAnsi="宋体"/>
          <w:kern w:val="0"/>
          <w:szCs w:val="21"/>
        </w:rPr>
      </w:pPr>
      <w:r>
        <w:rPr>
          <w:rFonts w:hint="eastAsia" w:ascii="宋体" w:hAnsi="宋体"/>
          <w:kern w:val="0"/>
          <w:szCs w:val="21"/>
        </w:rPr>
        <w:t>③不同的投标人的投标文件载明的项目管理员为同一个人;</w:t>
      </w:r>
    </w:p>
    <w:p>
      <w:pPr>
        <w:spacing w:line="360" w:lineRule="auto"/>
        <w:ind w:firstLine="420" w:firstLineChars="200"/>
        <w:rPr>
          <w:rFonts w:ascii="宋体" w:hAnsi="宋体"/>
          <w:kern w:val="0"/>
          <w:szCs w:val="21"/>
        </w:rPr>
      </w:pPr>
      <w:r>
        <w:rPr>
          <w:rFonts w:hint="eastAsia" w:ascii="宋体" w:hAnsi="宋体"/>
          <w:kern w:val="0"/>
          <w:szCs w:val="21"/>
        </w:rPr>
        <w:t>④不同投标人的投标文件异常一致或投标报价呈规律性差异;</w:t>
      </w:r>
    </w:p>
    <w:p>
      <w:pPr>
        <w:spacing w:line="360" w:lineRule="auto"/>
        <w:ind w:firstLine="420" w:firstLineChars="200"/>
        <w:rPr>
          <w:rFonts w:ascii="宋体" w:hAnsi="宋体"/>
          <w:kern w:val="0"/>
          <w:szCs w:val="21"/>
        </w:rPr>
      </w:pPr>
      <w:r>
        <w:rPr>
          <w:rFonts w:hint="eastAsia" w:ascii="宋体" w:hAnsi="宋体"/>
          <w:kern w:val="0"/>
          <w:szCs w:val="21"/>
        </w:rPr>
        <w:t>⑤不同投标人的投标文件相互混装;</w:t>
      </w:r>
    </w:p>
    <w:p>
      <w:pPr>
        <w:spacing w:line="360" w:lineRule="auto"/>
        <w:ind w:firstLine="420" w:firstLineChars="200"/>
        <w:rPr>
          <w:rFonts w:ascii="宋体" w:hAnsi="宋体"/>
          <w:kern w:val="0"/>
          <w:szCs w:val="21"/>
        </w:rPr>
      </w:pPr>
      <w:r>
        <w:rPr>
          <w:rFonts w:hint="eastAsia" w:ascii="宋体" w:hAnsi="宋体"/>
          <w:kern w:val="0"/>
          <w:szCs w:val="21"/>
        </w:rPr>
        <w:t>（2）关联供应商不得参加同一合同项下政府采购活动，否则投标文件将被视为无效</w:t>
      </w:r>
    </w:p>
    <w:p>
      <w:pPr>
        <w:spacing w:line="360" w:lineRule="auto"/>
        <w:ind w:firstLine="420" w:firstLineChars="200"/>
        <w:rPr>
          <w:rFonts w:ascii="宋体" w:hAnsi="宋体"/>
          <w:kern w:val="0"/>
          <w:szCs w:val="21"/>
        </w:rPr>
      </w:pPr>
      <w:r>
        <w:rPr>
          <w:rFonts w:hint="eastAsia" w:ascii="宋体" w:hAnsi="宋体"/>
          <w:kern w:val="0"/>
          <w:szCs w:val="21"/>
        </w:rPr>
        <w:t>①单位负责人为同一人或者存在直接控股、管理关系的不同的供应商，不得参加同一合同项下的政府采购活动;</w:t>
      </w:r>
    </w:p>
    <w:p>
      <w:pPr>
        <w:spacing w:line="360" w:lineRule="auto"/>
        <w:ind w:firstLine="420" w:firstLineChars="200"/>
        <w:rPr>
          <w:rFonts w:ascii="宋体" w:hAnsi="宋体"/>
          <w:kern w:val="0"/>
          <w:szCs w:val="21"/>
        </w:rPr>
      </w:pPr>
      <w:r>
        <w:rPr>
          <w:rFonts w:hint="eastAsia" w:ascii="宋体" w:hAnsi="宋体"/>
          <w:kern w:val="0"/>
          <w:szCs w:val="21"/>
        </w:rPr>
        <w:t>②生产厂商授权给供应商后自己不得参加同一合同项下的政府采购活动；生产厂商对同一品牌同一型号的货物，仅能委托一个代理商参加投标。</w:t>
      </w:r>
    </w:p>
    <w:p>
      <w:pPr>
        <w:spacing w:line="360" w:lineRule="auto"/>
        <w:ind w:firstLine="420" w:firstLineChars="200"/>
        <w:rPr>
          <w:rFonts w:ascii="宋体" w:hAnsi="宋体"/>
          <w:kern w:val="0"/>
          <w:szCs w:val="21"/>
        </w:rPr>
      </w:pPr>
      <w:r>
        <w:rPr>
          <w:rFonts w:hint="eastAsia" w:ascii="宋体" w:hAnsi="宋体"/>
          <w:kern w:val="0"/>
          <w:szCs w:val="21"/>
        </w:rPr>
        <w:t>16.4.3.2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spacing w:line="360" w:lineRule="auto"/>
        <w:ind w:firstLine="420" w:firstLineChars="200"/>
        <w:rPr>
          <w:rFonts w:ascii="宋体" w:hAnsi="宋体"/>
          <w:kern w:val="0"/>
          <w:szCs w:val="21"/>
        </w:rPr>
      </w:pPr>
      <w:r>
        <w:rPr>
          <w:rFonts w:hint="eastAsia" w:ascii="宋体" w:hAnsi="宋体"/>
          <w:kern w:val="0"/>
          <w:szCs w:val="21"/>
        </w:rPr>
        <w:t>16.4.3.3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spacing w:line="360" w:lineRule="auto"/>
        <w:ind w:firstLine="420" w:firstLineChars="200"/>
        <w:rPr>
          <w:rFonts w:ascii="宋体" w:hAnsi="宋体"/>
          <w:kern w:val="0"/>
          <w:szCs w:val="21"/>
        </w:rPr>
      </w:pPr>
      <w:r>
        <w:rPr>
          <w:rFonts w:hint="eastAsia" w:ascii="宋体" w:hAnsi="宋体"/>
          <w:kern w:val="0"/>
          <w:szCs w:val="21"/>
        </w:rPr>
        <w:t>16.4.3.4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rPr>
          <w:rFonts w:ascii="宋体" w:hAnsi="宋体"/>
          <w:kern w:val="0"/>
          <w:szCs w:val="21"/>
        </w:rPr>
      </w:pPr>
      <w:r>
        <w:rPr>
          <w:rFonts w:hint="eastAsia" w:ascii="宋体" w:hAnsi="宋体"/>
          <w:kern w:val="0"/>
          <w:szCs w:val="21"/>
        </w:rPr>
        <w:t>16.4.3.5编写评标报告，并确定中标供应商名单。</w:t>
      </w:r>
    </w:p>
    <w:p>
      <w:pPr>
        <w:spacing w:line="360" w:lineRule="auto"/>
        <w:ind w:firstLine="420" w:firstLineChars="200"/>
        <w:rPr>
          <w:rFonts w:ascii="宋体" w:hAnsi="宋体"/>
          <w:kern w:val="0"/>
          <w:szCs w:val="21"/>
        </w:rPr>
      </w:pPr>
      <w:r>
        <w:rPr>
          <w:rFonts w:hint="eastAsia" w:ascii="宋体" w:hAnsi="宋体"/>
          <w:kern w:val="0"/>
          <w:szCs w:val="21"/>
        </w:rPr>
        <w:t>16.4.4  采购代理机构对评标过程和评分、评标结论进行核对和复核，如有错漏，请当事评委进行校正，按校正后的结果确定中标供应商。</w:t>
      </w:r>
    </w:p>
    <w:p>
      <w:pPr>
        <w:spacing w:line="360" w:lineRule="auto"/>
        <w:ind w:firstLine="420" w:firstLineChars="200"/>
        <w:rPr>
          <w:rFonts w:ascii="宋体" w:hAnsi="宋体"/>
          <w:kern w:val="0"/>
          <w:szCs w:val="21"/>
        </w:rPr>
      </w:pPr>
      <w:r>
        <w:rPr>
          <w:rFonts w:hint="eastAsia" w:ascii="宋体" w:hAnsi="宋体"/>
          <w:kern w:val="0"/>
          <w:szCs w:val="21"/>
        </w:rPr>
        <w:t>16.5  在确定中标供应商前，采购人或采购代理机构不得与投标供应商就投标价格、投标方案等实质性内容进行谈判。</w:t>
      </w:r>
    </w:p>
    <w:p>
      <w:pPr>
        <w:spacing w:line="360" w:lineRule="auto"/>
        <w:ind w:firstLine="420" w:firstLineChars="200"/>
        <w:rPr>
          <w:rFonts w:ascii="宋体" w:hAnsi="宋体"/>
          <w:kern w:val="0"/>
          <w:szCs w:val="21"/>
        </w:rPr>
      </w:pPr>
      <w:r>
        <w:rPr>
          <w:rFonts w:hint="eastAsia" w:ascii="宋体" w:hAnsi="宋体"/>
          <w:kern w:val="0"/>
          <w:szCs w:val="21"/>
        </w:rPr>
        <w:t>16.6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spacing w:line="360" w:lineRule="auto"/>
        <w:rPr>
          <w:rFonts w:ascii="宋体" w:hAnsi="宋体"/>
          <w:b/>
          <w:bCs/>
          <w:kern w:val="0"/>
          <w:szCs w:val="21"/>
        </w:rPr>
      </w:pPr>
      <w:r>
        <w:rPr>
          <w:rFonts w:hint="eastAsia" w:ascii="宋体" w:hAnsi="宋体"/>
          <w:b/>
          <w:bCs/>
          <w:kern w:val="0"/>
          <w:szCs w:val="21"/>
        </w:rPr>
        <w:t>17.  投标文件的修正</w:t>
      </w:r>
    </w:p>
    <w:p>
      <w:pPr>
        <w:spacing w:line="360" w:lineRule="auto"/>
        <w:ind w:firstLine="420" w:firstLineChars="200"/>
        <w:rPr>
          <w:rFonts w:ascii="宋体" w:hAnsi="宋体"/>
          <w:kern w:val="0"/>
          <w:szCs w:val="21"/>
        </w:rPr>
      </w:pPr>
      <w:r>
        <w:rPr>
          <w:rFonts w:hint="eastAsia" w:ascii="宋体" w:hAnsi="宋体"/>
          <w:kern w:val="0"/>
          <w:szCs w:val="21"/>
        </w:rPr>
        <w:t>17.1  如果出现计算或表达上的错误，修正的原则如下：</w:t>
      </w:r>
    </w:p>
    <w:p>
      <w:pPr>
        <w:spacing w:line="360" w:lineRule="auto"/>
        <w:ind w:firstLine="420" w:firstLineChars="200"/>
        <w:rPr>
          <w:rFonts w:ascii="宋体" w:hAnsi="宋体"/>
          <w:kern w:val="0"/>
          <w:szCs w:val="21"/>
        </w:rPr>
      </w:pPr>
      <w:r>
        <w:rPr>
          <w:rFonts w:hint="eastAsia" w:ascii="宋体" w:hAnsi="宋体"/>
          <w:kern w:val="0"/>
          <w:szCs w:val="21"/>
        </w:rPr>
        <w:t>（1）投标文件中开标一览表（报价表）内容与投标文件中相应内容不一致的，以开标一览表（报价表）为准；</w:t>
      </w:r>
    </w:p>
    <w:p>
      <w:pPr>
        <w:spacing w:line="360" w:lineRule="auto"/>
        <w:ind w:firstLine="420" w:firstLineChars="200"/>
        <w:rPr>
          <w:rFonts w:ascii="宋体" w:hAnsi="宋体"/>
          <w:kern w:val="0"/>
          <w:szCs w:val="21"/>
        </w:rPr>
      </w:pPr>
      <w:r>
        <w:rPr>
          <w:rFonts w:hint="eastAsia" w:ascii="宋体" w:hAnsi="宋体"/>
          <w:kern w:val="0"/>
          <w:szCs w:val="21"/>
        </w:rPr>
        <w:t>（2）投标文件的大写金额和小写金额不一致的，以大写金额为准；</w:t>
      </w:r>
    </w:p>
    <w:p>
      <w:pPr>
        <w:spacing w:line="360" w:lineRule="auto"/>
        <w:ind w:firstLine="420" w:firstLineChars="200"/>
        <w:rPr>
          <w:rFonts w:ascii="宋体" w:hAnsi="宋体"/>
          <w:kern w:val="0"/>
          <w:szCs w:val="21"/>
        </w:rPr>
      </w:pPr>
      <w:r>
        <w:rPr>
          <w:rFonts w:hint="eastAsia" w:ascii="宋体" w:hAnsi="宋体"/>
          <w:kern w:val="0"/>
          <w:szCs w:val="21"/>
        </w:rPr>
        <w:t>（3）单价金额小数点或者百分比有明显错位的，以开标一览表的总价为准，并修改单价；</w:t>
      </w:r>
    </w:p>
    <w:p>
      <w:pPr>
        <w:spacing w:line="360" w:lineRule="auto"/>
        <w:ind w:firstLine="420" w:firstLineChars="200"/>
        <w:rPr>
          <w:rFonts w:ascii="宋体" w:hAnsi="宋体"/>
          <w:kern w:val="0"/>
          <w:szCs w:val="21"/>
        </w:rPr>
      </w:pPr>
      <w:r>
        <w:rPr>
          <w:rFonts w:hint="eastAsia" w:ascii="宋体" w:hAnsi="宋体"/>
          <w:kern w:val="0"/>
          <w:szCs w:val="21"/>
        </w:rPr>
        <w:t>（4）总价金额与按单价汇总金额不一致的，以单价金额计算结果为准。</w:t>
      </w:r>
    </w:p>
    <w:p>
      <w:pPr>
        <w:spacing w:line="360" w:lineRule="auto"/>
        <w:ind w:firstLine="420" w:firstLineChars="200"/>
        <w:rPr>
          <w:rFonts w:ascii="宋体" w:hAnsi="宋体"/>
          <w:kern w:val="0"/>
          <w:szCs w:val="21"/>
        </w:rPr>
      </w:pPr>
      <w:r>
        <w:rPr>
          <w:rFonts w:hint="eastAsia" w:ascii="宋体" w:hAnsi="宋体"/>
          <w:kern w:val="0"/>
          <w:szCs w:val="21"/>
        </w:rPr>
        <w:t>17.2  同时出现两种以上不一致的，按照前款规定的顺序修正,修正后的投标报价经投标人书面确认后对投标人具有约束力。如果投标人不接受修正后的投标报价，则其投标无效。</w:t>
      </w:r>
    </w:p>
    <w:p>
      <w:pPr>
        <w:spacing w:line="360" w:lineRule="auto"/>
        <w:rPr>
          <w:rFonts w:ascii="宋体" w:hAnsi="宋体"/>
          <w:b/>
          <w:bCs/>
          <w:kern w:val="0"/>
          <w:szCs w:val="21"/>
        </w:rPr>
      </w:pPr>
      <w:r>
        <w:rPr>
          <w:rFonts w:hint="eastAsia" w:ascii="宋体" w:hAnsi="宋体"/>
          <w:b/>
          <w:bCs/>
          <w:kern w:val="0"/>
          <w:szCs w:val="21"/>
        </w:rPr>
        <w:t>18.  拒绝接收</w:t>
      </w:r>
    </w:p>
    <w:p>
      <w:pPr>
        <w:spacing w:line="360" w:lineRule="auto"/>
        <w:ind w:firstLine="420" w:firstLineChars="200"/>
        <w:rPr>
          <w:rFonts w:ascii="宋体" w:hAnsi="宋体"/>
          <w:kern w:val="0"/>
          <w:szCs w:val="21"/>
        </w:rPr>
      </w:pPr>
      <w:r>
        <w:rPr>
          <w:rFonts w:hint="eastAsia" w:ascii="宋体" w:hAnsi="宋体"/>
          <w:kern w:val="0"/>
          <w:szCs w:val="21"/>
        </w:rPr>
        <w:t>18.1  投标人未按本章第1.7项要求的。</w:t>
      </w:r>
    </w:p>
    <w:p>
      <w:pPr>
        <w:spacing w:line="360" w:lineRule="auto"/>
        <w:ind w:firstLine="420" w:firstLineChars="200"/>
        <w:rPr>
          <w:rFonts w:ascii="宋体" w:hAnsi="宋体"/>
          <w:kern w:val="0"/>
          <w:szCs w:val="21"/>
        </w:rPr>
      </w:pPr>
      <w:r>
        <w:rPr>
          <w:rFonts w:hint="eastAsia" w:ascii="宋体" w:hAnsi="宋体"/>
          <w:kern w:val="0"/>
          <w:szCs w:val="21"/>
        </w:rPr>
        <w:t>18.2  投标人未在本章第13.2项规定的时间之前将投标文件送达至本章第13.3项指定地点的，采购代理机构应当拒绝接收该投标人的投标文件。</w:t>
      </w:r>
    </w:p>
    <w:p>
      <w:pPr>
        <w:spacing w:line="360" w:lineRule="auto"/>
        <w:ind w:firstLine="420" w:firstLineChars="200"/>
        <w:rPr>
          <w:rFonts w:ascii="宋体" w:hAnsi="宋体"/>
          <w:kern w:val="0"/>
          <w:szCs w:val="21"/>
        </w:rPr>
      </w:pPr>
      <w:r>
        <w:rPr>
          <w:rFonts w:hint="eastAsia" w:ascii="宋体" w:hAnsi="宋体"/>
          <w:kern w:val="0"/>
          <w:szCs w:val="21"/>
        </w:rPr>
        <w:t>18.3  投标人未在本章第13.4项规定的时间之前将投标样品送达至本章第13.5项指定地点的，采购代理机构应当拒绝接收该投标人的投标样品。</w:t>
      </w:r>
    </w:p>
    <w:p>
      <w:pPr>
        <w:spacing w:line="360" w:lineRule="auto"/>
        <w:rPr>
          <w:rFonts w:ascii="宋体" w:hAnsi="宋体"/>
          <w:b/>
          <w:bCs/>
          <w:kern w:val="0"/>
          <w:szCs w:val="21"/>
        </w:rPr>
      </w:pPr>
      <w:r>
        <w:rPr>
          <w:rFonts w:hint="eastAsia" w:ascii="宋体" w:hAnsi="宋体"/>
          <w:b/>
          <w:bCs/>
          <w:kern w:val="0"/>
          <w:szCs w:val="21"/>
        </w:rPr>
        <w:t>19.  无效投标</w:t>
      </w:r>
    </w:p>
    <w:p>
      <w:pPr>
        <w:spacing w:line="360" w:lineRule="auto"/>
        <w:ind w:firstLine="420" w:firstLineChars="200"/>
        <w:rPr>
          <w:rFonts w:ascii="宋体" w:hAnsi="宋体"/>
          <w:kern w:val="0"/>
          <w:szCs w:val="21"/>
        </w:rPr>
      </w:pPr>
      <w:r>
        <w:rPr>
          <w:rFonts w:hint="eastAsia" w:ascii="宋体" w:hAnsi="宋体"/>
          <w:kern w:val="0"/>
          <w:szCs w:val="21"/>
        </w:rPr>
        <w:t>★19.1  属下列情形之一的，投标人的投标无效：</w:t>
      </w:r>
    </w:p>
    <w:p>
      <w:pPr>
        <w:spacing w:line="360" w:lineRule="auto"/>
        <w:ind w:firstLine="420" w:firstLineChars="200"/>
        <w:rPr>
          <w:rFonts w:ascii="宋体" w:hAnsi="宋体"/>
          <w:kern w:val="0"/>
          <w:szCs w:val="21"/>
        </w:rPr>
      </w:pPr>
      <w:r>
        <w:rPr>
          <w:rFonts w:hint="eastAsia" w:ascii="宋体" w:hAnsi="宋体"/>
          <w:kern w:val="0"/>
          <w:szCs w:val="21"/>
        </w:rPr>
        <w:t>（1）投标人或投标文件不符合本章第3项规定的；</w:t>
      </w:r>
    </w:p>
    <w:p>
      <w:pPr>
        <w:spacing w:line="360" w:lineRule="auto"/>
        <w:ind w:firstLine="420" w:firstLineChars="200"/>
        <w:rPr>
          <w:rFonts w:ascii="宋体" w:hAnsi="宋体"/>
          <w:kern w:val="0"/>
          <w:szCs w:val="21"/>
        </w:rPr>
      </w:pPr>
      <w:r>
        <w:rPr>
          <w:rFonts w:hint="eastAsia" w:ascii="宋体" w:hAnsi="宋体"/>
          <w:kern w:val="0"/>
          <w:szCs w:val="21"/>
        </w:rPr>
        <w:t xml:space="preserve">（2）投标文件未按本章第8.8项的规定标识或未按规定的正、副本数量递交的； </w:t>
      </w:r>
    </w:p>
    <w:p>
      <w:pPr>
        <w:spacing w:line="360" w:lineRule="auto"/>
        <w:ind w:firstLine="420" w:firstLineChars="200"/>
        <w:rPr>
          <w:rFonts w:ascii="宋体" w:hAnsi="宋体"/>
          <w:kern w:val="0"/>
          <w:szCs w:val="21"/>
        </w:rPr>
      </w:pPr>
      <w:r>
        <w:rPr>
          <w:rFonts w:hint="eastAsia" w:ascii="宋体" w:hAnsi="宋体"/>
          <w:kern w:val="0"/>
          <w:szCs w:val="21"/>
        </w:rPr>
        <w:t>（3）投标文件未按本章第10.1项的规定编写和提交的（包括缺少应提交的文件或格式不符合第五章“投标文件格式”的要求）；</w:t>
      </w:r>
    </w:p>
    <w:p>
      <w:pPr>
        <w:spacing w:line="360" w:lineRule="auto"/>
        <w:ind w:firstLine="420" w:firstLineChars="200"/>
        <w:rPr>
          <w:rFonts w:ascii="宋体" w:hAnsi="宋体"/>
          <w:kern w:val="0"/>
          <w:szCs w:val="21"/>
        </w:rPr>
      </w:pPr>
      <w:r>
        <w:rPr>
          <w:rFonts w:hint="eastAsia" w:ascii="宋体" w:hAnsi="宋体"/>
          <w:kern w:val="0"/>
          <w:szCs w:val="21"/>
        </w:rPr>
        <w:t>（4）投标文件不符合本章第10.2项规定的；</w:t>
      </w:r>
    </w:p>
    <w:p>
      <w:pPr>
        <w:spacing w:line="360" w:lineRule="auto"/>
        <w:ind w:firstLine="420" w:firstLineChars="200"/>
        <w:rPr>
          <w:rFonts w:ascii="宋体" w:hAnsi="宋体"/>
          <w:kern w:val="0"/>
          <w:szCs w:val="21"/>
        </w:rPr>
      </w:pPr>
      <w:r>
        <w:rPr>
          <w:rFonts w:hint="eastAsia" w:ascii="宋体" w:hAnsi="宋体"/>
          <w:kern w:val="0"/>
          <w:szCs w:val="21"/>
        </w:rPr>
        <w:t>（5）投标人报价不符合本章第11项规定或超过采购预算的或评标委员会认定属于16.4.3.4条规定的投标无效情形的；</w:t>
      </w:r>
    </w:p>
    <w:p>
      <w:pPr>
        <w:spacing w:line="360" w:lineRule="auto"/>
        <w:ind w:firstLine="420" w:firstLineChars="200"/>
        <w:rPr>
          <w:rFonts w:ascii="宋体" w:hAnsi="宋体"/>
          <w:kern w:val="0"/>
          <w:szCs w:val="21"/>
        </w:rPr>
      </w:pPr>
      <w:r>
        <w:rPr>
          <w:rFonts w:hint="eastAsia" w:ascii="宋体" w:hAnsi="宋体"/>
          <w:kern w:val="0"/>
          <w:szCs w:val="21"/>
        </w:rPr>
        <w:t>（6）投标文件不符合本章第13.1项规定的；</w:t>
      </w:r>
    </w:p>
    <w:p>
      <w:pPr>
        <w:spacing w:line="360" w:lineRule="auto"/>
        <w:ind w:firstLine="420" w:firstLineChars="200"/>
        <w:rPr>
          <w:rFonts w:ascii="宋体" w:hAnsi="宋体"/>
          <w:kern w:val="0"/>
          <w:szCs w:val="21"/>
        </w:rPr>
      </w:pPr>
      <w:r>
        <w:rPr>
          <w:rFonts w:hint="eastAsia" w:ascii="宋体" w:hAnsi="宋体"/>
          <w:kern w:val="0"/>
          <w:szCs w:val="21"/>
        </w:rPr>
        <w:t>（7）投标人出现本章第16.4.3.1项所述的投标文件将被视为无效的情形的；</w:t>
      </w:r>
    </w:p>
    <w:p>
      <w:pPr>
        <w:spacing w:line="360" w:lineRule="auto"/>
        <w:ind w:firstLine="420" w:firstLineChars="200"/>
        <w:rPr>
          <w:rFonts w:ascii="宋体" w:hAnsi="宋体"/>
          <w:kern w:val="0"/>
          <w:szCs w:val="21"/>
        </w:rPr>
      </w:pPr>
      <w:r>
        <w:rPr>
          <w:rFonts w:hint="eastAsia" w:ascii="宋体" w:hAnsi="宋体"/>
          <w:kern w:val="0"/>
          <w:szCs w:val="21"/>
        </w:rPr>
        <w:t>（8）投标人出现本章第17.2项所述情形的；</w:t>
      </w:r>
    </w:p>
    <w:p>
      <w:pPr>
        <w:spacing w:line="360" w:lineRule="auto"/>
        <w:ind w:firstLine="420" w:firstLineChars="200"/>
        <w:rPr>
          <w:rFonts w:ascii="宋体" w:hAnsi="宋体"/>
          <w:kern w:val="0"/>
          <w:szCs w:val="21"/>
        </w:rPr>
      </w:pPr>
      <w:r>
        <w:rPr>
          <w:rFonts w:hint="eastAsia" w:ascii="宋体" w:hAnsi="宋体"/>
          <w:kern w:val="0"/>
          <w:szCs w:val="21"/>
        </w:rPr>
        <w:t>（9）投标文件未对招标文件提出的要求和条件作出实质性响应的；</w:t>
      </w:r>
    </w:p>
    <w:p>
      <w:pPr>
        <w:spacing w:line="360" w:lineRule="auto"/>
        <w:ind w:firstLine="420" w:firstLineChars="200"/>
        <w:rPr>
          <w:rFonts w:ascii="宋体" w:hAnsi="宋体"/>
          <w:kern w:val="0"/>
          <w:szCs w:val="21"/>
        </w:rPr>
      </w:pPr>
      <w:r>
        <w:rPr>
          <w:rFonts w:hint="eastAsia" w:ascii="宋体" w:hAnsi="宋体"/>
          <w:kern w:val="0"/>
          <w:szCs w:val="21"/>
        </w:rPr>
        <w:t>（10）投标文件附有采购需求以外的条件使评标委员会认为不能接受的；</w:t>
      </w:r>
    </w:p>
    <w:p>
      <w:pPr>
        <w:spacing w:line="360" w:lineRule="auto"/>
        <w:ind w:firstLine="420" w:firstLineChars="200"/>
        <w:rPr>
          <w:rFonts w:ascii="宋体" w:hAnsi="宋体"/>
          <w:kern w:val="0"/>
          <w:szCs w:val="21"/>
        </w:rPr>
      </w:pPr>
      <w:r>
        <w:rPr>
          <w:rFonts w:hint="eastAsia" w:ascii="宋体" w:hAnsi="宋体"/>
          <w:kern w:val="0"/>
          <w:szCs w:val="21"/>
        </w:rPr>
        <w:t>（11）投标人在投标过程中提供虚假材料的；</w:t>
      </w:r>
    </w:p>
    <w:p>
      <w:pPr>
        <w:spacing w:line="360" w:lineRule="auto"/>
        <w:ind w:firstLine="420" w:firstLineChars="200"/>
        <w:rPr>
          <w:rFonts w:hAnsi="宋体"/>
          <w:b/>
          <w:bCs/>
          <w:sz w:val="24"/>
          <w:highlight w:val="lightGray"/>
        </w:rPr>
      </w:pPr>
      <w:r>
        <w:rPr>
          <w:rFonts w:hint="eastAsia" w:ascii="宋体" w:hAnsi="宋体"/>
          <w:kern w:val="0"/>
          <w:szCs w:val="21"/>
        </w:rPr>
        <w:t>（12）投标文件含有违反国家法律、法规的内容。</w:t>
      </w:r>
    </w:p>
    <w:p>
      <w:pPr>
        <w:spacing w:line="360" w:lineRule="auto"/>
        <w:rPr>
          <w:rFonts w:ascii="宋体" w:hAnsi="宋体"/>
          <w:b/>
          <w:bCs/>
          <w:kern w:val="0"/>
          <w:szCs w:val="21"/>
        </w:rPr>
      </w:pPr>
      <w:r>
        <w:rPr>
          <w:rFonts w:hint="eastAsia" w:ascii="宋体" w:hAnsi="宋体"/>
          <w:b/>
          <w:bCs/>
          <w:kern w:val="0"/>
          <w:szCs w:val="21"/>
        </w:rPr>
        <w:t>20.  废标</w:t>
      </w:r>
    </w:p>
    <w:p>
      <w:pPr>
        <w:spacing w:line="360" w:lineRule="auto"/>
        <w:ind w:firstLine="420" w:firstLineChars="200"/>
        <w:rPr>
          <w:rFonts w:ascii="宋体" w:hAnsi="宋体"/>
          <w:kern w:val="0"/>
          <w:szCs w:val="21"/>
        </w:rPr>
      </w:pPr>
      <w:r>
        <w:rPr>
          <w:rFonts w:hint="eastAsia" w:ascii="宋体" w:hAnsi="宋体"/>
          <w:kern w:val="0"/>
          <w:szCs w:val="21"/>
        </w:rPr>
        <w:t>20.1  在招标过程中，出现下列情形之一的，予以废标：</w:t>
      </w:r>
    </w:p>
    <w:p>
      <w:pPr>
        <w:spacing w:line="360" w:lineRule="auto"/>
        <w:ind w:firstLine="420" w:firstLineChars="200"/>
        <w:rPr>
          <w:rFonts w:ascii="宋体" w:hAnsi="宋体"/>
          <w:kern w:val="0"/>
          <w:szCs w:val="21"/>
        </w:rPr>
      </w:pPr>
      <w:r>
        <w:rPr>
          <w:rFonts w:hint="eastAsia" w:ascii="宋体" w:hAnsi="宋体"/>
          <w:kern w:val="0"/>
          <w:szCs w:val="21"/>
        </w:rPr>
        <w:t>（1）符合专业条件的供应商或者对招标文件作实质响应的供应商不足三家的；</w:t>
      </w:r>
    </w:p>
    <w:p>
      <w:pPr>
        <w:spacing w:line="360" w:lineRule="auto"/>
        <w:ind w:firstLine="420" w:firstLineChars="200"/>
        <w:rPr>
          <w:rFonts w:ascii="宋体" w:hAnsi="宋体"/>
          <w:kern w:val="0"/>
          <w:szCs w:val="21"/>
        </w:rPr>
      </w:pPr>
      <w:r>
        <w:rPr>
          <w:rFonts w:hint="eastAsia" w:ascii="宋体" w:hAnsi="宋体"/>
          <w:kern w:val="0"/>
          <w:szCs w:val="21"/>
        </w:rPr>
        <w:t>有效投标供应商数量计算：</w:t>
      </w:r>
    </w:p>
    <w:p>
      <w:pPr>
        <w:spacing w:line="360" w:lineRule="auto"/>
        <w:ind w:firstLine="420" w:firstLineChars="200"/>
        <w:rPr>
          <w:rFonts w:ascii="宋体" w:hAnsi="宋体"/>
          <w:kern w:val="0"/>
          <w:szCs w:val="21"/>
        </w:rPr>
      </w:pPr>
      <w:r>
        <w:rPr>
          <w:rFonts w:hint="eastAsia" w:ascii="宋体" w:hAnsi="宋体"/>
          <w:kern w:val="0"/>
          <w:szCs w:val="21"/>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pPr>
        <w:spacing w:line="360" w:lineRule="auto"/>
        <w:ind w:firstLine="420" w:firstLineChars="200"/>
        <w:rPr>
          <w:rFonts w:ascii="宋体" w:hAnsi="宋体"/>
          <w:kern w:val="0"/>
          <w:szCs w:val="21"/>
        </w:rPr>
      </w:pPr>
      <w:r>
        <w:rPr>
          <w:rFonts w:hint="eastAsia" w:ascii="宋体" w:hAnsi="宋体"/>
          <w:kern w:val="0"/>
          <w:szCs w:val="21"/>
        </w:rPr>
        <w:t>②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pPr>
        <w:spacing w:line="360" w:lineRule="auto"/>
        <w:ind w:firstLine="420" w:firstLineChars="200"/>
        <w:rPr>
          <w:rFonts w:ascii="宋体" w:hAnsi="宋体"/>
          <w:kern w:val="0"/>
          <w:szCs w:val="21"/>
        </w:rPr>
      </w:pPr>
      <w:r>
        <w:rPr>
          <w:rFonts w:hint="eastAsia" w:ascii="宋体" w:hAnsi="宋体"/>
          <w:kern w:val="0"/>
          <w:szCs w:val="21"/>
        </w:rPr>
        <w:t>③非单一产品采购项目，采购人应当根据采购项目技术构成、产品价格比重等合理确定核心产品，并在招标文件中载明。多家投标人提供的核心产品品牌相同的，按上述规定处理。</w:t>
      </w:r>
    </w:p>
    <w:p>
      <w:pPr>
        <w:spacing w:line="360" w:lineRule="auto"/>
        <w:ind w:firstLine="420" w:firstLineChars="200"/>
        <w:rPr>
          <w:rFonts w:ascii="宋体" w:hAnsi="宋体"/>
          <w:kern w:val="0"/>
          <w:szCs w:val="21"/>
        </w:rPr>
      </w:pPr>
      <w:r>
        <w:rPr>
          <w:rFonts w:hint="eastAsia" w:ascii="宋体" w:hAnsi="宋体"/>
          <w:kern w:val="0"/>
          <w:szCs w:val="21"/>
        </w:rPr>
        <w:t>（2）出现影响采购公正的违法、违规行为的；</w:t>
      </w:r>
    </w:p>
    <w:p>
      <w:pPr>
        <w:spacing w:line="360" w:lineRule="auto"/>
        <w:ind w:firstLine="420" w:firstLineChars="200"/>
        <w:rPr>
          <w:rFonts w:ascii="宋体" w:hAnsi="宋体"/>
          <w:kern w:val="0"/>
          <w:szCs w:val="21"/>
        </w:rPr>
      </w:pPr>
      <w:r>
        <w:rPr>
          <w:rFonts w:hint="eastAsia" w:ascii="宋体" w:hAnsi="宋体"/>
          <w:kern w:val="0"/>
          <w:szCs w:val="21"/>
        </w:rPr>
        <w:t>（3）投标人的报价均超过了采购预算，采购人不能支付的；</w:t>
      </w:r>
    </w:p>
    <w:p>
      <w:pPr>
        <w:spacing w:line="360" w:lineRule="auto"/>
        <w:ind w:firstLine="420" w:firstLineChars="200"/>
        <w:rPr>
          <w:rFonts w:ascii="宋体" w:hAnsi="宋体"/>
          <w:kern w:val="0"/>
          <w:szCs w:val="21"/>
        </w:rPr>
      </w:pPr>
      <w:r>
        <w:rPr>
          <w:rFonts w:hint="eastAsia" w:ascii="宋体" w:hAnsi="宋体"/>
          <w:kern w:val="0"/>
          <w:szCs w:val="21"/>
        </w:rPr>
        <w:t>（4）因重大变故，采购任务取消的。</w:t>
      </w:r>
    </w:p>
    <w:p>
      <w:pPr>
        <w:spacing w:line="360" w:lineRule="auto"/>
        <w:ind w:firstLine="420" w:firstLineChars="200"/>
        <w:rPr>
          <w:rFonts w:ascii="宋体" w:hAnsi="宋体"/>
          <w:kern w:val="0"/>
          <w:szCs w:val="21"/>
        </w:rPr>
      </w:pPr>
      <w:r>
        <w:rPr>
          <w:rFonts w:hint="eastAsia" w:ascii="宋体" w:hAnsi="宋体"/>
          <w:kern w:val="0"/>
          <w:szCs w:val="21"/>
        </w:rPr>
        <w:t>20.2  废标后，采购代理机构将在本章第2.1项规定的政府采购信息发布媒体上公告废标理由，不再另行通知。</w:t>
      </w:r>
    </w:p>
    <w:p>
      <w:pPr>
        <w:pStyle w:val="14"/>
        <w:spacing w:line="440" w:lineRule="exact"/>
        <w:jc w:val="center"/>
        <w:rPr>
          <w:rFonts w:hAnsi="宋体"/>
          <w:b/>
          <w:bCs/>
          <w:highlight w:val="lightGray"/>
        </w:rPr>
      </w:pPr>
    </w:p>
    <w:p>
      <w:pPr>
        <w:spacing w:line="360" w:lineRule="auto"/>
        <w:jc w:val="center"/>
        <w:outlineLvl w:val="1"/>
        <w:rPr>
          <w:rFonts w:ascii="宋体" w:hAnsi="宋体"/>
          <w:b/>
          <w:kern w:val="0"/>
          <w:sz w:val="36"/>
          <w:szCs w:val="36"/>
        </w:rPr>
      </w:pPr>
      <w:bookmarkStart w:id="52" w:name="_Toc30500"/>
      <w:r>
        <w:rPr>
          <w:rFonts w:hint="eastAsia" w:ascii="宋体" w:hAnsi="宋体"/>
          <w:b/>
          <w:kern w:val="0"/>
          <w:sz w:val="36"/>
          <w:szCs w:val="36"/>
        </w:rPr>
        <w:t>六  合同授予</w:t>
      </w:r>
      <w:bookmarkEnd w:id="52"/>
    </w:p>
    <w:p>
      <w:pPr>
        <w:spacing w:line="360" w:lineRule="auto"/>
        <w:rPr>
          <w:rFonts w:ascii="宋体" w:hAnsi="宋体"/>
          <w:b/>
          <w:bCs/>
          <w:kern w:val="0"/>
          <w:szCs w:val="21"/>
        </w:rPr>
      </w:pPr>
      <w:r>
        <w:rPr>
          <w:rFonts w:hint="eastAsia" w:ascii="宋体" w:hAnsi="宋体"/>
          <w:b/>
          <w:bCs/>
          <w:kern w:val="0"/>
          <w:szCs w:val="21"/>
        </w:rPr>
        <w:t>21.  中标供应商的确定</w:t>
      </w:r>
    </w:p>
    <w:p>
      <w:pPr>
        <w:spacing w:line="360" w:lineRule="auto"/>
        <w:ind w:firstLine="420" w:firstLineChars="200"/>
        <w:rPr>
          <w:rFonts w:ascii="宋体" w:hAnsi="宋体"/>
          <w:kern w:val="0"/>
          <w:szCs w:val="21"/>
        </w:rPr>
      </w:pPr>
      <w:r>
        <w:rPr>
          <w:rFonts w:hint="eastAsia" w:ascii="宋体" w:hAnsi="宋体"/>
          <w:kern w:val="0"/>
          <w:szCs w:val="21"/>
        </w:rPr>
        <w:t>21.1  评标委员会按第三章“评标方法”的规定排列中标候选供应商顺序，并依照次序确定中标供应商。</w:t>
      </w:r>
    </w:p>
    <w:p>
      <w:pPr>
        <w:spacing w:line="360" w:lineRule="auto"/>
        <w:rPr>
          <w:rFonts w:ascii="宋体" w:hAnsi="宋体"/>
          <w:b/>
          <w:bCs/>
          <w:kern w:val="0"/>
          <w:szCs w:val="21"/>
        </w:rPr>
      </w:pPr>
      <w:r>
        <w:rPr>
          <w:rFonts w:hint="eastAsia" w:ascii="宋体" w:hAnsi="宋体"/>
          <w:b/>
          <w:bCs/>
          <w:kern w:val="0"/>
          <w:szCs w:val="21"/>
        </w:rPr>
        <w:t>22.  中标公告及中标通知书</w:t>
      </w:r>
    </w:p>
    <w:p>
      <w:pPr>
        <w:spacing w:line="360" w:lineRule="auto"/>
        <w:ind w:firstLine="420" w:firstLineChars="200"/>
        <w:rPr>
          <w:rFonts w:ascii="宋体" w:hAnsi="宋体"/>
          <w:kern w:val="0"/>
          <w:szCs w:val="21"/>
        </w:rPr>
      </w:pPr>
      <w:r>
        <w:rPr>
          <w:rFonts w:hint="eastAsia" w:ascii="宋体" w:hAnsi="宋体"/>
          <w:kern w:val="0"/>
          <w:szCs w:val="21"/>
        </w:rPr>
        <w:t>22.1  评标结束后，在中标供应商确定之日起2个工作日内，由采购代理机构在本章第2.1项规定的政府采购信息发布媒体上发布中标结果公告，中标结果公告期限为1个工作日，发布中标结果公告的同时向中标供应商发出中标通知书。</w:t>
      </w:r>
    </w:p>
    <w:p>
      <w:pPr>
        <w:spacing w:line="360" w:lineRule="auto"/>
        <w:ind w:firstLine="420" w:firstLineChars="200"/>
        <w:rPr>
          <w:rFonts w:ascii="宋体" w:hAnsi="宋体"/>
          <w:kern w:val="0"/>
          <w:szCs w:val="21"/>
        </w:rPr>
      </w:pPr>
      <w:r>
        <w:rPr>
          <w:rFonts w:hint="eastAsia" w:ascii="宋体" w:hAnsi="宋体"/>
          <w:kern w:val="0"/>
          <w:szCs w:val="21"/>
        </w:rPr>
        <w:t>22.2  中标通知书对采购人和中标供应商具有同等法律效力。中标通知书发出后，采购人改变中标结果，或者中标供应商放弃中标，应当承担相应的法律责任。</w:t>
      </w:r>
    </w:p>
    <w:p>
      <w:pPr>
        <w:spacing w:line="360" w:lineRule="auto"/>
        <w:rPr>
          <w:rFonts w:ascii="宋体" w:hAnsi="宋体"/>
          <w:b/>
          <w:bCs/>
          <w:kern w:val="0"/>
          <w:szCs w:val="21"/>
        </w:rPr>
      </w:pPr>
      <w:r>
        <w:rPr>
          <w:rFonts w:hint="eastAsia" w:ascii="宋体" w:hAnsi="宋体"/>
          <w:b/>
          <w:bCs/>
          <w:kern w:val="0"/>
          <w:szCs w:val="21"/>
        </w:rPr>
        <w:t>23.  投标文件及投标样品的退回</w:t>
      </w:r>
    </w:p>
    <w:p>
      <w:pPr>
        <w:spacing w:line="360" w:lineRule="auto"/>
        <w:ind w:firstLine="420" w:firstLineChars="200"/>
        <w:rPr>
          <w:rFonts w:ascii="宋体" w:hAnsi="宋体"/>
          <w:kern w:val="0"/>
          <w:szCs w:val="21"/>
        </w:rPr>
      </w:pPr>
      <w:r>
        <w:rPr>
          <w:rFonts w:hint="eastAsia" w:ascii="宋体" w:hAnsi="宋体"/>
          <w:kern w:val="0"/>
          <w:szCs w:val="21"/>
        </w:rPr>
        <w:t>23.1  采购人及采购代理机构无义务向未中标供应商解释其未中标原因和退回投标文件。</w:t>
      </w:r>
    </w:p>
    <w:p>
      <w:pPr>
        <w:spacing w:line="360" w:lineRule="auto"/>
        <w:ind w:firstLine="420" w:firstLineChars="200"/>
        <w:rPr>
          <w:rFonts w:ascii="宋体" w:hAnsi="宋体"/>
          <w:kern w:val="0"/>
          <w:szCs w:val="21"/>
        </w:rPr>
      </w:pPr>
      <w:r>
        <w:rPr>
          <w:rFonts w:hint="eastAsia" w:ascii="宋体" w:hAnsi="宋体"/>
          <w:kern w:val="0"/>
          <w:szCs w:val="21"/>
        </w:rPr>
        <w:t>23.2  中标供应商的投标样品由采购人进行保管、封存，并作为履约验收的参考，验收后由采购人退回。未中标供应商的投标样品由供应商在中标结果公布后2个工作日内领回，否则按无主物品处理。</w:t>
      </w:r>
    </w:p>
    <w:p>
      <w:pPr>
        <w:spacing w:line="360" w:lineRule="auto"/>
        <w:rPr>
          <w:rFonts w:ascii="宋体" w:hAnsi="宋体"/>
          <w:b/>
          <w:bCs/>
          <w:kern w:val="0"/>
          <w:szCs w:val="21"/>
        </w:rPr>
      </w:pPr>
      <w:r>
        <w:rPr>
          <w:rFonts w:hint="eastAsia" w:ascii="宋体" w:hAnsi="宋体"/>
          <w:b/>
          <w:bCs/>
          <w:kern w:val="0"/>
          <w:szCs w:val="21"/>
        </w:rPr>
        <w:t>24.  签订合同</w:t>
      </w:r>
    </w:p>
    <w:p>
      <w:pPr>
        <w:spacing w:line="360" w:lineRule="auto"/>
        <w:ind w:firstLine="420" w:firstLineChars="200"/>
        <w:rPr>
          <w:rFonts w:ascii="宋体" w:hAnsi="宋体"/>
          <w:kern w:val="0"/>
          <w:szCs w:val="21"/>
        </w:rPr>
      </w:pPr>
      <w:r>
        <w:rPr>
          <w:rFonts w:hint="eastAsia" w:ascii="宋体" w:hAnsi="宋体"/>
          <w:kern w:val="0"/>
          <w:szCs w:val="21"/>
        </w:rPr>
        <w:t>24.1  采购人和中标供应商应当在第二章“项目采购需求一览表”中商务条款要求载明的合同签订期内，根据招标文件、中标供应商的投标文件及有关澄清承诺书的要求按第六章“合同条款及格式”订立书面合同。</w:t>
      </w:r>
    </w:p>
    <w:p>
      <w:pPr>
        <w:spacing w:line="360" w:lineRule="auto"/>
        <w:ind w:firstLine="420" w:firstLineChars="200"/>
        <w:rPr>
          <w:rFonts w:ascii="宋体" w:hAnsi="宋体"/>
          <w:kern w:val="0"/>
          <w:szCs w:val="21"/>
        </w:rPr>
      </w:pPr>
      <w:r>
        <w:rPr>
          <w:rFonts w:hint="eastAsia" w:ascii="宋体" w:hAnsi="宋体"/>
          <w:kern w:val="0"/>
          <w:szCs w:val="21"/>
        </w:rPr>
        <w:t>24.2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spacing w:line="360" w:lineRule="auto"/>
        <w:ind w:firstLine="420" w:firstLineChars="200"/>
        <w:rPr>
          <w:rFonts w:ascii="宋体" w:hAnsi="宋体"/>
          <w:kern w:val="0"/>
          <w:szCs w:val="21"/>
        </w:rPr>
      </w:pPr>
      <w:r>
        <w:rPr>
          <w:rFonts w:hint="eastAsia" w:ascii="宋体" w:hAnsi="宋体"/>
          <w:kern w:val="0"/>
          <w:szCs w:val="21"/>
        </w:rPr>
        <w:t>24.3政府采购合同一式5份，具有同等法律效力，采购方执两份合同（一份存档，一份付款），中标供应商执一份合同，两份合同由采购人自合同签订之日起七个工作日内分别报送南宁高新技术产业开发区财政局备案和南宁高新技术产业开发区政府集中采购中心存档。</w:t>
      </w:r>
    </w:p>
    <w:p>
      <w:pPr>
        <w:spacing w:line="360" w:lineRule="auto"/>
        <w:ind w:firstLine="420" w:firstLineChars="200"/>
        <w:rPr>
          <w:rFonts w:ascii="宋体" w:hAnsi="宋体"/>
          <w:kern w:val="0"/>
          <w:szCs w:val="21"/>
        </w:rPr>
      </w:pPr>
      <w:r>
        <w:rPr>
          <w:rFonts w:hint="eastAsia" w:ascii="宋体" w:hAnsi="宋体"/>
          <w:kern w:val="0"/>
          <w:szCs w:val="21"/>
        </w:rPr>
        <w:t>24.4 采购人在签订合同之前有权要求中标供应商提供本项目必需的相关资料原件进行核查，中标供应商不得拒绝。如中标供应商拒绝提供，则自行承担由此产生的后果。</w:t>
      </w:r>
    </w:p>
    <w:p>
      <w:pPr>
        <w:spacing w:line="360" w:lineRule="auto"/>
        <w:ind w:firstLine="420" w:firstLineChars="200"/>
        <w:rPr>
          <w:rFonts w:ascii="宋体" w:hAnsi="宋体"/>
          <w:kern w:val="0"/>
          <w:szCs w:val="21"/>
        </w:rPr>
      </w:pPr>
      <w:r>
        <w:rPr>
          <w:rFonts w:hint="eastAsia" w:ascii="宋体" w:hAnsi="宋体"/>
          <w:kern w:val="0"/>
          <w:szCs w:val="21"/>
        </w:rPr>
        <w:t>24.5  中标供应商因不可抗力或者自身原因不能履行政府采购合同的，如仍在投标有效期内，采购代理机构和采购人应及时报南宁高新区政府采购监督管理部门，经同意后，可以与排位在中标供应商之后第一位的中标候选供应商签订政府采购合同，以此类推。</w:t>
      </w:r>
    </w:p>
    <w:p>
      <w:pPr>
        <w:spacing w:line="360" w:lineRule="auto"/>
        <w:ind w:firstLine="420" w:firstLineChars="200"/>
        <w:rPr>
          <w:rFonts w:ascii="宋体" w:hAnsi="宋体"/>
          <w:kern w:val="0"/>
          <w:szCs w:val="21"/>
        </w:rPr>
      </w:pPr>
      <w:r>
        <w:rPr>
          <w:rFonts w:hint="eastAsia" w:ascii="宋体" w:hAnsi="宋体"/>
          <w:kern w:val="0"/>
          <w:szCs w:val="21"/>
        </w:rPr>
        <w:t>24.6　采购人或中标供应商不得单方面向合同另一方提出任何招标文件没有约定的条件或不合理的要求，作为签订合同的条件，也不得协商另行订立背离招标文件和合同实质性内容的协议。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ascii="宋体" w:hAnsi="宋体"/>
          <w:kern w:val="0"/>
          <w:szCs w:val="21"/>
        </w:rPr>
      </w:pPr>
      <w:r>
        <w:rPr>
          <w:rFonts w:hint="eastAsia" w:ascii="宋体" w:hAnsi="宋体"/>
          <w:kern w:val="0"/>
          <w:szCs w:val="21"/>
        </w:rPr>
        <w:t>24.7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spacing w:line="360" w:lineRule="auto"/>
        <w:ind w:firstLine="420" w:firstLineChars="200"/>
        <w:rPr>
          <w:rFonts w:ascii="宋体" w:hAnsi="宋体"/>
          <w:kern w:val="0"/>
          <w:szCs w:val="21"/>
        </w:rPr>
      </w:pPr>
      <w:r>
        <w:rPr>
          <w:rFonts w:hint="eastAsia" w:ascii="宋体" w:hAnsi="宋体"/>
          <w:kern w:val="0"/>
          <w:szCs w:val="21"/>
        </w:rPr>
        <w:t>24.8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ascii="宋体" w:hAnsi="宋体"/>
          <w:kern w:val="0"/>
          <w:szCs w:val="21"/>
        </w:rPr>
      </w:pPr>
      <w:r>
        <w:rPr>
          <w:rFonts w:hint="eastAsia" w:ascii="宋体" w:hAnsi="宋体"/>
          <w:kern w:val="0"/>
          <w:szCs w:val="21"/>
        </w:rPr>
        <w:t>24.9　采购人或中标供应商在合同履行过程中存在违反政府采购合同行为的，权益受损当事人应当将有关违约的情况以及拟采取的措施，及时书面报告采购代理机构。</w:t>
      </w:r>
    </w:p>
    <w:p>
      <w:pPr>
        <w:pStyle w:val="14"/>
        <w:spacing w:line="440" w:lineRule="exact"/>
        <w:ind w:firstLine="420"/>
        <w:rPr>
          <w:rFonts w:cs="宋体"/>
          <w:szCs w:val="28"/>
        </w:rPr>
      </w:pPr>
    </w:p>
    <w:p>
      <w:pPr>
        <w:pStyle w:val="14"/>
        <w:spacing w:line="440" w:lineRule="exact"/>
        <w:ind w:firstLine="420"/>
        <w:rPr>
          <w:rFonts w:cs="宋体"/>
          <w:szCs w:val="28"/>
        </w:rPr>
      </w:pPr>
    </w:p>
    <w:p>
      <w:pPr>
        <w:pStyle w:val="14"/>
        <w:spacing w:line="440" w:lineRule="exact"/>
        <w:ind w:firstLine="420"/>
        <w:rPr>
          <w:rFonts w:cs="宋体"/>
          <w:szCs w:val="28"/>
        </w:rPr>
      </w:pPr>
    </w:p>
    <w:p>
      <w:pPr>
        <w:pStyle w:val="14"/>
        <w:spacing w:line="440" w:lineRule="exact"/>
        <w:ind w:firstLine="420"/>
        <w:rPr>
          <w:rFonts w:cs="宋体"/>
          <w:szCs w:val="28"/>
        </w:rPr>
      </w:pPr>
    </w:p>
    <w:p>
      <w:pPr>
        <w:pStyle w:val="14"/>
        <w:spacing w:line="440" w:lineRule="exact"/>
        <w:ind w:firstLine="420"/>
        <w:rPr>
          <w:rFonts w:cs="宋体"/>
          <w:szCs w:val="28"/>
        </w:rPr>
      </w:pPr>
    </w:p>
    <w:p>
      <w:pPr>
        <w:spacing w:line="360" w:lineRule="auto"/>
        <w:jc w:val="center"/>
        <w:outlineLvl w:val="1"/>
        <w:rPr>
          <w:rFonts w:ascii="宋体" w:hAnsi="宋体"/>
          <w:b/>
          <w:kern w:val="0"/>
          <w:sz w:val="36"/>
          <w:szCs w:val="36"/>
        </w:rPr>
      </w:pPr>
      <w:bookmarkStart w:id="53" w:name="_Toc12007"/>
      <w:r>
        <w:rPr>
          <w:rFonts w:hint="eastAsia" w:ascii="宋体" w:hAnsi="宋体"/>
          <w:b/>
          <w:kern w:val="0"/>
          <w:sz w:val="36"/>
          <w:szCs w:val="36"/>
        </w:rPr>
        <w:t>七  其他事项</w:t>
      </w:r>
      <w:bookmarkEnd w:id="53"/>
    </w:p>
    <w:p>
      <w:pPr>
        <w:spacing w:line="360" w:lineRule="auto"/>
        <w:rPr>
          <w:rFonts w:ascii="宋体" w:hAnsi="宋体"/>
          <w:b/>
          <w:bCs/>
          <w:kern w:val="0"/>
          <w:szCs w:val="21"/>
        </w:rPr>
      </w:pPr>
      <w:r>
        <w:rPr>
          <w:rFonts w:hint="eastAsia" w:ascii="宋体" w:hAnsi="宋体"/>
          <w:b/>
          <w:bCs/>
          <w:kern w:val="0"/>
          <w:szCs w:val="21"/>
        </w:rPr>
        <w:t>25.  解释权</w:t>
      </w:r>
    </w:p>
    <w:p>
      <w:pPr>
        <w:pStyle w:val="14"/>
        <w:spacing w:line="440" w:lineRule="exact"/>
        <w:ind w:firstLine="360"/>
        <w:rPr>
          <w:rFonts w:hAnsi="宋体"/>
          <w:sz w:val="21"/>
          <w:szCs w:val="21"/>
        </w:rPr>
      </w:pPr>
      <w:r>
        <w:rPr>
          <w:rFonts w:hint="eastAsia" w:hAnsi="宋体"/>
          <w:sz w:val="21"/>
          <w:szCs w:val="21"/>
        </w:rPr>
        <w:t>25.1  本招标文件根据《中华人民共和国政府采购法》、《政府采购货物和服务招标投标管理办法》及相关法律法规编制，解释权属采购代理机构。</w:t>
      </w:r>
    </w:p>
    <w:p>
      <w:pPr>
        <w:spacing w:line="360" w:lineRule="auto"/>
        <w:rPr>
          <w:rFonts w:ascii="宋体" w:hAnsi="宋体"/>
          <w:b/>
          <w:bCs/>
          <w:kern w:val="0"/>
          <w:szCs w:val="21"/>
        </w:rPr>
      </w:pPr>
      <w:r>
        <w:rPr>
          <w:rFonts w:hint="eastAsia" w:ascii="宋体" w:hAnsi="宋体"/>
          <w:b/>
          <w:bCs/>
          <w:kern w:val="0"/>
          <w:szCs w:val="21"/>
        </w:rPr>
        <w:t>26.  需要补充的其他内容</w:t>
      </w:r>
    </w:p>
    <w:p>
      <w:pPr>
        <w:pStyle w:val="14"/>
        <w:spacing w:line="440" w:lineRule="exact"/>
        <w:ind w:firstLine="360"/>
        <w:rPr>
          <w:rFonts w:hAnsi="宋体"/>
          <w:sz w:val="21"/>
          <w:szCs w:val="21"/>
        </w:rPr>
      </w:pPr>
      <w:r>
        <w:rPr>
          <w:rFonts w:hint="eastAsia" w:hAnsi="宋体"/>
          <w:sz w:val="21"/>
          <w:szCs w:val="21"/>
        </w:rPr>
        <w:t>26.1  需要补充的其他内容：见投标人须知前附表。</w:t>
      </w:r>
    </w:p>
    <w:p>
      <w:pPr>
        <w:pStyle w:val="14"/>
        <w:jc w:val="center"/>
        <w:outlineLvl w:val="0"/>
        <w:rPr>
          <w:rFonts w:hAnsi="宋体"/>
        </w:rPr>
      </w:pPr>
      <w:r>
        <w:rPr>
          <w:rFonts w:hint="eastAsia" w:hAnsi="宋体"/>
        </w:rPr>
        <w:br w:type="page"/>
      </w:r>
      <w:bookmarkStart w:id="54" w:name="_Toc2076"/>
      <w:r>
        <w:rPr>
          <w:rFonts w:hint="eastAsia" w:ascii="Times New Roman" w:hAnsi="Times New Roman"/>
          <w:b/>
          <w:sz w:val="36"/>
        </w:rPr>
        <w:t>第五章投标文件格式</w:t>
      </w:r>
      <w:bookmarkEnd w:id="54"/>
    </w:p>
    <w:p>
      <w:pPr>
        <w:pStyle w:val="14"/>
        <w:spacing w:line="500" w:lineRule="exact"/>
        <w:jc w:val="center"/>
        <w:rPr>
          <w:rFonts w:ascii="Times New Roman" w:hAnsi="Times New Roman"/>
          <w:b/>
          <w:bCs/>
          <w:sz w:val="30"/>
          <w:szCs w:val="30"/>
        </w:rPr>
      </w:pPr>
      <w:r>
        <w:rPr>
          <w:rFonts w:hint="eastAsia" w:ascii="Times New Roman" w:hAnsi="Times New Roman"/>
          <w:b/>
          <w:bCs/>
          <w:sz w:val="30"/>
          <w:szCs w:val="30"/>
        </w:rPr>
        <w:t>投标函（格式）</w:t>
      </w:r>
    </w:p>
    <w:p>
      <w:pPr>
        <w:pStyle w:val="14"/>
        <w:spacing w:line="440" w:lineRule="exact"/>
        <w:rPr>
          <w:rFonts w:ascii="Times New Roman" w:hAnsi="Times New Roman"/>
          <w:sz w:val="32"/>
        </w:rPr>
      </w:pPr>
    </w:p>
    <w:p>
      <w:pPr>
        <w:pStyle w:val="14"/>
        <w:spacing w:line="440" w:lineRule="exact"/>
        <w:ind w:firstLine="400" w:firstLineChars="200"/>
        <w:rPr>
          <w:rFonts w:ascii="Times New Roman" w:hAnsi="Times New Roman"/>
        </w:rPr>
      </w:pPr>
      <w:r>
        <w:rPr>
          <w:rFonts w:hint="eastAsia" w:ascii="Times New Roman" w:hAnsi="Times New Roman"/>
        </w:rPr>
        <w:t>致：（采购代理机构名称）</w:t>
      </w:r>
    </w:p>
    <w:p>
      <w:pPr>
        <w:pStyle w:val="14"/>
        <w:spacing w:line="440" w:lineRule="exact"/>
        <w:ind w:firstLine="400" w:firstLineChars="200"/>
        <w:rPr>
          <w:rFonts w:ascii="Times New Roman" w:hAnsi="Times New Roman"/>
        </w:rPr>
      </w:pPr>
      <w:r>
        <w:rPr>
          <w:rFonts w:hint="eastAsia"/>
        </w:rPr>
        <w:t xml:space="preserve">我方已仔细阅读了贵方组织的项目（项目编号：）的招标文件的全部内容，现正式递交下述文件参加贵方组织的本次政府采购活动： </w:t>
      </w:r>
    </w:p>
    <w:p>
      <w:pPr>
        <w:pStyle w:val="14"/>
        <w:spacing w:line="440" w:lineRule="exact"/>
        <w:ind w:firstLine="400" w:firstLineChars="200"/>
      </w:pPr>
      <w:r>
        <w:rPr>
          <w:rFonts w:hint="eastAsia"/>
        </w:rPr>
        <w:t>一、报价文件正本一份，副本份（包含按投标人须知第10.1.1项要求提交的全部文件）；</w:t>
      </w:r>
    </w:p>
    <w:p>
      <w:pPr>
        <w:pStyle w:val="14"/>
        <w:spacing w:line="440" w:lineRule="exact"/>
        <w:ind w:firstLine="482"/>
      </w:pPr>
      <w:r>
        <w:rPr>
          <w:rFonts w:hint="eastAsia"/>
        </w:rPr>
        <w:t>二、资格文件正本一份，副本份（包含按投标人须知第10.1.2项要求提交的全部文件）；</w:t>
      </w:r>
    </w:p>
    <w:p>
      <w:pPr>
        <w:pStyle w:val="14"/>
        <w:spacing w:line="440" w:lineRule="exact"/>
        <w:ind w:firstLine="400" w:firstLineChars="200"/>
        <w:rPr>
          <w:rFonts w:ascii="Times New Roman" w:hAnsi="Times New Roman"/>
        </w:rPr>
      </w:pPr>
      <w:r>
        <w:rPr>
          <w:rFonts w:hint="eastAsia"/>
        </w:rPr>
        <w:t>三、</w:t>
      </w:r>
      <w:r>
        <w:rPr>
          <w:rFonts w:hint="eastAsia" w:hAnsi="宋体"/>
        </w:rPr>
        <w:t>技术</w:t>
      </w:r>
      <w:r>
        <w:rPr>
          <w:rFonts w:hint="eastAsia"/>
        </w:rPr>
        <w:t>文件正本一份，副本份（包含按投标人须知第10.1.3项要求提交的全部文件）；</w:t>
      </w:r>
    </w:p>
    <w:p>
      <w:pPr>
        <w:pStyle w:val="14"/>
        <w:spacing w:line="440" w:lineRule="exact"/>
        <w:ind w:firstLine="400" w:firstLineChars="200"/>
        <w:rPr>
          <w:rFonts w:ascii="Times New Roman" w:hAnsi="Times New Roman"/>
        </w:rPr>
      </w:pPr>
      <w:r>
        <w:rPr>
          <w:rFonts w:hint="eastAsia" w:hAnsi="宋体"/>
        </w:rPr>
        <w:t>四、</w:t>
      </w:r>
      <w:r>
        <w:rPr>
          <w:rFonts w:hint="eastAsia"/>
        </w:rPr>
        <w:t>商务</w:t>
      </w:r>
      <w:r>
        <w:rPr>
          <w:rFonts w:hint="eastAsia" w:hAnsi="宋体"/>
        </w:rPr>
        <w:t>文件正本一份，副本份（包含按投标人须知第10.1.4项要求</w:t>
      </w:r>
      <w:r>
        <w:rPr>
          <w:rFonts w:hint="eastAsia"/>
        </w:rPr>
        <w:t>提交的全部文件）。</w:t>
      </w:r>
    </w:p>
    <w:p>
      <w:pPr>
        <w:pStyle w:val="14"/>
        <w:spacing w:line="440" w:lineRule="exact"/>
        <w:ind w:firstLine="482"/>
        <w:rPr>
          <w:rFonts w:ascii="Times New Roman" w:hAnsi="Times New Roman"/>
        </w:rPr>
      </w:pPr>
      <w:r>
        <w:rPr>
          <w:rFonts w:hint="eastAsia"/>
        </w:rPr>
        <w:t>据此函，签字人兹宣布：</w:t>
      </w:r>
    </w:p>
    <w:p>
      <w:pPr>
        <w:pStyle w:val="14"/>
        <w:spacing w:line="440" w:lineRule="exact"/>
        <w:ind w:firstLine="400" w:firstLineChars="200"/>
        <w:rPr>
          <w:rFonts w:ascii="Times New Roman" w:hAnsi="Times New Roman"/>
        </w:rPr>
      </w:pPr>
      <w:r>
        <w:rPr>
          <w:rFonts w:hint="eastAsia"/>
        </w:rPr>
        <w:t>1、我方愿意以（大写）人民币元 (￥元)的投标总报价，提交服务时间（无分标时填写），提供本项目</w:t>
      </w:r>
      <w:r>
        <w:rPr>
          <w:rFonts w:hint="eastAsia" w:hAnsi="Times New Roman"/>
        </w:rPr>
        <w:t>招标文件第二章</w:t>
      </w:r>
      <w:r>
        <w:rPr>
          <w:rFonts w:hint="eastAsia"/>
        </w:rPr>
        <w:t>“项目采购需求一览表”中的相应的采购内容。</w:t>
      </w:r>
    </w:p>
    <w:p>
      <w:pPr>
        <w:pStyle w:val="14"/>
        <w:spacing w:line="360" w:lineRule="exact"/>
        <w:ind w:firstLine="400" w:firstLineChars="200"/>
        <w:rPr>
          <w:u w:val="single"/>
        </w:rPr>
      </w:pPr>
      <w:r>
        <w:rPr>
          <w:rFonts w:hint="eastAsia"/>
        </w:rPr>
        <w:t>2、我方同意自本项目招标文件“投标人须知”第13.2项规定的投标截止时间（开标时间）起遵循</w:t>
      </w:r>
      <w:r>
        <w:rPr>
          <w:rFonts w:hint="eastAsia" w:hAnsi="宋体"/>
        </w:rPr>
        <w:t>本投标函</w:t>
      </w:r>
      <w:r>
        <w:rPr>
          <w:rFonts w:hint="eastAsia"/>
        </w:rPr>
        <w:t>，并承诺在“投标人须知”第12.1项规定的投标有效期内不修改、撤销投标文件。</w:t>
      </w:r>
    </w:p>
    <w:p>
      <w:pPr>
        <w:pStyle w:val="14"/>
        <w:spacing w:line="360" w:lineRule="exact"/>
        <w:ind w:firstLine="400" w:firstLineChars="200"/>
        <w:rPr>
          <w:u w:val="single"/>
        </w:rPr>
      </w:pPr>
      <w:r>
        <w:rPr>
          <w:rFonts w:hint="eastAsia"/>
        </w:rPr>
        <w:t>3、我方所递交的投标文件及有关资料都是内容完整、真实和准确的。</w:t>
      </w:r>
    </w:p>
    <w:p>
      <w:pPr>
        <w:pStyle w:val="14"/>
        <w:spacing w:line="360" w:lineRule="exact"/>
        <w:ind w:firstLine="400" w:firstLineChars="200"/>
        <w:rPr>
          <w:u w:val="single"/>
        </w:rPr>
      </w:pPr>
      <w:r>
        <w:rPr>
          <w:rFonts w:hint="eastAsia"/>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4"/>
        <w:numPr>
          <w:ilvl w:val="0"/>
          <w:numId w:val="8"/>
        </w:numPr>
        <w:spacing w:line="440" w:lineRule="exact"/>
      </w:pPr>
      <w:r>
        <w:rPr>
          <w:rFonts w:hint="eastAsia"/>
        </w:rPr>
        <w:t>具有独立承担民事责任的能力；</w:t>
      </w:r>
    </w:p>
    <w:p>
      <w:pPr>
        <w:pStyle w:val="14"/>
        <w:numPr>
          <w:ilvl w:val="0"/>
          <w:numId w:val="8"/>
        </w:numPr>
        <w:spacing w:line="440" w:lineRule="exact"/>
      </w:pPr>
      <w:r>
        <w:rPr>
          <w:rFonts w:hint="eastAsia"/>
        </w:rPr>
        <w:t>具有良好的商业信誉和健全的财务会计制度；</w:t>
      </w:r>
    </w:p>
    <w:p>
      <w:pPr>
        <w:pStyle w:val="14"/>
        <w:numPr>
          <w:ilvl w:val="0"/>
          <w:numId w:val="8"/>
        </w:numPr>
        <w:spacing w:line="440" w:lineRule="exact"/>
      </w:pPr>
      <w:r>
        <w:rPr>
          <w:rFonts w:hint="eastAsia"/>
        </w:rPr>
        <w:t>具有履行合同所必需的设备和专业技术能力；</w:t>
      </w:r>
    </w:p>
    <w:p>
      <w:pPr>
        <w:pStyle w:val="14"/>
        <w:numPr>
          <w:ilvl w:val="0"/>
          <w:numId w:val="8"/>
        </w:numPr>
        <w:spacing w:line="440" w:lineRule="exact"/>
      </w:pPr>
      <w:r>
        <w:rPr>
          <w:rFonts w:hint="eastAsia"/>
        </w:rPr>
        <w:t>有依法缴纳税收和社会保障资金的良好记录；</w:t>
      </w:r>
    </w:p>
    <w:p>
      <w:pPr>
        <w:pStyle w:val="14"/>
        <w:numPr>
          <w:ilvl w:val="0"/>
          <w:numId w:val="8"/>
        </w:numPr>
        <w:spacing w:line="440" w:lineRule="exact"/>
      </w:pPr>
      <w:r>
        <w:rPr>
          <w:rFonts w:hint="eastAsia"/>
        </w:rPr>
        <w:t>参加政府采购活动前三年内，在经营活动中没有重大违法记录；</w:t>
      </w:r>
    </w:p>
    <w:p>
      <w:pPr>
        <w:pStyle w:val="14"/>
        <w:numPr>
          <w:ilvl w:val="0"/>
          <w:numId w:val="8"/>
        </w:numPr>
        <w:spacing w:line="440" w:lineRule="exact"/>
      </w:pPr>
      <w:r>
        <w:rPr>
          <w:rFonts w:hint="eastAsia"/>
        </w:rPr>
        <w:t>法律、行政法规规定的其他条件。</w:t>
      </w:r>
    </w:p>
    <w:p>
      <w:pPr>
        <w:pStyle w:val="14"/>
        <w:spacing w:line="440" w:lineRule="exact"/>
        <w:ind w:firstLine="482"/>
      </w:pPr>
      <w:r>
        <w:rPr>
          <w:rFonts w:hint="eastAsia"/>
        </w:rPr>
        <w:t>5、</w:t>
      </w:r>
      <w:r>
        <w:rPr>
          <w:rFonts w:hint="eastAsia"/>
          <w:szCs w:val="21"/>
        </w:rPr>
        <w:t>如本项目采购内容涉及须符合国家强制规定的，我方承诺我方本次投标（包括资格条件和所投产品）均符合国家有关强制规定。</w:t>
      </w:r>
    </w:p>
    <w:p>
      <w:pPr>
        <w:pStyle w:val="14"/>
        <w:spacing w:line="440" w:lineRule="exact"/>
        <w:ind w:firstLine="400" w:firstLineChars="200"/>
      </w:pPr>
      <w:r>
        <w:rPr>
          <w:rFonts w:hint="eastAsia"/>
        </w:rPr>
        <w:t>6、如我方中标，我方承诺在收到中标通知书后，在中标通知书规定的期限内，</w:t>
      </w:r>
      <w:r>
        <w:rPr>
          <w:rFonts w:hint="eastAsia" w:hAnsi="宋体"/>
        </w:rPr>
        <w:t>根据招标文件、我方的投标文件及有关澄清承诺书的要求按第六章“合同条款及格式”与采购人订立书面合同，并按照合同约定</w:t>
      </w:r>
      <w:r>
        <w:rPr>
          <w:rFonts w:hint="eastAsia"/>
        </w:rPr>
        <w:t>承担完成合同的责任和义务。</w:t>
      </w:r>
    </w:p>
    <w:p>
      <w:pPr>
        <w:pStyle w:val="14"/>
        <w:spacing w:line="440" w:lineRule="exact"/>
        <w:ind w:firstLine="400" w:firstLineChars="200"/>
      </w:pPr>
      <w:r>
        <w:rPr>
          <w:rFonts w:hint="eastAsia"/>
        </w:rPr>
        <w:t>7、我方已详细审核招标文件，我方知道必须放弃提出含糊不清或误解问题的权利。</w:t>
      </w:r>
    </w:p>
    <w:p>
      <w:pPr>
        <w:pStyle w:val="14"/>
        <w:spacing w:line="440" w:lineRule="exact"/>
        <w:ind w:firstLine="400" w:firstLineChars="200"/>
      </w:pPr>
      <w:r>
        <w:rPr>
          <w:rFonts w:hint="eastAsia"/>
        </w:rPr>
        <w:t>8、我方同意应贵方要求提供与本投标有关的任何数据或资料。若贵方需要，我方愿意提供我方作出的一切承诺的证明材料。</w:t>
      </w:r>
    </w:p>
    <w:p>
      <w:pPr>
        <w:pStyle w:val="14"/>
        <w:spacing w:line="440" w:lineRule="exact"/>
        <w:ind w:firstLine="400" w:firstLineChars="200"/>
      </w:pPr>
      <w:r>
        <w:rPr>
          <w:rFonts w:hint="eastAsia"/>
        </w:rPr>
        <w:t>9、我方完全理解贵方不一定接受投标报价最低的投标人为中标供应商的行为。</w:t>
      </w:r>
    </w:p>
    <w:p>
      <w:pPr>
        <w:pStyle w:val="14"/>
        <w:spacing w:line="440" w:lineRule="exact"/>
        <w:ind w:firstLine="400" w:firstLineChars="200"/>
      </w:pPr>
      <w:r>
        <w:rPr>
          <w:rFonts w:hint="eastAsia"/>
        </w:rPr>
        <w:t>10、我方将严格遵守《中华人民共和国政府采购法》第七十七条的规定，即供应商有下列情形之一的，处以采购金额千分之五以上千分之十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pPr>
        <w:pStyle w:val="14"/>
        <w:numPr>
          <w:ilvl w:val="0"/>
          <w:numId w:val="9"/>
        </w:numPr>
        <w:spacing w:line="440" w:lineRule="exact"/>
        <w:rPr>
          <w:rFonts w:hAnsi="宋体"/>
        </w:rPr>
      </w:pPr>
      <w:r>
        <w:rPr>
          <w:rFonts w:hint="eastAsia" w:hAnsi="宋体"/>
        </w:rPr>
        <w:t>提供虚假材料谋取中标、成交的；</w:t>
      </w:r>
    </w:p>
    <w:p>
      <w:pPr>
        <w:pStyle w:val="14"/>
        <w:numPr>
          <w:ilvl w:val="0"/>
          <w:numId w:val="9"/>
        </w:numPr>
        <w:spacing w:line="440" w:lineRule="exact"/>
        <w:rPr>
          <w:rFonts w:hAnsi="宋体"/>
        </w:rPr>
      </w:pPr>
      <w:r>
        <w:rPr>
          <w:rFonts w:hint="eastAsia" w:hAnsi="宋体"/>
        </w:rPr>
        <w:t>采取不正当手段诋毁、排挤其他供应商的；</w:t>
      </w:r>
    </w:p>
    <w:p>
      <w:pPr>
        <w:pStyle w:val="14"/>
        <w:numPr>
          <w:ilvl w:val="0"/>
          <w:numId w:val="9"/>
        </w:numPr>
        <w:spacing w:line="440" w:lineRule="exact"/>
      </w:pPr>
      <w:r>
        <w:rPr>
          <w:rFonts w:hint="eastAsia" w:hAnsi="宋体"/>
        </w:rPr>
        <w:t>与采购人、其他供应商或者采购代理机构恶意串通的；</w:t>
      </w:r>
    </w:p>
    <w:p>
      <w:pPr>
        <w:pStyle w:val="14"/>
        <w:numPr>
          <w:ilvl w:val="0"/>
          <w:numId w:val="9"/>
        </w:numPr>
        <w:spacing w:line="440" w:lineRule="exact"/>
      </w:pPr>
      <w:r>
        <w:rPr>
          <w:rFonts w:hint="eastAsia" w:hAnsi="宋体"/>
        </w:rPr>
        <w:t>向采购人、采购代理机构行贿或者提供其他不正当利益的；</w:t>
      </w:r>
    </w:p>
    <w:p>
      <w:pPr>
        <w:pStyle w:val="14"/>
        <w:numPr>
          <w:ilvl w:val="0"/>
          <w:numId w:val="9"/>
        </w:numPr>
        <w:spacing w:line="440" w:lineRule="exact"/>
      </w:pPr>
      <w:r>
        <w:rPr>
          <w:rFonts w:hint="eastAsia" w:hAnsi="宋体"/>
        </w:rPr>
        <w:t>在招标采购过程中与采购人进行协商谈判的；</w:t>
      </w:r>
    </w:p>
    <w:p>
      <w:pPr>
        <w:pStyle w:val="14"/>
        <w:numPr>
          <w:ilvl w:val="0"/>
          <w:numId w:val="9"/>
        </w:numPr>
        <w:spacing w:line="440" w:lineRule="exact"/>
      </w:pPr>
      <w:r>
        <w:rPr>
          <w:rFonts w:hint="eastAsia" w:hAnsi="宋体"/>
        </w:rPr>
        <w:t>拒绝有关部门监督检查或提供虚假情况的。</w:t>
      </w:r>
    </w:p>
    <w:p>
      <w:pPr>
        <w:pStyle w:val="14"/>
        <w:spacing w:line="440" w:lineRule="exact"/>
        <w:ind w:left="420"/>
      </w:pPr>
      <w:r>
        <w:rPr>
          <w:rFonts w:hint="eastAsia"/>
        </w:rPr>
        <w:t>11、我方及由本人担任法定代表人的其他机构最近三年内被处罚的违法行为有：</w:t>
      </w:r>
    </w:p>
    <w:p>
      <w:pPr>
        <w:pStyle w:val="14"/>
        <w:spacing w:line="440" w:lineRule="exact"/>
        <w:ind w:left="420"/>
      </w:pPr>
    </w:p>
    <w:p>
      <w:pPr>
        <w:pStyle w:val="14"/>
        <w:spacing w:line="360" w:lineRule="auto"/>
        <w:ind w:firstLine="420"/>
      </w:pPr>
      <w:r>
        <w:rPr>
          <w:rFonts w:hint="eastAsia"/>
        </w:rPr>
        <w:t>12、以上事项如有虚假或隐瞒，我方愿意承担一切后果，并不再寻求任何旨在减轻或免除法律责任的辩解。</w:t>
      </w:r>
    </w:p>
    <w:p>
      <w:pPr>
        <w:pStyle w:val="14"/>
        <w:spacing w:line="360" w:lineRule="auto"/>
        <w:ind w:firstLine="420"/>
        <w:rPr>
          <w:u w:val="single"/>
        </w:rPr>
      </w:pPr>
      <w:r>
        <w:rPr>
          <w:rFonts w:hint="eastAsia"/>
        </w:rPr>
        <w:t>投标人：（盖单位公章）</w:t>
      </w:r>
    </w:p>
    <w:p>
      <w:pPr>
        <w:pStyle w:val="14"/>
        <w:spacing w:line="360" w:lineRule="auto"/>
        <w:ind w:firstLine="420"/>
      </w:pPr>
      <w:r>
        <w:rPr>
          <w:rFonts w:hint="eastAsia" w:ascii="Times New Roman" w:hAnsi="Times New Roman"/>
        </w:rPr>
        <w:t>法定代表人或其委托代理人：（签字或盖章）</w:t>
      </w:r>
    </w:p>
    <w:p>
      <w:pPr>
        <w:pStyle w:val="14"/>
        <w:spacing w:line="360" w:lineRule="auto"/>
        <w:ind w:firstLine="420"/>
      </w:pPr>
      <w:r>
        <w:rPr>
          <w:rFonts w:hint="eastAsia"/>
        </w:rPr>
        <w:t>地址：</w:t>
      </w:r>
    </w:p>
    <w:p>
      <w:pPr>
        <w:pStyle w:val="14"/>
        <w:spacing w:line="360" w:lineRule="auto"/>
        <w:ind w:firstLine="420"/>
        <w:rPr>
          <w:u w:val="single"/>
        </w:rPr>
      </w:pPr>
      <w:r>
        <w:rPr>
          <w:rFonts w:hint="eastAsia"/>
        </w:rPr>
        <w:t>电话：</w:t>
      </w:r>
      <w:r>
        <w:rPr>
          <w:rFonts w:hint="eastAsia"/>
          <w:u w:val="single"/>
        </w:rPr>
        <w:t xml:space="preserve">                                      　　　　　　　　　</w:t>
      </w:r>
    </w:p>
    <w:p>
      <w:pPr>
        <w:pStyle w:val="14"/>
        <w:spacing w:line="360" w:lineRule="auto"/>
        <w:ind w:firstLine="420"/>
      </w:pPr>
      <w:r>
        <w:rPr>
          <w:rFonts w:hint="eastAsia"/>
        </w:rPr>
        <w:t>传真：</w:t>
      </w:r>
      <w:r>
        <w:rPr>
          <w:rFonts w:hint="eastAsia"/>
          <w:u w:val="single"/>
        </w:rPr>
        <w:t>　　　　　　　　　　　　　　　　　　　　　　　　　　　　</w:t>
      </w:r>
    </w:p>
    <w:p>
      <w:pPr>
        <w:pStyle w:val="14"/>
        <w:spacing w:line="360" w:lineRule="auto"/>
        <w:ind w:firstLine="420"/>
        <w:rPr>
          <w:u w:val="single"/>
        </w:rPr>
      </w:pPr>
      <w:r>
        <w:rPr>
          <w:rFonts w:hint="eastAsia"/>
        </w:rPr>
        <w:t>邮政编码：</w:t>
      </w:r>
    </w:p>
    <w:p>
      <w:pPr>
        <w:pStyle w:val="14"/>
        <w:spacing w:line="360" w:lineRule="auto"/>
        <w:ind w:firstLine="420"/>
        <w:rPr>
          <w:u w:val="single"/>
        </w:rPr>
      </w:pPr>
      <w:r>
        <w:rPr>
          <w:rFonts w:hint="eastAsia"/>
        </w:rPr>
        <w:t>开户名称：</w:t>
      </w:r>
    </w:p>
    <w:p>
      <w:pPr>
        <w:pStyle w:val="14"/>
        <w:spacing w:line="360" w:lineRule="auto"/>
        <w:ind w:firstLine="420"/>
        <w:rPr>
          <w:u w:val="single"/>
        </w:rPr>
      </w:pPr>
      <w:r>
        <w:rPr>
          <w:rFonts w:hint="eastAsia"/>
        </w:rPr>
        <w:t>开户银行：</w:t>
      </w:r>
    </w:p>
    <w:p>
      <w:pPr>
        <w:pStyle w:val="14"/>
        <w:spacing w:line="360" w:lineRule="auto"/>
        <w:ind w:firstLine="420"/>
        <w:rPr>
          <w:u w:val="single"/>
        </w:rPr>
      </w:pPr>
      <w:r>
        <w:rPr>
          <w:rFonts w:hint="eastAsia"/>
        </w:rPr>
        <w:t>银行账号：</w:t>
      </w:r>
    </w:p>
    <w:p>
      <w:pPr>
        <w:pStyle w:val="14"/>
        <w:spacing w:line="360" w:lineRule="auto"/>
        <w:ind w:firstLine="420"/>
        <w:jc w:val="right"/>
        <w:rPr>
          <w:u w:val="single"/>
        </w:rPr>
      </w:pPr>
      <w:r>
        <w:rPr>
          <w:rFonts w:hint="eastAsia"/>
          <w:bCs/>
          <w:szCs w:val="21"/>
        </w:rPr>
        <w:t>年月日</w:t>
      </w:r>
    </w:p>
    <w:p>
      <w:pPr>
        <w:pStyle w:val="14"/>
        <w:spacing w:line="360" w:lineRule="auto"/>
        <w:rPr>
          <w:u w:val="single"/>
        </w:rPr>
      </w:pPr>
      <w:r>
        <w:rPr>
          <w:rFonts w:hint="eastAsia" w:ascii="黑体" w:eastAsia="黑体"/>
          <w:b/>
          <w:bCs/>
        </w:rPr>
        <w:br w:type="page"/>
      </w:r>
    </w:p>
    <w:p>
      <w:pPr>
        <w:pStyle w:val="14"/>
        <w:spacing w:line="360" w:lineRule="auto"/>
        <w:jc w:val="center"/>
        <w:rPr>
          <w:b/>
          <w:sz w:val="32"/>
        </w:rPr>
      </w:pPr>
      <w:r>
        <w:rPr>
          <w:rFonts w:hint="eastAsia"/>
          <w:b/>
          <w:sz w:val="32"/>
        </w:rPr>
        <w:t>投标报价表（格式）</w:t>
      </w:r>
    </w:p>
    <w:tbl>
      <w:tblPr>
        <w:tblStyle w:val="26"/>
        <w:tblW w:w="985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095"/>
        <w:gridCol w:w="885"/>
        <w:gridCol w:w="1800"/>
        <w:gridCol w:w="2160"/>
        <w:gridCol w:w="1080"/>
        <w:gridCol w:w="1626"/>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right"/>
        </w:trPr>
        <w:tc>
          <w:tcPr>
            <w:tcW w:w="64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spacing w:val="-20"/>
                <w:szCs w:val="22"/>
              </w:rPr>
            </w:pPr>
            <w:r>
              <w:rPr>
                <w:spacing w:val="-20"/>
                <w:szCs w:val="22"/>
              </w:rPr>
              <w:t>项号</w:t>
            </w:r>
          </w:p>
        </w:tc>
        <w:tc>
          <w:tcPr>
            <w:tcW w:w="109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spacing w:val="-20"/>
                <w:szCs w:val="22"/>
              </w:rPr>
            </w:pPr>
            <w:r>
              <w:rPr>
                <w:spacing w:val="-20"/>
                <w:szCs w:val="22"/>
              </w:rPr>
              <w:t>货物名称</w:t>
            </w:r>
          </w:p>
        </w:tc>
        <w:tc>
          <w:tcPr>
            <w:tcW w:w="88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spacing w:val="-20"/>
                <w:szCs w:val="22"/>
              </w:rPr>
            </w:pPr>
            <w:r>
              <w:rPr>
                <w:spacing w:val="-20"/>
                <w:szCs w:val="22"/>
              </w:rPr>
              <w:t>数量</w:t>
            </w:r>
            <w:r>
              <w:rPr>
                <w:rFonts w:hint="eastAsia"/>
                <w:spacing w:val="-20"/>
                <w:szCs w:val="22"/>
              </w:rPr>
              <w:t>①</w:t>
            </w:r>
          </w:p>
        </w:tc>
        <w:tc>
          <w:tcPr>
            <w:tcW w:w="1800"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szCs w:val="22"/>
              </w:rPr>
            </w:pPr>
            <w:r>
              <w:rPr>
                <w:rFonts w:hint="eastAsia"/>
                <w:spacing w:val="-20"/>
                <w:szCs w:val="22"/>
              </w:rPr>
              <w:t>货物全称、品牌、生产厂家及国别</w:t>
            </w:r>
          </w:p>
        </w:tc>
        <w:tc>
          <w:tcPr>
            <w:tcW w:w="2160"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szCs w:val="22"/>
              </w:rPr>
            </w:pPr>
            <w:r>
              <w:rPr>
                <w:rFonts w:hint="eastAsia"/>
                <w:szCs w:val="22"/>
              </w:rPr>
              <w:t>规格型号</w:t>
            </w:r>
          </w:p>
        </w:tc>
        <w:tc>
          <w:tcPr>
            <w:tcW w:w="1080"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szCs w:val="22"/>
              </w:rPr>
            </w:pPr>
            <w:r>
              <w:rPr>
                <w:szCs w:val="22"/>
              </w:rPr>
              <w:t>单价</w:t>
            </w:r>
            <w:r>
              <w:rPr>
                <w:rFonts w:hint="eastAsia"/>
                <w:szCs w:val="22"/>
              </w:rPr>
              <w:t>（元）②</w:t>
            </w:r>
          </w:p>
        </w:tc>
        <w:tc>
          <w:tcPr>
            <w:tcW w:w="1626"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Ansi="宋体"/>
                <w:szCs w:val="22"/>
              </w:rPr>
            </w:pPr>
            <w:r>
              <w:rPr>
                <w:rFonts w:hint="eastAsia" w:hAnsi="宋体"/>
                <w:szCs w:val="22"/>
              </w:rPr>
              <w:t>单项合价（元）</w:t>
            </w:r>
          </w:p>
          <w:p>
            <w:pPr>
              <w:pStyle w:val="14"/>
              <w:spacing w:line="360" w:lineRule="auto"/>
              <w:jc w:val="center"/>
              <w:rPr>
                <w:rFonts w:hAnsi="宋体"/>
                <w:szCs w:val="22"/>
              </w:rPr>
            </w:pPr>
            <w:r>
              <w:rPr>
                <w:rFonts w:hint="eastAsia" w:hAnsi="宋体"/>
                <w:szCs w:val="22"/>
              </w:rPr>
              <w:t>③=①×②</w:t>
            </w:r>
          </w:p>
        </w:tc>
        <w:tc>
          <w:tcPr>
            <w:tcW w:w="560"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szCs w:val="22"/>
              </w:rPr>
            </w:pPr>
            <w:r>
              <w:rPr>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64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szCs w:val="22"/>
              </w:rPr>
            </w:pPr>
            <w:r>
              <w:rPr>
                <w:rFonts w:hint="eastAsia"/>
                <w:szCs w:val="22"/>
              </w:rPr>
              <w:t>1</w:t>
            </w:r>
          </w:p>
        </w:tc>
        <w:tc>
          <w:tcPr>
            <w:tcW w:w="109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szCs w:val="22"/>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szCs w:val="22"/>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szCs w:val="22"/>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szCs w:val="22"/>
              </w:rPr>
            </w:pPr>
          </w:p>
        </w:tc>
        <w:tc>
          <w:tcPr>
            <w:tcW w:w="1626"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szCs w:val="22"/>
              </w:rPr>
            </w:pPr>
          </w:p>
        </w:tc>
        <w:tc>
          <w:tcPr>
            <w:tcW w:w="560"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spacing w:val="-6"/>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64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szCs w:val="22"/>
              </w:rPr>
            </w:pPr>
            <w:r>
              <w:rPr>
                <w:rFonts w:hint="eastAsia"/>
                <w:szCs w:val="22"/>
              </w:rPr>
              <w:t>2</w:t>
            </w:r>
          </w:p>
        </w:tc>
        <w:tc>
          <w:tcPr>
            <w:tcW w:w="109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szCs w:val="22"/>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szCs w:val="22"/>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szCs w:val="22"/>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szCs w:val="22"/>
              </w:rPr>
            </w:pPr>
          </w:p>
        </w:tc>
        <w:tc>
          <w:tcPr>
            <w:tcW w:w="1626"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szCs w:val="22"/>
              </w:rPr>
            </w:pPr>
          </w:p>
        </w:tc>
        <w:tc>
          <w:tcPr>
            <w:tcW w:w="560"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spacing w:val="-6"/>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64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szCs w:val="22"/>
              </w:rPr>
            </w:pPr>
            <w:r>
              <w:rPr>
                <w:rFonts w:hint="eastAsia"/>
                <w:szCs w:val="22"/>
              </w:rPr>
              <w:t>...</w:t>
            </w:r>
          </w:p>
        </w:tc>
        <w:tc>
          <w:tcPr>
            <w:tcW w:w="109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szCs w:val="22"/>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szCs w:val="22"/>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szCs w:val="22"/>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szCs w:val="22"/>
              </w:rPr>
            </w:pPr>
          </w:p>
        </w:tc>
        <w:tc>
          <w:tcPr>
            <w:tcW w:w="1626"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szCs w:val="22"/>
              </w:rPr>
            </w:pPr>
          </w:p>
        </w:tc>
        <w:tc>
          <w:tcPr>
            <w:tcW w:w="560"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spacing w:val="-6"/>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851" w:type="dxa"/>
            <w:gridSpan w:val="8"/>
            <w:tcBorders>
              <w:top w:val="single" w:color="auto" w:sz="4" w:space="0"/>
              <w:left w:val="single" w:color="auto" w:sz="4" w:space="0"/>
              <w:bottom w:val="single" w:color="auto" w:sz="4" w:space="0"/>
              <w:right w:val="single" w:color="auto" w:sz="4" w:space="0"/>
            </w:tcBorders>
            <w:vAlign w:val="center"/>
          </w:tcPr>
          <w:p>
            <w:pPr>
              <w:pStyle w:val="14"/>
              <w:spacing w:line="360" w:lineRule="auto"/>
              <w:rPr>
                <w:spacing w:val="-6"/>
                <w:szCs w:val="22"/>
              </w:rPr>
            </w:pPr>
            <w:r>
              <w:rPr>
                <w:rFonts w:hint="eastAsia"/>
                <w:spacing w:val="-6"/>
                <w:szCs w:val="22"/>
              </w:rPr>
              <w:t>报价合计（包含装卸、运输等所有费用）</w:t>
            </w:r>
            <w:r>
              <w:rPr>
                <w:spacing w:val="-6"/>
                <w:szCs w:val="22"/>
              </w:rPr>
              <w:t>：（大写）人民币</w:t>
            </w:r>
            <w:r>
              <w:rPr>
                <w:rFonts w:hint="eastAsia"/>
                <w:spacing w:val="-6"/>
                <w:szCs w:val="22"/>
              </w:rPr>
              <w:t xml:space="preserve">       </w:t>
            </w:r>
            <w:r>
              <w:rPr>
                <w:spacing w:val="-6"/>
                <w:szCs w:val="22"/>
              </w:rPr>
              <w:t>（￥</w:t>
            </w:r>
            <w:r>
              <w:rPr>
                <w:rFonts w:hint="eastAsia"/>
                <w:spacing w:val="-6"/>
                <w:szCs w:val="22"/>
                <w:u w:val="single"/>
              </w:rPr>
              <w:t xml:space="preserve">                </w:t>
            </w:r>
            <w:r>
              <w:rPr>
                <w:spacing w:val="-6"/>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851" w:type="dxa"/>
            <w:gridSpan w:val="8"/>
            <w:tcBorders>
              <w:top w:val="single" w:color="auto" w:sz="4" w:space="0"/>
              <w:left w:val="single" w:color="auto" w:sz="4" w:space="0"/>
              <w:bottom w:val="single" w:color="auto" w:sz="4" w:space="0"/>
              <w:right w:val="single" w:color="auto" w:sz="4" w:space="0"/>
            </w:tcBorders>
            <w:vAlign w:val="center"/>
          </w:tcPr>
          <w:p>
            <w:pPr>
              <w:pStyle w:val="14"/>
              <w:tabs>
                <w:tab w:val="left" w:pos="2907"/>
              </w:tabs>
              <w:spacing w:line="360" w:lineRule="auto"/>
              <w:rPr>
                <w:spacing w:val="-6"/>
                <w:szCs w:val="22"/>
              </w:rPr>
            </w:pPr>
            <w:r>
              <w:rPr>
                <w:rFonts w:hint="eastAsia"/>
                <w:spacing w:val="-6"/>
                <w:szCs w:val="22"/>
                <w:u w:val="single"/>
              </w:rPr>
              <w:t xml:space="preserve">    </w:t>
            </w:r>
            <w:r>
              <w:rPr>
                <w:rFonts w:hint="eastAsia"/>
                <w:spacing w:val="-6"/>
                <w:szCs w:val="22"/>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851" w:type="dxa"/>
            <w:gridSpan w:val="8"/>
            <w:tcBorders>
              <w:top w:val="single" w:color="auto" w:sz="4" w:space="0"/>
              <w:left w:val="single" w:color="auto" w:sz="4" w:space="0"/>
              <w:bottom w:val="single" w:color="auto" w:sz="4" w:space="0"/>
              <w:right w:val="single" w:color="auto" w:sz="4" w:space="0"/>
            </w:tcBorders>
            <w:vAlign w:val="center"/>
          </w:tcPr>
          <w:p>
            <w:pPr>
              <w:pStyle w:val="14"/>
              <w:spacing w:line="360" w:lineRule="auto"/>
              <w:rPr>
                <w:spacing w:val="-6"/>
                <w:szCs w:val="22"/>
                <w:u w:val="single"/>
              </w:rPr>
            </w:pPr>
            <w:r>
              <w:rPr>
                <w:rFonts w:hint="eastAsia"/>
                <w:spacing w:val="-6"/>
                <w:szCs w:val="22"/>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851" w:type="dxa"/>
            <w:gridSpan w:val="8"/>
            <w:tcBorders>
              <w:top w:val="single" w:color="auto" w:sz="4" w:space="0"/>
              <w:left w:val="single" w:color="auto" w:sz="4" w:space="0"/>
              <w:bottom w:val="single" w:color="auto" w:sz="4" w:space="0"/>
              <w:right w:val="single" w:color="auto" w:sz="4" w:space="0"/>
            </w:tcBorders>
            <w:vAlign w:val="center"/>
          </w:tcPr>
          <w:p>
            <w:pPr>
              <w:pStyle w:val="14"/>
              <w:spacing w:line="360" w:lineRule="auto"/>
              <w:rPr>
                <w:spacing w:val="-6"/>
                <w:szCs w:val="22"/>
              </w:rPr>
            </w:pPr>
            <w:r>
              <w:rPr>
                <w:rFonts w:hint="eastAsia"/>
                <w:spacing w:val="-6"/>
                <w:szCs w:val="22"/>
              </w:rPr>
              <w:t>法定代表人或其委托代理人（签字或盖章）：</w:t>
            </w:r>
          </w:p>
        </w:tc>
      </w:tr>
    </w:tbl>
    <w:p>
      <w:pPr>
        <w:pStyle w:val="14"/>
        <w:spacing w:line="360" w:lineRule="auto"/>
      </w:pPr>
    </w:p>
    <w:p>
      <w:pPr>
        <w:ind w:firstLine="420" w:firstLineChars="200"/>
        <w:rPr>
          <w:rFonts w:eastAsia="仿宋_GB2312"/>
          <w:sz w:val="24"/>
        </w:rPr>
      </w:pPr>
      <w:r>
        <w:rPr>
          <w:rFonts w:hint="eastAsia"/>
        </w:rPr>
        <w:t>注：表格内容均需按要求填写并盖章，不得留空，否则按投标无效处理。</w:t>
      </w:r>
    </w:p>
    <w:p>
      <w:pPr>
        <w:pStyle w:val="14"/>
        <w:rPr>
          <w:rFonts w:ascii="Times New Roman" w:hAnsi="Times New Roman"/>
          <w:b/>
          <w:sz w:val="24"/>
        </w:rPr>
      </w:pPr>
    </w:p>
    <w:p>
      <w:pPr>
        <w:pStyle w:val="14"/>
        <w:spacing w:line="500" w:lineRule="exact"/>
        <w:rPr>
          <w:rFonts w:ascii="Times New Roman" w:hAnsi="Times New Roman"/>
          <w:szCs w:val="21"/>
        </w:rPr>
      </w:pPr>
    </w:p>
    <w:p>
      <w:pPr>
        <w:pStyle w:val="14"/>
        <w:spacing w:line="500" w:lineRule="exact"/>
        <w:rPr>
          <w:rFonts w:ascii="Times New Roman" w:hAnsi="Times New Roman"/>
          <w:szCs w:val="21"/>
        </w:rPr>
      </w:pPr>
    </w:p>
    <w:p>
      <w:pPr>
        <w:pStyle w:val="14"/>
        <w:spacing w:line="500" w:lineRule="exact"/>
        <w:rPr>
          <w:rFonts w:ascii="Times New Roman" w:hAnsi="Times New Roman"/>
          <w:szCs w:val="21"/>
        </w:rPr>
      </w:pPr>
    </w:p>
    <w:p>
      <w:pPr>
        <w:pStyle w:val="14"/>
        <w:spacing w:line="500" w:lineRule="exact"/>
        <w:rPr>
          <w:rFonts w:ascii="Times New Roman" w:hAnsi="Times New Roman"/>
          <w:szCs w:val="21"/>
        </w:rPr>
      </w:pPr>
    </w:p>
    <w:p>
      <w:pPr>
        <w:pStyle w:val="14"/>
        <w:spacing w:line="500" w:lineRule="exact"/>
        <w:rPr>
          <w:rFonts w:ascii="Times New Roman" w:hAnsi="Times New Roman"/>
          <w:szCs w:val="21"/>
        </w:rPr>
      </w:pPr>
    </w:p>
    <w:p>
      <w:pPr>
        <w:pStyle w:val="14"/>
        <w:spacing w:line="500" w:lineRule="exact"/>
        <w:rPr>
          <w:rFonts w:ascii="Times New Roman" w:hAnsi="Times New Roman"/>
          <w:szCs w:val="21"/>
        </w:rPr>
      </w:pPr>
    </w:p>
    <w:p>
      <w:pPr>
        <w:pStyle w:val="14"/>
        <w:spacing w:line="500" w:lineRule="exact"/>
        <w:rPr>
          <w:rFonts w:ascii="Times New Roman" w:hAnsi="Times New Roman"/>
          <w:szCs w:val="21"/>
        </w:rPr>
      </w:pPr>
    </w:p>
    <w:p>
      <w:pPr>
        <w:pStyle w:val="14"/>
        <w:spacing w:line="500" w:lineRule="exact"/>
        <w:rPr>
          <w:rFonts w:ascii="Times New Roman" w:hAnsi="Times New Roman"/>
          <w:szCs w:val="21"/>
        </w:rPr>
      </w:pPr>
    </w:p>
    <w:p>
      <w:pPr>
        <w:pStyle w:val="14"/>
        <w:spacing w:line="500" w:lineRule="exact"/>
        <w:rPr>
          <w:rFonts w:ascii="Times New Roman" w:hAnsi="Times New Roman"/>
          <w:szCs w:val="21"/>
        </w:rPr>
      </w:pPr>
    </w:p>
    <w:p>
      <w:pPr>
        <w:pStyle w:val="14"/>
        <w:spacing w:line="500" w:lineRule="exact"/>
        <w:rPr>
          <w:rFonts w:ascii="Times New Roman" w:hAnsi="Times New Roman"/>
          <w:szCs w:val="21"/>
        </w:rPr>
      </w:pPr>
    </w:p>
    <w:p>
      <w:pPr>
        <w:pStyle w:val="14"/>
        <w:spacing w:line="500" w:lineRule="exact"/>
        <w:rPr>
          <w:rFonts w:ascii="Times New Roman" w:hAnsi="Times New Roman"/>
          <w:szCs w:val="21"/>
        </w:rPr>
      </w:pPr>
    </w:p>
    <w:p>
      <w:pPr>
        <w:pStyle w:val="14"/>
        <w:spacing w:line="500" w:lineRule="exact"/>
        <w:rPr>
          <w:rFonts w:ascii="Times New Roman" w:hAnsi="Times New Roman"/>
          <w:szCs w:val="21"/>
        </w:rPr>
      </w:pPr>
    </w:p>
    <w:p>
      <w:pPr>
        <w:pStyle w:val="14"/>
        <w:spacing w:line="500" w:lineRule="exact"/>
        <w:jc w:val="center"/>
        <w:rPr>
          <w:rFonts w:ascii="Times New Roman" w:hAnsi="Times New Roman"/>
          <w:b/>
          <w:bCs/>
          <w:sz w:val="30"/>
          <w:szCs w:val="30"/>
        </w:rPr>
      </w:pPr>
    </w:p>
    <w:p>
      <w:pPr>
        <w:pStyle w:val="14"/>
        <w:spacing w:line="500" w:lineRule="exact"/>
        <w:jc w:val="center"/>
        <w:rPr>
          <w:rFonts w:ascii="Times New Roman" w:hAnsi="Times New Roman"/>
          <w:b/>
          <w:bCs/>
          <w:sz w:val="30"/>
          <w:szCs w:val="30"/>
        </w:rPr>
      </w:pPr>
    </w:p>
    <w:p>
      <w:pPr>
        <w:pStyle w:val="14"/>
        <w:spacing w:line="500" w:lineRule="exact"/>
        <w:jc w:val="center"/>
        <w:rPr>
          <w:rFonts w:ascii="Times New Roman" w:hAnsi="Times New Roman"/>
          <w:b/>
          <w:bCs/>
          <w:sz w:val="30"/>
          <w:szCs w:val="30"/>
        </w:rPr>
      </w:pPr>
      <w:r>
        <w:rPr>
          <w:rFonts w:hint="eastAsia" w:ascii="Times New Roman" w:hAnsi="Times New Roman"/>
          <w:b/>
          <w:bCs/>
          <w:sz w:val="30"/>
          <w:szCs w:val="30"/>
        </w:rPr>
        <w:t>投标货物技术资料表（格式）</w:t>
      </w:r>
    </w:p>
    <w:p>
      <w:pPr>
        <w:pStyle w:val="93"/>
        <w:spacing w:line="360" w:lineRule="auto"/>
        <w:ind w:firstLine="420"/>
      </w:pPr>
      <w:r>
        <w:rPr>
          <w:rFonts w:hint="eastAsia"/>
        </w:rPr>
        <w:t>请根据所投产品的实际技术参数，逐条对应本项目竞争性谈判采购文件第一章“货物需求一览表”中的技术参数要求认真填写该表，“偏离说明”一栏选择“正偏离”、“负偏离”或“无偏离”进行填写，否则投标无效。</w:t>
      </w:r>
    </w:p>
    <w:p>
      <w:pPr>
        <w:pStyle w:val="93"/>
        <w:spacing w:line="360" w:lineRule="auto"/>
        <w:ind w:firstLine="420"/>
      </w:pPr>
    </w:p>
    <w:p>
      <w:pPr>
        <w:pStyle w:val="14"/>
        <w:spacing w:line="360" w:lineRule="auto"/>
        <w:rPr>
          <w:rFonts w:ascii="Times New Roman" w:hAnsi="Times New Roman"/>
          <w:u w:val="thick"/>
        </w:rPr>
      </w:pPr>
    </w:p>
    <w:tbl>
      <w:tblPr>
        <w:tblStyle w:val="26"/>
        <w:tblW w:w="1018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55"/>
        <w:gridCol w:w="735"/>
        <w:gridCol w:w="1545"/>
        <w:gridCol w:w="1080"/>
        <w:gridCol w:w="735"/>
        <w:gridCol w:w="1365"/>
        <w:gridCol w:w="1696"/>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5" w:type="dxa"/>
            <w:vMerge w:val="restart"/>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Ansi="宋体"/>
                <w:sz w:val="18"/>
                <w:szCs w:val="18"/>
              </w:rPr>
            </w:pPr>
            <w:r>
              <w:rPr>
                <w:rFonts w:hint="eastAsia" w:ascii="Times New Roman" w:hAnsi="Times New Roman"/>
                <w:szCs w:val="22"/>
              </w:rPr>
              <w:t>项号</w:t>
            </w:r>
          </w:p>
        </w:tc>
        <w:tc>
          <w:tcPr>
            <w:tcW w:w="343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 w:val="18"/>
                <w:szCs w:val="18"/>
              </w:rPr>
            </w:pPr>
            <w:r>
              <w:rPr>
                <w:rFonts w:hint="eastAsia"/>
                <w:szCs w:val="20"/>
              </w:rPr>
              <w:t>招标文件需求</w:t>
            </w:r>
          </w:p>
        </w:tc>
        <w:tc>
          <w:tcPr>
            <w:tcW w:w="487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18"/>
                <w:szCs w:val="18"/>
              </w:rPr>
            </w:pPr>
            <w:r>
              <w:rPr>
                <w:rFonts w:hint="eastAsia"/>
                <w:szCs w:val="20"/>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18"/>
                <w:szCs w:val="18"/>
              </w:rPr>
            </w:pPr>
            <w:r>
              <w:rPr>
                <w:rFonts w:hint="eastAsia"/>
                <w:szCs w:val="2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18"/>
                <w:szCs w:val="18"/>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 w:val="18"/>
                <w:szCs w:val="18"/>
              </w:rPr>
            </w:pPr>
            <w:r>
              <w:rPr>
                <w:rFonts w:hint="eastAsia"/>
                <w:szCs w:val="20"/>
              </w:rPr>
              <w:t>货物名称</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 w:val="18"/>
                <w:szCs w:val="18"/>
              </w:rPr>
            </w:pPr>
            <w:r>
              <w:rPr>
                <w:rFonts w:hint="eastAsia"/>
                <w:szCs w:val="20"/>
              </w:rPr>
              <w:t>数量</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 w:val="18"/>
                <w:szCs w:val="18"/>
              </w:rPr>
            </w:pPr>
            <w:r>
              <w:rPr>
                <w:rFonts w:hint="eastAsia"/>
                <w:szCs w:val="20"/>
              </w:rPr>
              <w:t>技术参数要求</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18"/>
                <w:szCs w:val="18"/>
              </w:rPr>
            </w:pPr>
            <w:r>
              <w:rPr>
                <w:rFonts w:hint="eastAsia"/>
                <w:szCs w:val="20"/>
              </w:rPr>
              <w:t>货物名称</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18"/>
                <w:szCs w:val="18"/>
              </w:rPr>
            </w:pPr>
            <w:r>
              <w:rPr>
                <w:rFonts w:hint="eastAsia"/>
                <w:szCs w:val="20"/>
              </w:rPr>
              <w:t>数量</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18"/>
                <w:szCs w:val="18"/>
              </w:rPr>
            </w:pPr>
            <w:r>
              <w:rPr>
                <w:rFonts w:hint="eastAsia"/>
                <w:szCs w:val="20"/>
              </w:rPr>
              <w:t>品牌、厂家、型号、规格</w:t>
            </w:r>
          </w:p>
        </w:tc>
        <w:tc>
          <w:tcPr>
            <w:tcW w:w="16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18"/>
                <w:szCs w:val="18"/>
              </w:rPr>
            </w:pPr>
            <w:r>
              <w:rPr>
                <w:rFonts w:hint="eastAsia"/>
                <w:szCs w:val="20"/>
              </w:rPr>
              <w:t>技术参数</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w:t>
            </w: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w:t>
            </w:r>
          </w:p>
        </w:tc>
        <w:tc>
          <w:tcPr>
            <w:tcW w:w="1545" w:type="dxa"/>
            <w:tcBorders>
              <w:top w:val="single" w:color="auto" w:sz="4" w:space="0"/>
              <w:left w:val="single" w:color="auto" w:sz="4" w:space="0"/>
              <w:bottom w:val="single" w:color="auto" w:sz="4" w:space="0"/>
              <w:right w:val="single" w:color="auto" w:sz="4" w:space="0"/>
            </w:tcBorders>
          </w:tcPr>
          <w:p>
            <w:pPr>
              <w:spacing w:line="360" w:lineRule="auto"/>
            </w:pPr>
            <w:r>
              <w:rPr>
                <w:rFonts w:hint="eastAsia"/>
              </w:rPr>
              <w:t>1……</w:t>
            </w:r>
          </w:p>
          <w:p>
            <w:pPr>
              <w:spacing w:line="360" w:lineRule="auto"/>
            </w:pPr>
            <w:r>
              <w:rPr>
                <w:rFonts w:hint="eastAsia"/>
              </w:rPr>
              <w:t>2……</w:t>
            </w:r>
          </w:p>
          <w:p>
            <w:pPr>
              <w:spacing w:line="360" w:lineRule="auto"/>
            </w:pPr>
            <w:r>
              <w:rPr>
                <w:rFonts w:hint="eastAsia"/>
              </w:rPr>
              <w:t>3……</w:t>
            </w:r>
          </w:p>
          <w:p>
            <w:pPr>
              <w:spacing w:line="360" w:lineRule="auto"/>
            </w:pPr>
            <w:r>
              <w:rPr>
                <w:rFonts w:hint="eastAsia"/>
              </w:rPr>
              <w:t>……</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w:t>
            </w:r>
          </w:p>
        </w:tc>
        <w:tc>
          <w:tcPr>
            <w:tcW w:w="1696"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1……</w:t>
            </w:r>
          </w:p>
          <w:p>
            <w:pPr>
              <w:spacing w:line="360" w:lineRule="auto"/>
            </w:pPr>
            <w:r>
              <w:rPr>
                <w:rFonts w:hint="eastAsia"/>
              </w:rPr>
              <w:t>2……</w:t>
            </w:r>
          </w:p>
          <w:p>
            <w:pPr>
              <w:spacing w:line="360" w:lineRule="auto"/>
            </w:pPr>
            <w:r>
              <w:rPr>
                <w:rFonts w:hint="eastAsia"/>
              </w:rPr>
              <w:t>3……</w:t>
            </w:r>
          </w:p>
          <w:p>
            <w:pPr>
              <w:spacing w:line="360" w:lineRule="auto"/>
            </w:pPr>
            <w:r>
              <w:rPr>
                <w:rFonts w:hint="eastAsia"/>
              </w:rPr>
              <w:t>……</w:t>
            </w:r>
          </w:p>
        </w:tc>
        <w:tc>
          <w:tcPr>
            <w:tcW w:w="1168"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w:t>
            </w: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1……</w:t>
            </w:r>
          </w:p>
          <w:p>
            <w:pPr>
              <w:spacing w:line="360" w:lineRule="auto"/>
            </w:pPr>
            <w:r>
              <w:rPr>
                <w:rFonts w:hint="eastAsia"/>
              </w:rPr>
              <w:t>2……</w:t>
            </w:r>
          </w:p>
          <w:p>
            <w:pPr>
              <w:spacing w:line="360" w:lineRule="auto"/>
            </w:pPr>
            <w:r>
              <w:rPr>
                <w:rFonts w:hint="eastAsia"/>
              </w:rPr>
              <w:t>3……</w:t>
            </w:r>
          </w:p>
          <w:p>
            <w:pPr>
              <w:spacing w:line="360" w:lineRule="auto"/>
            </w:pPr>
            <w:r>
              <w:rPr>
                <w:rFonts w:hint="eastAsia"/>
              </w:rPr>
              <w:t>……</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w:t>
            </w:r>
          </w:p>
        </w:tc>
        <w:tc>
          <w:tcPr>
            <w:tcW w:w="1696"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1……</w:t>
            </w:r>
          </w:p>
          <w:p>
            <w:pPr>
              <w:spacing w:line="360" w:lineRule="auto"/>
            </w:pPr>
            <w:r>
              <w:rPr>
                <w:rFonts w:hint="eastAsia"/>
              </w:rPr>
              <w:t>2……</w:t>
            </w:r>
          </w:p>
          <w:p>
            <w:pPr>
              <w:spacing w:line="360" w:lineRule="auto"/>
            </w:pPr>
            <w:r>
              <w:rPr>
                <w:rFonts w:hint="eastAsia"/>
              </w:rPr>
              <w:t>3……</w:t>
            </w:r>
          </w:p>
          <w:p>
            <w:pPr>
              <w:spacing w:line="360" w:lineRule="auto"/>
            </w:pPr>
            <w:r>
              <w:rPr>
                <w:rFonts w:hint="eastAsia"/>
              </w:rPr>
              <w:t>……</w:t>
            </w:r>
          </w:p>
        </w:tc>
        <w:tc>
          <w:tcPr>
            <w:tcW w:w="1168"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w:t>
            </w: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pP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auto"/>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pPr>
          </w:p>
        </w:tc>
        <w:tc>
          <w:tcPr>
            <w:tcW w:w="1696" w:type="dxa"/>
            <w:tcBorders>
              <w:top w:val="single" w:color="auto" w:sz="4" w:space="0"/>
              <w:left w:val="single" w:color="auto" w:sz="4" w:space="0"/>
              <w:bottom w:val="single" w:color="auto" w:sz="4" w:space="0"/>
              <w:right w:val="single" w:color="auto" w:sz="4" w:space="0"/>
            </w:tcBorders>
            <w:vAlign w:val="center"/>
          </w:tcPr>
          <w:p>
            <w:pPr>
              <w:spacing w:line="360" w:lineRule="auto"/>
            </w:pPr>
          </w:p>
        </w:tc>
        <w:tc>
          <w:tcPr>
            <w:tcW w:w="1168" w:type="dxa"/>
            <w:tcBorders>
              <w:top w:val="single" w:color="auto" w:sz="4" w:space="0"/>
              <w:left w:val="single" w:color="auto" w:sz="4" w:space="0"/>
              <w:bottom w:val="single" w:color="auto" w:sz="4" w:space="0"/>
              <w:right w:val="single" w:color="auto" w:sz="4" w:space="0"/>
            </w:tcBorders>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4" w:type="dxa"/>
            <w:gridSpan w:val="9"/>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hAnsi="宋体"/>
                <w:sz w:val="18"/>
                <w:szCs w:val="18"/>
              </w:rPr>
            </w:pPr>
            <w:r>
              <w:rPr>
                <w:rFonts w:hint="eastAsia"/>
                <w:spacing w:val="-6"/>
                <w:szCs w:val="22"/>
                <w:u w:val="single"/>
              </w:rPr>
              <w:t xml:space="preserve">    </w:t>
            </w:r>
            <w:r>
              <w:rPr>
                <w:rFonts w:hint="eastAsia"/>
                <w:spacing w:val="-6"/>
                <w:szCs w:val="22"/>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4" w:type="dxa"/>
            <w:gridSpan w:val="9"/>
            <w:tcBorders>
              <w:top w:val="single" w:color="auto" w:sz="4" w:space="0"/>
              <w:left w:val="single" w:color="auto" w:sz="4" w:space="0"/>
              <w:bottom w:val="single" w:color="auto" w:sz="4" w:space="0"/>
              <w:right w:val="single" w:color="auto" w:sz="4" w:space="0"/>
            </w:tcBorders>
            <w:vAlign w:val="center"/>
          </w:tcPr>
          <w:p>
            <w:pPr>
              <w:pStyle w:val="14"/>
              <w:spacing w:line="360" w:lineRule="auto"/>
              <w:rPr>
                <w:spacing w:val="-6"/>
                <w:szCs w:val="22"/>
                <w:u w:val="single"/>
              </w:rPr>
            </w:pPr>
            <w:r>
              <w:rPr>
                <w:rFonts w:hint="eastAsia"/>
                <w:spacing w:val="-6"/>
                <w:szCs w:val="22"/>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4" w:type="dxa"/>
            <w:gridSpan w:val="9"/>
            <w:tcBorders>
              <w:top w:val="single" w:color="auto" w:sz="4" w:space="0"/>
              <w:left w:val="single" w:color="auto" w:sz="4" w:space="0"/>
              <w:bottom w:val="single" w:color="auto" w:sz="4" w:space="0"/>
              <w:right w:val="single" w:color="auto" w:sz="4" w:space="0"/>
            </w:tcBorders>
            <w:vAlign w:val="center"/>
          </w:tcPr>
          <w:p>
            <w:pPr>
              <w:pStyle w:val="14"/>
              <w:spacing w:line="360" w:lineRule="auto"/>
              <w:rPr>
                <w:spacing w:val="-6"/>
                <w:szCs w:val="22"/>
                <w:u w:val="single"/>
              </w:rPr>
            </w:pPr>
            <w:r>
              <w:rPr>
                <w:rFonts w:hint="eastAsia"/>
                <w:spacing w:val="-6"/>
                <w:szCs w:val="22"/>
              </w:rPr>
              <w:t>法定代表人或其委托代理人（签字或盖章）：</w:t>
            </w:r>
          </w:p>
        </w:tc>
      </w:tr>
    </w:tbl>
    <w:p>
      <w:pPr>
        <w:pStyle w:val="14"/>
        <w:spacing w:line="360" w:lineRule="auto"/>
      </w:pPr>
      <w:r>
        <w:rPr>
          <w:rFonts w:hint="eastAsia"/>
        </w:rPr>
        <w:t>注：</w:t>
      </w:r>
    </w:p>
    <w:p>
      <w:pPr>
        <w:pStyle w:val="14"/>
        <w:numPr>
          <w:ilvl w:val="0"/>
          <w:numId w:val="10"/>
        </w:numPr>
        <w:spacing w:line="360" w:lineRule="auto"/>
        <w:rPr>
          <w:lang w:val="zh-CN"/>
        </w:rPr>
      </w:pPr>
      <w:r>
        <w:rPr>
          <w:rFonts w:hint="eastAsia"/>
          <w:lang w:val="zh-CN"/>
        </w:rPr>
        <w:t>表格内容均需按要求填写并盖章，不得留空，否则按投标无效处理。</w:t>
      </w:r>
    </w:p>
    <w:p>
      <w:pPr>
        <w:pStyle w:val="14"/>
        <w:numPr>
          <w:ilvl w:val="0"/>
          <w:numId w:val="10"/>
        </w:numPr>
        <w:spacing w:line="360" w:lineRule="auto"/>
        <w:rPr>
          <w:rFonts w:ascii="Times New Roman" w:hAnsi="Times New Roman"/>
          <w:u w:val="single"/>
        </w:rPr>
      </w:pPr>
      <w:r>
        <w:rPr>
          <w:rFonts w:hint="eastAsia"/>
          <w:lang w:val="zh-CN"/>
        </w:rPr>
        <w:t>如果投标文件需求小于或大于招标文件某个数值标准时，投标文件不得直接复制招标文件需求，</w:t>
      </w:r>
      <w:r>
        <w:rPr>
          <w:rFonts w:hint="eastAsia"/>
        </w:rPr>
        <w:t>投</w:t>
      </w:r>
      <w:r>
        <w:rPr>
          <w:rFonts w:hint="eastAsia"/>
          <w:lang w:val="zh-CN"/>
        </w:rPr>
        <w:t>标文件对应内容应当写明投标货物具体参数或商务响应的实际数值，否则按投标无效处理。</w:t>
      </w:r>
    </w:p>
    <w:p>
      <w:pPr>
        <w:spacing w:line="360" w:lineRule="auto"/>
      </w:pPr>
      <w:r>
        <w:rPr>
          <w:rFonts w:hint="eastAsia"/>
          <w:lang w:val="zh-CN"/>
        </w:rPr>
        <w:t>（</w:t>
      </w:r>
      <w:r>
        <w:rPr>
          <w:rFonts w:hint="eastAsia"/>
        </w:rPr>
        <w:t>3</w:t>
      </w:r>
      <w:r>
        <w:rPr>
          <w:rFonts w:hint="eastAsia"/>
          <w:lang w:val="zh-CN"/>
        </w:rPr>
        <w:t>）当投标文件的技术参数或商务内容低于招标文件要求时，投标人应当如实写明“负偏离”，否则视为虚假应标。</w:t>
      </w:r>
    </w:p>
    <w:p>
      <w:pPr>
        <w:pStyle w:val="14"/>
        <w:spacing w:line="600" w:lineRule="exact"/>
        <w:rPr>
          <w:rFonts w:ascii="Times New Roman" w:hAnsi="Times New Roman"/>
        </w:rPr>
      </w:pPr>
    </w:p>
    <w:p>
      <w:pPr>
        <w:pStyle w:val="14"/>
        <w:spacing w:line="600" w:lineRule="exact"/>
        <w:rPr>
          <w:rFonts w:ascii="Times New Roman" w:hAnsi="Times New Roman"/>
        </w:rPr>
      </w:pPr>
    </w:p>
    <w:p>
      <w:pPr>
        <w:pStyle w:val="14"/>
        <w:rPr>
          <w:rFonts w:ascii="Times New Roman" w:hAnsi="Times New Roman"/>
          <w:b/>
          <w:sz w:val="30"/>
          <w:szCs w:val="30"/>
        </w:rPr>
      </w:pPr>
    </w:p>
    <w:p>
      <w:pPr>
        <w:pStyle w:val="14"/>
        <w:spacing w:line="360" w:lineRule="auto"/>
        <w:jc w:val="center"/>
        <w:rPr>
          <w:rFonts w:ascii="Times New Roman" w:hAnsi="Times New Roman"/>
          <w:b/>
          <w:bCs/>
          <w:sz w:val="30"/>
          <w:szCs w:val="30"/>
        </w:rPr>
      </w:pPr>
      <w:r>
        <w:rPr>
          <w:rFonts w:hint="eastAsia" w:hAnsi="宋体"/>
          <w:b/>
          <w:bCs/>
          <w:sz w:val="30"/>
          <w:szCs w:val="30"/>
        </w:rPr>
        <w:t>中小企业声明函（格式）</w:t>
      </w:r>
    </w:p>
    <w:p>
      <w:pPr>
        <w:pStyle w:val="11"/>
        <w:spacing w:line="360" w:lineRule="auto"/>
        <w:ind w:firstLine="0"/>
        <w:rPr>
          <w:rFonts w:ascii="Times New Roman" w:hAnsi="Times New Roman"/>
          <w:sz w:val="21"/>
          <w:szCs w:val="21"/>
        </w:rPr>
      </w:pPr>
      <w:r>
        <w:rPr>
          <w:rFonts w:hint="eastAsia" w:hAnsi="宋体"/>
          <w:sz w:val="21"/>
          <w:szCs w:val="21"/>
        </w:rPr>
        <w:t>说明：</w:t>
      </w:r>
    </w:p>
    <w:p>
      <w:pPr>
        <w:pStyle w:val="11"/>
        <w:spacing w:line="360" w:lineRule="auto"/>
        <w:ind w:firstLine="404" w:firstLineChars="200"/>
        <w:rPr>
          <w:rFonts w:ascii="Times New Roman" w:hAnsi="Times New Roman"/>
          <w:sz w:val="21"/>
          <w:szCs w:val="21"/>
        </w:rPr>
      </w:pPr>
      <w:r>
        <w:rPr>
          <w:rFonts w:ascii="Times New Roman" w:hAnsi="Times New Roman"/>
          <w:sz w:val="21"/>
          <w:szCs w:val="21"/>
        </w:rPr>
        <w:t>1</w:t>
      </w:r>
      <w:r>
        <w:rPr>
          <w:rFonts w:hint="eastAsia" w:hAnsi="宋体"/>
          <w:sz w:val="21"/>
          <w:szCs w:val="21"/>
        </w:rPr>
        <w:t>、本声明函主要供参加政府采购活动的中小企业填写，非中小企业无需填写。</w:t>
      </w:r>
    </w:p>
    <w:p>
      <w:pPr>
        <w:pStyle w:val="11"/>
        <w:spacing w:line="360" w:lineRule="auto"/>
        <w:ind w:firstLine="404" w:firstLineChars="200"/>
        <w:rPr>
          <w:rFonts w:ascii="Times New Roman" w:hAnsi="宋体"/>
          <w:sz w:val="21"/>
          <w:szCs w:val="21"/>
        </w:rPr>
      </w:pPr>
      <w:r>
        <w:rPr>
          <w:rFonts w:ascii="Times New Roman" w:hAnsi="Times New Roman"/>
          <w:sz w:val="21"/>
          <w:szCs w:val="21"/>
        </w:rPr>
        <w:t>2</w:t>
      </w:r>
      <w:r>
        <w:rPr>
          <w:rFonts w:hint="eastAsia" w:hAnsi="宋体"/>
          <w:sz w:val="21"/>
          <w:szCs w:val="21"/>
        </w:rPr>
        <w:t>、小型、微型企业提供中型企业制造的货物的，视同为中型企业。</w:t>
      </w:r>
    </w:p>
    <w:p>
      <w:pPr>
        <w:pStyle w:val="11"/>
        <w:spacing w:line="360" w:lineRule="auto"/>
        <w:ind w:firstLine="404" w:firstLineChars="200"/>
        <w:rPr>
          <w:rFonts w:ascii="Times New Roman" w:hAnsi="宋体"/>
          <w:sz w:val="21"/>
          <w:szCs w:val="21"/>
        </w:rPr>
      </w:pPr>
      <w:r>
        <w:rPr>
          <w:rFonts w:ascii="Times New Roman" w:hAnsi="宋体"/>
          <w:sz w:val="21"/>
          <w:szCs w:val="21"/>
        </w:rPr>
        <w:t>3</w:t>
      </w:r>
      <w:r>
        <w:rPr>
          <w:rFonts w:hint="eastAsia" w:hAnsi="宋体"/>
          <w:sz w:val="21"/>
          <w:szCs w:val="21"/>
        </w:rPr>
        <w:t>、投标人按《财政部、司法部关于政府采购支持监狱企业发展有关问题的通知》（财库〔</w:t>
      </w:r>
      <w:r>
        <w:rPr>
          <w:rFonts w:ascii="Times New Roman" w:hAnsi="宋体"/>
          <w:sz w:val="21"/>
          <w:szCs w:val="21"/>
        </w:rPr>
        <w:t>2014</w:t>
      </w:r>
      <w:r>
        <w:rPr>
          <w:rFonts w:hint="eastAsia" w:hAnsi="宋体"/>
          <w:sz w:val="21"/>
          <w:szCs w:val="21"/>
        </w:rPr>
        <w:t>〕</w:t>
      </w:r>
      <w:r>
        <w:rPr>
          <w:rFonts w:ascii="Times New Roman" w:hAnsi="宋体"/>
          <w:sz w:val="21"/>
          <w:szCs w:val="21"/>
        </w:rPr>
        <w:t>68</w:t>
      </w:r>
      <w:r>
        <w:rPr>
          <w:rFonts w:hint="eastAsia" w:hAnsi="宋体"/>
          <w:sz w:val="21"/>
          <w:szCs w:val="21"/>
        </w:rPr>
        <w:t>号）认定为监狱企业，且提供由省级以上监狱管理局、戒毒管理局（含新疆生产建设兵团）出具的属于监狱企业的证明文件的，视同小型、微型企业。</w:t>
      </w:r>
    </w:p>
    <w:p>
      <w:pPr>
        <w:pStyle w:val="11"/>
        <w:spacing w:line="360" w:lineRule="auto"/>
        <w:ind w:firstLine="404" w:firstLineChars="200"/>
        <w:rPr>
          <w:rFonts w:ascii="Times New Roman" w:hAnsi="Times New Roman"/>
          <w:sz w:val="21"/>
          <w:szCs w:val="21"/>
        </w:rPr>
      </w:pPr>
      <w:r>
        <w:rPr>
          <w:rFonts w:ascii="Times New Roman" w:hAnsi="Times New Roman"/>
          <w:sz w:val="21"/>
          <w:szCs w:val="21"/>
        </w:rPr>
        <w:t xml:space="preserve"> </w:t>
      </w:r>
    </w:p>
    <w:p>
      <w:pPr>
        <w:pStyle w:val="14"/>
        <w:spacing w:line="360" w:lineRule="auto"/>
        <w:ind w:firstLine="400" w:firstLineChars="200"/>
        <w:rPr>
          <w:rFonts w:ascii="Times New Roman" w:hAnsi="Times New Roman"/>
          <w:szCs w:val="21"/>
        </w:rPr>
      </w:pPr>
      <w:r>
        <w:rPr>
          <w:rFonts w:hint="eastAsia" w:hAnsi="宋体"/>
        </w:rPr>
        <w:t>本公司郑重声明，根据《政府采购促进中小企业发展暂行办法》（财库〔</w:t>
      </w:r>
      <w:r>
        <w:rPr>
          <w:rFonts w:ascii="Times New Roman" w:hAnsi="Times New Roman"/>
        </w:rPr>
        <w:t>2011</w:t>
      </w:r>
      <w:r>
        <w:rPr>
          <w:rFonts w:hint="eastAsia" w:hAnsi="宋体"/>
        </w:rPr>
        <w:t>〕</w:t>
      </w:r>
      <w:r>
        <w:rPr>
          <w:rFonts w:ascii="Times New Roman" w:hAnsi="Times New Roman"/>
        </w:rPr>
        <w:t>181</w:t>
      </w:r>
      <w:r>
        <w:rPr>
          <w:rFonts w:hint="eastAsia" w:hAnsi="宋体"/>
        </w:rPr>
        <w:t>号）的规定，本公司为</w:t>
      </w:r>
      <w:r>
        <w:rPr>
          <w:rFonts w:ascii="Times New Roman" w:hAnsi="Times New Roman"/>
        </w:rPr>
        <w:t>______</w:t>
      </w:r>
      <w:r>
        <w:rPr>
          <w:rFonts w:hint="eastAsia" w:hAnsi="宋体"/>
        </w:rPr>
        <w:t>（请填写：中型、小型、微型）企业。即，本公司同时满足以下条件：</w:t>
      </w:r>
    </w:p>
    <w:p>
      <w:pPr>
        <w:pStyle w:val="14"/>
        <w:spacing w:line="360" w:lineRule="auto"/>
        <w:ind w:firstLine="400" w:firstLineChars="200"/>
        <w:rPr>
          <w:rFonts w:ascii="Times New Roman" w:hAnsi="Times New Roman"/>
        </w:rPr>
      </w:pPr>
      <w:r>
        <w:rPr>
          <w:rFonts w:ascii="Times New Roman" w:hAnsi="Times New Roman"/>
        </w:rPr>
        <w:t>1</w:t>
      </w:r>
      <w:r>
        <w:rPr>
          <w:rFonts w:hint="eastAsia" w:hAnsi="宋体"/>
        </w:rPr>
        <w:t>．根据《工业和信息化部、国家统计局、国家发展和改革委员会、财政部关于印发中小企业划型标准规定的通知》（工信部联企业〔</w:t>
      </w:r>
      <w:r>
        <w:rPr>
          <w:rFonts w:ascii="Times New Roman" w:hAnsi="Times New Roman"/>
        </w:rPr>
        <w:t>2011</w:t>
      </w:r>
      <w:r>
        <w:rPr>
          <w:rFonts w:hint="eastAsia" w:hAnsi="宋体"/>
        </w:rPr>
        <w:t>〕</w:t>
      </w:r>
      <w:r>
        <w:rPr>
          <w:rFonts w:ascii="Times New Roman" w:hAnsi="Times New Roman"/>
        </w:rPr>
        <w:t>300</w:t>
      </w:r>
      <w:r>
        <w:rPr>
          <w:rFonts w:hint="eastAsia" w:hAnsi="宋体"/>
        </w:rPr>
        <w:t>号）规定的划分标准，本公司为</w:t>
      </w:r>
      <w:r>
        <w:rPr>
          <w:rFonts w:ascii="Times New Roman" w:hAnsi="Times New Roman"/>
        </w:rPr>
        <w:t>______</w:t>
      </w:r>
      <w:r>
        <w:rPr>
          <w:rFonts w:hint="eastAsia" w:hAnsi="宋体"/>
        </w:rPr>
        <w:t>（请填写：中型、小型、微型）企业。</w:t>
      </w:r>
    </w:p>
    <w:p>
      <w:pPr>
        <w:pStyle w:val="14"/>
        <w:spacing w:line="360" w:lineRule="auto"/>
        <w:ind w:firstLine="400" w:firstLineChars="200"/>
        <w:rPr>
          <w:rFonts w:ascii="Times New Roman" w:hAnsi="Times New Roman"/>
        </w:rPr>
      </w:pPr>
      <w:r>
        <w:rPr>
          <w:rFonts w:ascii="Times New Roman" w:hAnsi="Times New Roman"/>
        </w:rPr>
        <w:t>2</w:t>
      </w:r>
      <w:r>
        <w:rPr>
          <w:rFonts w:hint="eastAsia" w:hAnsi="宋体"/>
        </w:rPr>
        <w:t>．本公司参加</w:t>
      </w:r>
      <w:r>
        <w:rPr>
          <w:rFonts w:ascii="Times New Roman" w:hAnsi="Times New Roman"/>
        </w:rPr>
        <w:t>______</w:t>
      </w:r>
      <w:r>
        <w:rPr>
          <w:rFonts w:hint="eastAsia" w:hAnsi="宋体"/>
        </w:rPr>
        <w:t>单位的</w:t>
      </w:r>
      <w:r>
        <w:rPr>
          <w:rFonts w:ascii="Times New Roman" w:hAnsi="Times New Roman"/>
        </w:rPr>
        <w:t>______</w:t>
      </w:r>
      <w:r>
        <w:rPr>
          <w:rFonts w:hint="eastAsia" w:hAnsi="宋体"/>
        </w:rPr>
        <w:t>项目采购活动提供本企业制造的货物，由本企业承担工程、提供服务，或者提供其他</w:t>
      </w:r>
      <w:r>
        <w:rPr>
          <w:rFonts w:ascii="Times New Roman" w:hAnsi="Times New Roman"/>
        </w:rPr>
        <w:t>______</w:t>
      </w:r>
      <w:r>
        <w:rPr>
          <w:rFonts w:hint="eastAsia" w:hAnsi="宋体"/>
        </w:rPr>
        <w:t>（请填写：中型、小型、微型）企业制造的货物。本条所称货物不包括使用大型企业注册商标的货物。</w:t>
      </w:r>
    </w:p>
    <w:p>
      <w:pPr>
        <w:pStyle w:val="14"/>
        <w:spacing w:line="360" w:lineRule="auto"/>
        <w:ind w:firstLine="400" w:firstLineChars="200"/>
        <w:rPr>
          <w:rFonts w:ascii="Times New Roman" w:hAnsi="Times New Roman"/>
        </w:rPr>
      </w:pPr>
      <w:r>
        <w:rPr>
          <w:rFonts w:hint="eastAsia" w:hAnsi="宋体"/>
        </w:rPr>
        <w:t>本公司对上述声明的真实性负责。如有虚假，将依法承担相应责任。</w:t>
      </w:r>
    </w:p>
    <w:p>
      <w:pPr>
        <w:pStyle w:val="14"/>
        <w:spacing w:line="360" w:lineRule="auto"/>
        <w:ind w:firstLine="400" w:firstLineChars="200"/>
        <w:rPr>
          <w:rFonts w:ascii="Times New Roman" w:hAnsi="Times New Roman"/>
        </w:rPr>
      </w:pPr>
      <w:r>
        <w:rPr>
          <w:rFonts w:ascii="Times New Roman" w:hAnsi="Times New Roman"/>
        </w:rPr>
        <w:t xml:space="preserve"> </w:t>
      </w:r>
      <w:r>
        <w:rPr>
          <w:rFonts w:hint="eastAsia" w:ascii="Times New Roman" w:hAnsi="Times New Roman"/>
        </w:rPr>
        <w:t>须提交证明材料进行佐证，否则无效。</w:t>
      </w:r>
    </w:p>
    <w:p>
      <w:pPr>
        <w:pStyle w:val="14"/>
        <w:spacing w:line="360" w:lineRule="auto"/>
        <w:ind w:firstLine="400" w:firstLineChars="200"/>
        <w:rPr>
          <w:rFonts w:ascii="Times New Roman" w:hAnsi="Times New Roman"/>
        </w:rPr>
      </w:pPr>
      <w:r>
        <w:rPr>
          <w:rFonts w:ascii="Times New Roman" w:hAnsi="Times New Roman"/>
        </w:rPr>
        <w:t xml:space="preserve"> </w:t>
      </w:r>
    </w:p>
    <w:p>
      <w:pPr>
        <w:pStyle w:val="14"/>
        <w:spacing w:line="360" w:lineRule="auto"/>
        <w:ind w:firstLine="400" w:firstLineChars="200"/>
        <w:rPr>
          <w:rFonts w:cs="宋体"/>
        </w:rPr>
      </w:pPr>
      <w:r>
        <w:rPr>
          <w:rFonts w:hint="eastAsia"/>
        </w:rPr>
        <w:t xml:space="preserve"> </w:t>
      </w:r>
    </w:p>
    <w:p>
      <w:pPr>
        <w:pStyle w:val="14"/>
        <w:spacing w:line="360" w:lineRule="auto"/>
        <w:rPr>
          <w:rFonts w:ascii="Times New Roman" w:hAnsi="Times New Roman"/>
          <w:u w:val="single"/>
        </w:rPr>
      </w:pPr>
      <w:r>
        <w:rPr>
          <w:rFonts w:hint="eastAsia" w:hAnsi="宋体"/>
        </w:rPr>
        <w:t>投标人（盖单位公章）：</w:t>
      </w:r>
      <w:r>
        <w:rPr>
          <w:rFonts w:ascii="Times New Roman" w:hAnsi="Times New Roman"/>
          <w:u w:val="single"/>
        </w:rPr>
        <w:t xml:space="preserve">                                    </w:t>
      </w:r>
    </w:p>
    <w:p>
      <w:pPr>
        <w:pStyle w:val="14"/>
        <w:spacing w:line="360" w:lineRule="auto"/>
        <w:rPr>
          <w:rFonts w:ascii="Times New Roman" w:hAnsi="Times New Roman"/>
          <w:u w:val="single"/>
        </w:rPr>
      </w:pPr>
    </w:p>
    <w:p>
      <w:pPr>
        <w:pStyle w:val="14"/>
        <w:spacing w:line="360" w:lineRule="auto"/>
        <w:rPr>
          <w:rFonts w:ascii="Times New Roman" w:hAnsi="Times New Roman"/>
          <w:u w:val="single"/>
        </w:rPr>
      </w:pPr>
      <w:r>
        <w:rPr>
          <w:rFonts w:hint="eastAsia" w:hAnsi="宋体"/>
        </w:rPr>
        <w:t>法定代表人或其委托代理人（签字或盖章）：</w:t>
      </w:r>
      <w:r>
        <w:rPr>
          <w:rFonts w:ascii="Times New Roman" w:hAnsi="Times New Roman"/>
          <w:u w:val="single"/>
        </w:rPr>
        <w:t xml:space="preserve">                  </w:t>
      </w:r>
    </w:p>
    <w:p>
      <w:pPr>
        <w:pStyle w:val="14"/>
        <w:spacing w:line="360" w:lineRule="auto"/>
        <w:jc w:val="center"/>
        <w:rPr>
          <w:rFonts w:ascii="Times New Roman" w:hAnsi="Times New Roman"/>
          <w:b/>
          <w:sz w:val="36"/>
          <w:szCs w:val="36"/>
          <w:u w:val="single"/>
        </w:rPr>
      </w:pPr>
      <w:r>
        <w:rPr>
          <w:rFonts w:hint="eastAsia"/>
        </w:rPr>
        <w:br w:type="page"/>
      </w:r>
      <w:r>
        <w:rPr>
          <w:rFonts w:hint="eastAsia" w:ascii="Times New Roman" w:hAnsi="Times New Roman"/>
          <w:b/>
          <w:sz w:val="36"/>
          <w:szCs w:val="36"/>
          <w:u w:val="single"/>
        </w:rPr>
        <w:t>残疾人福利性单位声明函（格式）</w:t>
      </w:r>
    </w:p>
    <w:p>
      <w:pPr>
        <w:pStyle w:val="14"/>
        <w:spacing w:line="360" w:lineRule="auto"/>
        <w:rPr>
          <w:rFonts w:ascii="Times New Roman" w:hAnsi="Times New Roman"/>
          <w:szCs w:val="21"/>
          <w:u w:val="single"/>
        </w:rPr>
      </w:pPr>
    </w:p>
    <w:p>
      <w:pPr>
        <w:pStyle w:val="14"/>
        <w:spacing w:line="360" w:lineRule="auto"/>
        <w:ind w:firstLine="400" w:firstLineChars="200"/>
        <w:rPr>
          <w:rFonts w:ascii="Times New Roman" w:hAnsi="Times New Roman"/>
          <w:szCs w:val="21"/>
          <w:u w:val="single"/>
        </w:rPr>
      </w:pPr>
      <w:r>
        <w:rPr>
          <w:rFonts w:hint="eastAsia" w:ascii="Times New Roman" w:hAnsi="Times New Roman"/>
          <w:szCs w:val="21"/>
          <w:u w:val="single"/>
        </w:rPr>
        <w:t>本公司郑重声明，根据《财政部 民政部 中国残疾人联合会关于促进残疾人就业政府采购政策的通知》（财库〔2017〕 141号）的规定，本公司为符合条件的残疾人福利性单位，且本公司参加______单位的______项目采购活动提供本公司制造的货物（由本公司承担工程/提供服务），或者提供其他残疾人福利性单位制造的货物（不包括使用非残疾人福利性单位注册商标的货物）。</w:t>
      </w:r>
    </w:p>
    <w:p>
      <w:pPr>
        <w:pStyle w:val="14"/>
        <w:spacing w:line="360" w:lineRule="auto"/>
        <w:ind w:firstLine="400" w:firstLineChars="200"/>
        <w:rPr>
          <w:rFonts w:ascii="Times New Roman" w:hAnsi="Times New Roman"/>
          <w:szCs w:val="21"/>
          <w:u w:val="single"/>
        </w:rPr>
      </w:pPr>
      <w:r>
        <w:rPr>
          <w:rFonts w:hint="eastAsia" w:ascii="Times New Roman" w:hAnsi="Times New Roman"/>
          <w:szCs w:val="21"/>
          <w:u w:val="single"/>
        </w:rPr>
        <w:t>本公司对上述声明的真实性负责。如有虚假，将依法承担相应责任。</w:t>
      </w:r>
    </w:p>
    <w:p>
      <w:pPr>
        <w:pStyle w:val="14"/>
        <w:spacing w:line="360" w:lineRule="auto"/>
        <w:rPr>
          <w:rFonts w:ascii="Times New Roman" w:hAnsi="Times New Roman"/>
          <w:szCs w:val="21"/>
          <w:u w:val="single"/>
        </w:rPr>
      </w:pPr>
    </w:p>
    <w:p>
      <w:pPr>
        <w:pStyle w:val="14"/>
        <w:spacing w:line="360" w:lineRule="auto"/>
        <w:rPr>
          <w:rFonts w:ascii="Times New Roman" w:hAnsi="Times New Roman"/>
          <w:szCs w:val="21"/>
          <w:u w:val="single"/>
        </w:rPr>
      </w:pPr>
    </w:p>
    <w:p>
      <w:pPr>
        <w:pStyle w:val="14"/>
        <w:spacing w:line="500" w:lineRule="exact"/>
        <w:rPr>
          <w:rFonts w:ascii="Times New Roman" w:hAnsi="Times New Roman"/>
          <w:u w:val="single"/>
        </w:rPr>
      </w:pPr>
    </w:p>
    <w:p>
      <w:pPr>
        <w:pStyle w:val="14"/>
        <w:spacing w:line="500" w:lineRule="exact"/>
        <w:rPr>
          <w:rFonts w:ascii="Times New Roman" w:hAnsi="Times New Roman"/>
          <w:u w:val="single"/>
        </w:rPr>
      </w:pPr>
    </w:p>
    <w:p>
      <w:pPr>
        <w:pStyle w:val="14"/>
        <w:spacing w:line="500" w:lineRule="exact"/>
        <w:rPr>
          <w:rFonts w:ascii="Times New Roman" w:hAnsi="Times New Roman"/>
          <w:u w:val="single"/>
        </w:rPr>
      </w:pPr>
    </w:p>
    <w:p>
      <w:pPr>
        <w:pStyle w:val="14"/>
        <w:spacing w:line="500" w:lineRule="exact"/>
        <w:rPr>
          <w:rFonts w:ascii="Times New Roman" w:hAnsi="Times New Roman"/>
          <w:u w:val="single"/>
        </w:rPr>
      </w:pPr>
    </w:p>
    <w:p>
      <w:pPr>
        <w:pStyle w:val="14"/>
        <w:spacing w:line="500" w:lineRule="exact"/>
        <w:rPr>
          <w:rFonts w:ascii="Times New Roman" w:hAnsi="Times New Roman"/>
          <w:u w:val="single"/>
        </w:rPr>
      </w:pPr>
    </w:p>
    <w:p>
      <w:pPr>
        <w:pStyle w:val="14"/>
        <w:spacing w:line="500" w:lineRule="exact"/>
        <w:rPr>
          <w:rFonts w:ascii="Times New Roman" w:hAnsi="Times New Roman"/>
          <w:u w:val="single"/>
        </w:rPr>
      </w:pPr>
    </w:p>
    <w:p>
      <w:pPr>
        <w:pStyle w:val="14"/>
        <w:spacing w:line="500" w:lineRule="exact"/>
        <w:rPr>
          <w:rFonts w:ascii="Times New Roman" w:hAnsi="Times New Roman"/>
          <w:u w:val="single"/>
        </w:rPr>
      </w:pPr>
    </w:p>
    <w:p>
      <w:pPr>
        <w:pStyle w:val="14"/>
        <w:spacing w:line="500" w:lineRule="exact"/>
        <w:rPr>
          <w:rFonts w:ascii="Times New Roman" w:hAnsi="Times New Roman"/>
          <w:u w:val="single"/>
        </w:rPr>
      </w:pPr>
    </w:p>
    <w:p>
      <w:pPr>
        <w:pStyle w:val="14"/>
        <w:spacing w:line="500" w:lineRule="exact"/>
        <w:rPr>
          <w:rFonts w:ascii="Times New Roman" w:hAnsi="Times New Roman"/>
          <w:u w:val="single"/>
        </w:rPr>
      </w:pPr>
    </w:p>
    <w:p>
      <w:pPr>
        <w:pStyle w:val="14"/>
        <w:spacing w:line="500" w:lineRule="exact"/>
        <w:rPr>
          <w:rFonts w:ascii="Times New Roman" w:hAnsi="Times New Roman"/>
          <w:u w:val="single"/>
        </w:rPr>
      </w:pPr>
    </w:p>
    <w:p>
      <w:pPr>
        <w:pStyle w:val="14"/>
        <w:spacing w:line="500" w:lineRule="exact"/>
        <w:rPr>
          <w:rFonts w:ascii="Times New Roman" w:hAnsi="Times New Roman"/>
          <w:u w:val="single"/>
        </w:rPr>
      </w:pPr>
    </w:p>
    <w:p>
      <w:pPr>
        <w:pStyle w:val="14"/>
        <w:spacing w:line="500" w:lineRule="exact"/>
        <w:rPr>
          <w:rFonts w:ascii="Times New Roman" w:hAnsi="Times New Roman"/>
          <w:u w:val="single"/>
        </w:rPr>
      </w:pPr>
    </w:p>
    <w:p>
      <w:pPr>
        <w:pStyle w:val="14"/>
        <w:spacing w:line="500" w:lineRule="exact"/>
        <w:rPr>
          <w:rFonts w:ascii="Times New Roman" w:hAnsi="Times New Roman"/>
          <w:u w:val="single"/>
        </w:rPr>
      </w:pPr>
    </w:p>
    <w:p>
      <w:pPr>
        <w:pStyle w:val="14"/>
        <w:spacing w:line="500" w:lineRule="exact"/>
        <w:rPr>
          <w:rFonts w:ascii="Times New Roman" w:hAnsi="Times New Roman"/>
          <w:u w:val="single"/>
        </w:rPr>
      </w:pPr>
    </w:p>
    <w:p>
      <w:pPr>
        <w:pStyle w:val="14"/>
        <w:spacing w:line="360" w:lineRule="auto"/>
        <w:rPr>
          <w:rFonts w:ascii="Times New Roman" w:hAnsi="Times New Roman"/>
          <w:szCs w:val="21"/>
        </w:rPr>
      </w:pPr>
      <w:r>
        <w:rPr>
          <w:rFonts w:hint="eastAsia" w:ascii="Times New Roman" w:hAnsi="Times New Roman"/>
          <w:szCs w:val="21"/>
        </w:rPr>
        <w:t xml:space="preserve">供应商（盖单位公章）：                             </w:t>
      </w:r>
    </w:p>
    <w:p>
      <w:pPr>
        <w:pStyle w:val="14"/>
        <w:spacing w:line="360" w:lineRule="auto"/>
        <w:rPr>
          <w:rFonts w:ascii="Times New Roman" w:hAnsi="Times New Roman"/>
          <w:szCs w:val="21"/>
        </w:rPr>
      </w:pPr>
      <w:r>
        <w:rPr>
          <w:rFonts w:hint="eastAsia" w:ascii="Times New Roman" w:hAnsi="Times New Roman"/>
          <w:szCs w:val="21"/>
        </w:rPr>
        <w:t xml:space="preserve">法定代表人或其委托代理人（签字或盖章）：        </w:t>
      </w:r>
    </w:p>
    <w:p>
      <w:pPr>
        <w:pStyle w:val="14"/>
        <w:spacing w:line="360" w:lineRule="auto"/>
        <w:rPr>
          <w:rFonts w:ascii="Times New Roman" w:hAnsi="Times New Roman"/>
          <w:szCs w:val="21"/>
        </w:rPr>
      </w:pPr>
    </w:p>
    <w:p>
      <w:pPr>
        <w:pStyle w:val="14"/>
        <w:spacing w:line="360" w:lineRule="auto"/>
        <w:rPr>
          <w:rFonts w:ascii="Times New Roman" w:hAnsi="Times New Roman"/>
          <w:szCs w:val="21"/>
        </w:rPr>
      </w:pPr>
    </w:p>
    <w:p>
      <w:pPr>
        <w:pStyle w:val="14"/>
        <w:spacing w:line="360" w:lineRule="auto"/>
        <w:rPr>
          <w:rFonts w:ascii="Times New Roman" w:hAnsi="Times New Roman"/>
          <w:szCs w:val="21"/>
        </w:rPr>
      </w:pPr>
    </w:p>
    <w:p>
      <w:pPr>
        <w:pStyle w:val="14"/>
        <w:spacing w:line="360" w:lineRule="auto"/>
        <w:rPr>
          <w:rFonts w:ascii="Times New Roman" w:hAnsi="Times New Roman"/>
          <w:szCs w:val="21"/>
        </w:rPr>
      </w:pPr>
    </w:p>
    <w:p>
      <w:pPr>
        <w:pStyle w:val="14"/>
        <w:spacing w:line="500" w:lineRule="exact"/>
        <w:jc w:val="center"/>
        <w:rPr>
          <w:rFonts w:ascii="Times New Roman" w:hAnsi="Times New Roman"/>
          <w:b/>
          <w:bCs/>
          <w:sz w:val="30"/>
          <w:szCs w:val="30"/>
        </w:rPr>
      </w:pPr>
      <w:r>
        <w:rPr>
          <w:rFonts w:hint="eastAsia" w:hAnsi="宋体"/>
          <w:b/>
          <w:sz w:val="30"/>
          <w:szCs w:val="30"/>
        </w:rPr>
        <w:t>广西工业产品声明函</w:t>
      </w:r>
      <w:r>
        <w:rPr>
          <w:rFonts w:hint="eastAsia" w:ascii="Times New Roman" w:hAnsi="Times New Roman"/>
          <w:b/>
          <w:bCs/>
          <w:sz w:val="30"/>
          <w:szCs w:val="30"/>
        </w:rPr>
        <w:t>（格式）</w:t>
      </w:r>
    </w:p>
    <w:p>
      <w:pPr>
        <w:pStyle w:val="14"/>
        <w:rPr>
          <w:rFonts w:ascii="Times New Roman" w:hAnsi="Times New Roman"/>
          <w:b/>
          <w:sz w:val="24"/>
        </w:rPr>
      </w:pPr>
    </w:p>
    <w:p>
      <w:pPr>
        <w:pStyle w:val="11"/>
        <w:spacing w:line="240" w:lineRule="auto"/>
        <w:ind w:firstLine="0"/>
        <w:rPr>
          <w:rFonts w:ascii="Times New Roman" w:hAnsi="Times New Roman"/>
          <w:sz w:val="21"/>
          <w:szCs w:val="21"/>
        </w:rPr>
      </w:pPr>
      <w:r>
        <w:rPr>
          <w:rFonts w:hint="eastAsia" w:ascii="Times New Roman" w:hAnsi="宋体"/>
          <w:sz w:val="21"/>
          <w:szCs w:val="21"/>
        </w:rPr>
        <w:t>说</w:t>
      </w:r>
      <w:r>
        <w:rPr>
          <w:rFonts w:hint="eastAsia" w:ascii="Times New Roman" w:hAnsi="Times New Roman"/>
          <w:sz w:val="21"/>
          <w:szCs w:val="21"/>
        </w:rPr>
        <w:t>明：</w:t>
      </w:r>
    </w:p>
    <w:p>
      <w:pPr>
        <w:pStyle w:val="11"/>
        <w:spacing w:line="240" w:lineRule="auto"/>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、本文件所指广西工业产品，是指广西境内生产的工业产品，具体以生产企业的工商营业执照注册所在地为准。</w:t>
      </w:r>
    </w:p>
    <w:p>
      <w:pPr>
        <w:pStyle w:val="11"/>
        <w:spacing w:line="240" w:lineRule="auto"/>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、本细则所指使用广西工业产品</w:t>
      </w:r>
      <w:r>
        <w:rPr>
          <w:rFonts w:ascii="Times New Roman" w:hAnsi="Times New Roman"/>
          <w:sz w:val="21"/>
          <w:szCs w:val="21"/>
        </w:rPr>
        <w:t xml:space="preserve"> 80%</w:t>
      </w:r>
      <w:r>
        <w:rPr>
          <w:rFonts w:hint="eastAsia" w:ascii="Times New Roman" w:hAnsi="Times New Roman"/>
          <w:sz w:val="21"/>
          <w:szCs w:val="21"/>
        </w:rPr>
        <w:t>以上，是指参加政府采购项目或招标项目时供货范围中采用广西工业产品的金额占本次投标或竞标总金额的</w:t>
      </w:r>
      <w:r>
        <w:rPr>
          <w:rFonts w:ascii="Times New Roman" w:hAnsi="Times New Roman"/>
          <w:sz w:val="21"/>
          <w:szCs w:val="21"/>
        </w:rPr>
        <w:t>80%</w:t>
      </w:r>
      <w:r>
        <w:rPr>
          <w:rFonts w:hint="eastAsia" w:ascii="Times New Roman" w:hAnsi="Times New Roman"/>
          <w:sz w:val="21"/>
          <w:szCs w:val="21"/>
        </w:rPr>
        <w:t>以上（含）；或者工程建设使用广西工业产品占工程建设所需产品总金额的</w:t>
      </w:r>
      <w:r>
        <w:rPr>
          <w:rFonts w:ascii="Times New Roman" w:hAnsi="Times New Roman"/>
          <w:sz w:val="21"/>
          <w:szCs w:val="21"/>
        </w:rPr>
        <w:t>80%</w:t>
      </w:r>
      <w:r>
        <w:rPr>
          <w:rFonts w:hint="eastAsia" w:ascii="Times New Roman" w:hAnsi="Times New Roman"/>
          <w:sz w:val="21"/>
          <w:szCs w:val="21"/>
        </w:rPr>
        <w:t>以上（含）。</w:t>
      </w:r>
    </w:p>
    <w:p>
      <w:pPr>
        <w:pStyle w:val="11"/>
        <w:spacing w:line="240" w:lineRule="auto"/>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、发现投标人提供虚假材料、采购单位履约过程中中标供应商未按投标文件《广西工业产品声明函》中使用广西工业产品或者使用广西工业产品未达</w:t>
      </w:r>
      <w:r>
        <w:rPr>
          <w:rFonts w:ascii="Times New Roman" w:hAnsi="Times New Roman"/>
          <w:sz w:val="21"/>
          <w:szCs w:val="21"/>
        </w:rPr>
        <w:t>80%</w:t>
      </w:r>
      <w:r>
        <w:rPr>
          <w:rFonts w:hint="eastAsia" w:ascii="Times New Roman" w:hAnsi="Times New Roman"/>
          <w:sz w:val="21"/>
          <w:szCs w:val="21"/>
        </w:rPr>
        <w:t>以上的，按照有关法律法规追究其相关责任。</w:t>
      </w:r>
    </w:p>
    <w:p>
      <w:pPr>
        <w:pStyle w:val="11"/>
        <w:spacing w:line="240" w:lineRule="auto"/>
        <w:rPr>
          <w:rFonts w:ascii="Times New Roman" w:hAnsi="Times New Roman"/>
          <w:sz w:val="21"/>
          <w:szCs w:val="21"/>
        </w:rPr>
      </w:pPr>
    </w:p>
    <w:p>
      <w:pPr>
        <w:pStyle w:val="11"/>
        <w:spacing w:line="240" w:lineRule="auto"/>
        <w:ind w:firstLine="404" w:firstLineChars="200"/>
        <w:rPr>
          <w:rFonts w:ascii="Times New Roman" w:hAnsi="Times New Roman"/>
          <w:sz w:val="21"/>
          <w:szCs w:val="21"/>
        </w:rPr>
      </w:pPr>
      <w:r>
        <w:rPr>
          <w:rFonts w:hint="eastAsia" w:ascii="Times New Roman" w:hAnsi="Times New Roman"/>
          <w:sz w:val="21"/>
          <w:szCs w:val="21"/>
        </w:rPr>
        <w:t>我方郑重声明，根据《招标采购促进广西工业产品产销对接实施细则》的规定，我方在本次投标∕竞标中或者工程项目中提供的下述产品为广西工业产品，详情如下：</w:t>
      </w:r>
    </w:p>
    <w:p>
      <w:pPr>
        <w:pStyle w:val="14"/>
        <w:rPr>
          <w:rFonts w:ascii="Times New Roman" w:hAnsi="Times New Roman"/>
          <w:u w:val="single"/>
        </w:rPr>
      </w:pPr>
      <w:r>
        <w:rPr>
          <w:rFonts w:hint="eastAsia" w:ascii="Times New Roman" w:hAnsi="Times New Roman"/>
          <w:u w:val="single"/>
        </w:rPr>
        <w:t>　　分标（有分标时填写）</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164"/>
        <w:gridCol w:w="1417"/>
        <w:gridCol w:w="709"/>
        <w:gridCol w:w="2268"/>
        <w:gridCol w:w="1474"/>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r>
              <w:rPr>
                <w:rFonts w:hint="eastAsia" w:ascii="Times New Roman" w:hAnsi="Times New Roman"/>
                <w:kern w:val="2"/>
                <w:sz w:val="21"/>
                <w:szCs w:val="22"/>
                <w:u w:val="single"/>
              </w:rPr>
              <w:t>序号</w:t>
            </w:r>
          </w:p>
        </w:tc>
        <w:tc>
          <w:tcPr>
            <w:tcW w:w="216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r>
              <w:rPr>
                <w:rFonts w:hint="eastAsia" w:ascii="Times New Roman" w:hAnsi="Times New Roman"/>
                <w:kern w:val="2"/>
                <w:sz w:val="21"/>
                <w:szCs w:val="22"/>
                <w:u w:val="single"/>
              </w:rPr>
              <w:t>产品名称</w:t>
            </w:r>
          </w:p>
        </w:tc>
        <w:tc>
          <w:tcPr>
            <w:tcW w:w="1417"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r>
              <w:rPr>
                <w:rFonts w:hint="eastAsia" w:ascii="Times New Roman" w:hAnsi="Times New Roman"/>
                <w:kern w:val="2"/>
                <w:sz w:val="21"/>
                <w:szCs w:val="22"/>
                <w:u w:val="single"/>
              </w:rPr>
              <w:t>型号和规格</w:t>
            </w:r>
          </w:p>
        </w:tc>
        <w:tc>
          <w:tcPr>
            <w:tcW w:w="709"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r>
              <w:rPr>
                <w:rFonts w:hint="eastAsia" w:ascii="Times New Roman" w:hAnsi="Times New Roman"/>
                <w:kern w:val="2"/>
                <w:sz w:val="21"/>
                <w:szCs w:val="22"/>
                <w:u w:val="single"/>
              </w:rPr>
              <w:t>数量</w:t>
            </w:r>
          </w:p>
        </w:tc>
        <w:tc>
          <w:tcPr>
            <w:tcW w:w="226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r>
              <w:rPr>
                <w:rFonts w:hint="eastAsia" w:ascii="Times New Roman" w:hAnsi="Times New Roman"/>
                <w:kern w:val="2"/>
                <w:sz w:val="21"/>
                <w:szCs w:val="22"/>
                <w:u w:val="single"/>
              </w:rPr>
              <w:t>制造厂商及原产地</w:t>
            </w:r>
          </w:p>
        </w:tc>
        <w:tc>
          <w:tcPr>
            <w:tcW w:w="147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r>
              <w:rPr>
                <w:rFonts w:hint="eastAsia" w:ascii="Times New Roman" w:hAnsi="Times New Roman"/>
                <w:kern w:val="2"/>
                <w:sz w:val="21"/>
                <w:szCs w:val="22"/>
                <w:u w:val="single"/>
              </w:rPr>
              <w:t>投标价</w:t>
            </w:r>
          </w:p>
        </w:tc>
        <w:tc>
          <w:tcPr>
            <w:tcW w:w="893"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r>
              <w:rPr>
                <w:rFonts w:hint="eastAsia" w:ascii="Times New Roman" w:hAnsi="Times New Roman"/>
                <w:kern w:val="2"/>
                <w:sz w:val="21"/>
                <w:szCs w:val="22"/>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r>
              <w:rPr>
                <w:rFonts w:ascii="Times New Roman" w:hAnsi="Times New Roman"/>
                <w:kern w:val="2"/>
                <w:sz w:val="21"/>
                <w:szCs w:val="22"/>
                <w:u w:val="single"/>
              </w:rPr>
              <w:t>1</w:t>
            </w:r>
          </w:p>
        </w:tc>
        <w:tc>
          <w:tcPr>
            <w:tcW w:w="216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r>
              <w:rPr>
                <w:rFonts w:ascii="Times New Roman" w:hAnsi="Times New Roman"/>
                <w:kern w:val="2"/>
                <w:sz w:val="21"/>
                <w:szCs w:val="22"/>
                <w:u w:val="single"/>
              </w:rPr>
              <w:t>2</w:t>
            </w:r>
          </w:p>
        </w:tc>
        <w:tc>
          <w:tcPr>
            <w:tcW w:w="216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r>
              <w:rPr>
                <w:rFonts w:hint="eastAsia" w:ascii="Times New Roman" w:hAnsi="Times New Roman"/>
                <w:kern w:val="2"/>
                <w:sz w:val="21"/>
                <w:szCs w:val="22"/>
                <w:u w:val="single"/>
              </w:rPr>
              <w:t>……</w:t>
            </w:r>
          </w:p>
        </w:tc>
        <w:tc>
          <w:tcPr>
            <w:tcW w:w="216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216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r>
              <w:rPr>
                <w:rFonts w:hint="eastAsia" w:ascii="Times New Roman" w:hAnsi="Times New Roman"/>
                <w:kern w:val="2"/>
                <w:sz w:val="21"/>
                <w:szCs w:val="22"/>
                <w:u w:val="single"/>
              </w:rPr>
              <w:t>广西工业产品</w:t>
            </w:r>
          </w:p>
          <w:p>
            <w:pPr>
              <w:pStyle w:val="14"/>
              <w:jc w:val="center"/>
              <w:rPr>
                <w:rFonts w:ascii="Times New Roman" w:hAnsi="Times New Roman"/>
                <w:kern w:val="2"/>
                <w:sz w:val="21"/>
                <w:szCs w:val="22"/>
                <w:u w:val="single"/>
              </w:rPr>
            </w:pPr>
            <w:r>
              <w:rPr>
                <w:rFonts w:hint="eastAsia" w:ascii="Times New Roman" w:hAnsi="Times New Roman"/>
                <w:kern w:val="2"/>
                <w:sz w:val="21"/>
                <w:szCs w:val="22"/>
                <w:u w:val="single"/>
              </w:rPr>
              <w:t>合计价格：</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r>
              <w:rPr>
                <w:rFonts w:hint="eastAsia" w:ascii="Times New Roman" w:hAnsi="Times New Roman"/>
                <w:kern w:val="2"/>
                <w:sz w:val="21"/>
                <w:szCs w:val="22"/>
                <w:u w:val="single"/>
              </w:rPr>
              <w:t>占投标总价比例：</w:t>
            </w:r>
          </w:p>
        </w:tc>
        <w:tc>
          <w:tcPr>
            <w:tcW w:w="2367"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r>
    </w:tbl>
    <w:p>
      <w:pPr>
        <w:pStyle w:val="14"/>
        <w:rPr>
          <w:rFonts w:ascii="Times New Roman" w:hAnsi="Times New Roman"/>
          <w:u w:val="single"/>
        </w:rPr>
      </w:pPr>
      <w:r>
        <w:rPr>
          <w:rFonts w:hint="eastAsia" w:ascii="Times New Roman" w:hAnsi="Times New Roman"/>
          <w:u w:val="single"/>
        </w:rPr>
        <w:t>　　分标（有分标时填写）</w:t>
      </w:r>
    </w:p>
    <w:p>
      <w:pPr>
        <w:pStyle w:val="14"/>
        <w:rPr>
          <w:rFonts w:ascii="Times New Roman" w:hAnsi="Times New Roman"/>
          <w:u w:val="single"/>
        </w:rPr>
      </w:pPr>
      <w:r>
        <w:rPr>
          <w:rFonts w:ascii="Times New Roman" w:hAnsi="Times New Roman"/>
          <w:u w:val="single"/>
        </w:rPr>
        <w:t>......</w:t>
      </w:r>
    </w:p>
    <w:p>
      <w:pPr>
        <w:pStyle w:val="14"/>
        <w:ind w:firstLine="420"/>
        <w:rPr>
          <w:szCs w:val="24"/>
        </w:rPr>
      </w:pPr>
      <w:r>
        <w:rPr>
          <w:rFonts w:hint="eastAsia"/>
          <w:szCs w:val="24"/>
        </w:rPr>
        <w:t>我方对上述声明的真实性负责。如有虚假，将依法承担相应责任。</w:t>
      </w:r>
    </w:p>
    <w:p>
      <w:pPr>
        <w:pStyle w:val="14"/>
        <w:rPr>
          <w:rFonts w:hAnsi="宋体" w:cs="Courier New"/>
        </w:rPr>
      </w:pPr>
    </w:p>
    <w:p>
      <w:pPr>
        <w:pStyle w:val="14"/>
        <w:rPr>
          <w:szCs w:val="24"/>
        </w:rPr>
      </w:pPr>
    </w:p>
    <w:p>
      <w:pPr>
        <w:pStyle w:val="14"/>
        <w:rPr>
          <w:szCs w:val="24"/>
        </w:rPr>
      </w:pPr>
    </w:p>
    <w:p>
      <w:pPr>
        <w:pStyle w:val="14"/>
        <w:spacing w:line="600" w:lineRule="exact"/>
        <w:rPr>
          <w:rFonts w:ascii="Times New Roman" w:hAnsi="Times New Roman"/>
          <w:u w:val="single"/>
        </w:rPr>
      </w:pPr>
      <w:r>
        <w:rPr>
          <w:rFonts w:hint="eastAsia" w:ascii="Times New Roman" w:hAnsi="Times New Roman"/>
        </w:rPr>
        <w:t>投标人（盖单位公章）：</w:t>
      </w:r>
    </w:p>
    <w:p>
      <w:pPr>
        <w:pStyle w:val="14"/>
        <w:spacing w:line="600" w:lineRule="exact"/>
        <w:rPr>
          <w:rFonts w:ascii="Times New Roman" w:hAnsi="Times New Roman"/>
          <w:u w:val="single"/>
        </w:rPr>
      </w:pPr>
    </w:p>
    <w:p>
      <w:pPr>
        <w:pStyle w:val="14"/>
        <w:spacing w:line="500" w:lineRule="exact"/>
        <w:rPr>
          <w:rFonts w:ascii="Times New Roman" w:hAnsi="Times New Roman"/>
          <w:u w:val="single"/>
        </w:rPr>
      </w:pPr>
      <w:r>
        <w:rPr>
          <w:rFonts w:hint="eastAsia" w:ascii="Times New Roman" w:hAnsi="Times New Roman"/>
        </w:rPr>
        <w:t>法定代表人或其委托代理人（签字或盖章）：</w:t>
      </w:r>
    </w:p>
    <w:p>
      <w:pPr>
        <w:pStyle w:val="14"/>
        <w:spacing w:line="600" w:lineRule="exact"/>
        <w:jc w:val="left"/>
        <w:rPr>
          <w:rFonts w:ascii="Times New Roman" w:hAnsi="Times New Roman"/>
          <w:u w:val="single"/>
        </w:rPr>
      </w:pPr>
    </w:p>
    <w:p>
      <w:pPr>
        <w:pStyle w:val="14"/>
        <w:spacing w:line="600" w:lineRule="exact"/>
        <w:rPr>
          <w:rFonts w:ascii="Times New Roman" w:hAnsi="Times New Roman"/>
        </w:rPr>
      </w:pPr>
      <w:r>
        <w:rPr>
          <w:rFonts w:hint="eastAsia"/>
        </w:rPr>
        <w:br w:type="page"/>
      </w:r>
    </w:p>
    <w:p>
      <w:pPr>
        <w:pStyle w:val="14"/>
        <w:spacing w:line="600" w:lineRule="exact"/>
        <w:jc w:val="center"/>
        <w:rPr>
          <w:rFonts w:ascii="Times New Roman" w:hAnsi="Times New Roman"/>
          <w:b/>
          <w:bCs/>
          <w:sz w:val="30"/>
          <w:szCs w:val="30"/>
        </w:rPr>
      </w:pPr>
      <w:r>
        <w:rPr>
          <w:rFonts w:hint="eastAsia" w:ascii="Times New Roman" w:hAnsi="Times New Roman"/>
          <w:b/>
          <w:bCs/>
          <w:sz w:val="30"/>
          <w:szCs w:val="30"/>
        </w:rPr>
        <w:t>售后服务承诺书（格式）</w:t>
      </w:r>
    </w:p>
    <w:p>
      <w:pPr>
        <w:pStyle w:val="14"/>
        <w:spacing w:line="440" w:lineRule="exact"/>
        <w:ind w:firstLine="396" w:firstLineChars="198"/>
        <w:rPr>
          <w:rFonts w:hAnsi="宋体"/>
        </w:rPr>
      </w:pPr>
    </w:p>
    <w:p>
      <w:pPr>
        <w:pStyle w:val="14"/>
        <w:spacing w:line="440" w:lineRule="exact"/>
        <w:ind w:firstLine="396" w:firstLineChars="198"/>
        <w:rPr>
          <w:rFonts w:hAnsi="宋体"/>
        </w:rPr>
      </w:pPr>
      <w:r>
        <w:rPr>
          <w:rFonts w:hint="eastAsia" w:hAnsi="宋体"/>
        </w:rPr>
        <w:t>由投标人按本项目招标文件第二章“项目采购需求一览表”中商务条款部分的售后服务要求自行填写。</w:t>
      </w:r>
    </w:p>
    <w:p>
      <w:pPr>
        <w:pStyle w:val="14"/>
        <w:spacing w:line="440" w:lineRule="exact"/>
        <w:ind w:firstLine="400" w:firstLineChars="200"/>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spacing w:line="600" w:lineRule="exact"/>
        <w:ind w:firstLine="400" w:firstLineChars="200"/>
        <w:rPr>
          <w:rFonts w:ascii="Times New Roman" w:hAnsi="Times New Roman"/>
        </w:rPr>
      </w:pPr>
    </w:p>
    <w:p>
      <w:pPr>
        <w:pStyle w:val="14"/>
        <w:spacing w:line="600" w:lineRule="exact"/>
        <w:rPr>
          <w:rFonts w:ascii="Times New Roman" w:hAnsi="Times New Roman"/>
          <w:u w:val="single"/>
        </w:rPr>
      </w:pPr>
      <w:r>
        <w:rPr>
          <w:rFonts w:hint="eastAsia" w:ascii="Times New Roman" w:hAnsi="Times New Roman"/>
        </w:rPr>
        <w:t>投标人（盖单位公章）：</w:t>
      </w:r>
    </w:p>
    <w:p>
      <w:pPr>
        <w:pStyle w:val="14"/>
        <w:spacing w:line="600" w:lineRule="exact"/>
        <w:rPr>
          <w:rFonts w:ascii="Times New Roman" w:hAnsi="Times New Roman"/>
          <w:u w:val="single"/>
        </w:rPr>
      </w:pPr>
    </w:p>
    <w:p>
      <w:pPr>
        <w:pStyle w:val="14"/>
        <w:spacing w:line="600" w:lineRule="exact"/>
        <w:rPr>
          <w:rFonts w:ascii="Times New Roman" w:hAnsi="Times New Roman"/>
          <w:u w:val="single"/>
        </w:rPr>
      </w:pPr>
      <w:r>
        <w:rPr>
          <w:rFonts w:hint="eastAsia" w:ascii="Times New Roman" w:hAnsi="Times New Roman"/>
        </w:rPr>
        <w:t>法定代表人或其委托代理人（签字或盖章）：</w:t>
      </w:r>
      <w:r>
        <w:rPr>
          <w:rFonts w:hint="eastAsia"/>
          <w:b/>
          <w:bCs/>
          <w:sz w:val="30"/>
        </w:rPr>
        <w:br w:type="page"/>
      </w:r>
    </w:p>
    <w:p>
      <w:pPr>
        <w:pStyle w:val="14"/>
        <w:spacing w:line="360" w:lineRule="auto"/>
        <w:jc w:val="center"/>
        <w:rPr>
          <w:rFonts w:ascii="Times New Roman" w:hAnsi="Times New Roman"/>
          <w:b/>
          <w:bCs/>
          <w:sz w:val="30"/>
          <w:szCs w:val="30"/>
        </w:rPr>
      </w:pPr>
      <w:r>
        <w:rPr>
          <w:rFonts w:hint="eastAsia" w:ascii="Times New Roman" w:hAnsi="Times New Roman"/>
          <w:b/>
          <w:bCs/>
          <w:sz w:val="30"/>
          <w:szCs w:val="30"/>
        </w:rPr>
        <w:t>商务条款偏离表（格式）</w:t>
      </w:r>
    </w:p>
    <w:p>
      <w:pPr>
        <w:pStyle w:val="14"/>
        <w:spacing w:line="360" w:lineRule="auto"/>
        <w:rPr>
          <w:rFonts w:ascii="Times New Roman" w:hAnsi="Times New Roman"/>
          <w:u w:val="thick"/>
        </w:rPr>
      </w:pPr>
    </w:p>
    <w:p>
      <w:pPr>
        <w:pStyle w:val="14"/>
        <w:spacing w:line="360" w:lineRule="auto"/>
        <w:rPr>
          <w:rFonts w:ascii="Times New Roman" w:hAnsi="Times New Roman"/>
        </w:rPr>
      </w:pPr>
      <w:r>
        <w:rPr>
          <w:rFonts w:hint="eastAsia" w:ascii="Times New Roman" w:hAnsi="Times New Roman"/>
        </w:rPr>
        <w:t>　　请逐条对应本项目招标文件第二章“货物需求一览表”中商务条款的要求，认真填写该表。“偏离说明”一栏选择“正偏离”、“负偏离”或“无偏离”进行填写。</w:t>
      </w:r>
    </w:p>
    <w:tbl>
      <w:tblPr>
        <w:tblStyle w:val="26"/>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691"/>
        <w:gridCol w:w="3450"/>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14"/>
              <w:spacing w:line="360" w:lineRule="auto"/>
              <w:jc w:val="center"/>
              <w:rPr>
                <w:rFonts w:ascii="Times New Roman" w:hAnsi="Times New Roman"/>
              </w:rPr>
            </w:pPr>
            <w:r>
              <w:rPr>
                <w:rFonts w:hint="eastAsia" w:ascii="Times New Roman" w:hAnsi="Times New Roman"/>
              </w:rPr>
              <w:t>项号</w:t>
            </w:r>
          </w:p>
        </w:tc>
        <w:tc>
          <w:tcPr>
            <w:tcW w:w="3691" w:type="dxa"/>
            <w:vAlign w:val="center"/>
          </w:tcPr>
          <w:p>
            <w:pPr>
              <w:pStyle w:val="14"/>
              <w:spacing w:line="360" w:lineRule="auto"/>
              <w:jc w:val="center"/>
              <w:rPr>
                <w:rFonts w:ascii="Times New Roman" w:hAnsi="Times New Roman"/>
              </w:rPr>
            </w:pPr>
            <w:r>
              <w:rPr>
                <w:rFonts w:hint="eastAsia" w:ascii="Times New Roman" w:hAnsi="Times New Roman"/>
              </w:rPr>
              <w:t>招标文件的商务条款</w:t>
            </w:r>
          </w:p>
        </w:tc>
        <w:tc>
          <w:tcPr>
            <w:tcW w:w="3450" w:type="dxa"/>
            <w:vAlign w:val="center"/>
          </w:tcPr>
          <w:p>
            <w:pPr>
              <w:pStyle w:val="14"/>
              <w:spacing w:line="360" w:lineRule="auto"/>
              <w:jc w:val="center"/>
              <w:rPr>
                <w:rFonts w:ascii="Times New Roman" w:hAnsi="Times New Roman"/>
              </w:rPr>
            </w:pPr>
            <w:r>
              <w:rPr>
                <w:rFonts w:hint="eastAsia" w:ascii="Times New Roman" w:hAnsi="Times New Roman"/>
              </w:rPr>
              <w:t>投标文件承诺的商务条款</w:t>
            </w:r>
          </w:p>
        </w:tc>
        <w:tc>
          <w:tcPr>
            <w:tcW w:w="1970" w:type="dxa"/>
            <w:vAlign w:val="center"/>
          </w:tcPr>
          <w:p>
            <w:pPr>
              <w:pStyle w:val="14"/>
              <w:spacing w:line="360" w:lineRule="auto"/>
              <w:jc w:val="center"/>
              <w:rPr>
                <w:rFonts w:ascii="Times New Roman" w:hAnsi="Times New Roman"/>
              </w:rPr>
            </w:pPr>
            <w:r>
              <w:rPr>
                <w:rFonts w:hint="eastAsia" w:ascii="Times New Roman" w:hAnsi="Times New Roma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spacing w:line="360" w:lineRule="auto"/>
              <w:jc w:val="center"/>
            </w:pPr>
            <w:r>
              <w:rPr>
                <w:rFonts w:hint="eastAsia"/>
              </w:rPr>
              <w:t>一</w:t>
            </w:r>
          </w:p>
        </w:tc>
        <w:tc>
          <w:tcPr>
            <w:tcW w:w="3691" w:type="dxa"/>
          </w:tcPr>
          <w:p>
            <w:pPr>
              <w:spacing w:line="360" w:lineRule="auto"/>
            </w:pPr>
            <w:r>
              <w:rPr>
                <w:rFonts w:hint="eastAsia"/>
              </w:rPr>
              <w:t>1……</w:t>
            </w:r>
          </w:p>
          <w:p>
            <w:pPr>
              <w:spacing w:line="360" w:lineRule="auto"/>
            </w:pPr>
            <w:r>
              <w:rPr>
                <w:rFonts w:hint="eastAsia"/>
              </w:rPr>
              <w:t>2……</w:t>
            </w:r>
          </w:p>
          <w:p>
            <w:pPr>
              <w:spacing w:line="360" w:lineRule="auto"/>
            </w:pPr>
            <w:r>
              <w:rPr>
                <w:rFonts w:hint="eastAsia"/>
              </w:rPr>
              <w:t>3……</w:t>
            </w:r>
          </w:p>
          <w:p>
            <w:pPr>
              <w:spacing w:line="360" w:lineRule="auto"/>
            </w:pPr>
            <w:r>
              <w:rPr>
                <w:rFonts w:hint="eastAsia"/>
              </w:rPr>
              <w:t>……</w:t>
            </w:r>
          </w:p>
        </w:tc>
        <w:tc>
          <w:tcPr>
            <w:tcW w:w="3450" w:type="dxa"/>
          </w:tcPr>
          <w:p>
            <w:pPr>
              <w:spacing w:line="360" w:lineRule="auto"/>
            </w:pPr>
            <w:r>
              <w:rPr>
                <w:rFonts w:hint="eastAsia"/>
              </w:rPr>
              <w:t>1……</w:t>
            </w:r>
          </w:p>
          <w:p>
            <w:pPr>
              <w:spacing w:line="360" w:lineRule="auto"/>
            </w:pPr>
            <w:r>
              <w:rPr>
                <w:rFonts w:hint="eastAsia"/>
              </w:rPr>
              <w:t>2……</w:t>
            </w:r>
          </w:p>
          <w:p>
            <w:pPr>
              <w:spacing w:line="360" w:lineRule="auto"/>
            </w:pPr>
            <w:r>
              <w:rPr>
                <w:rFonts w:hint="eastAsia"/>
              </w:rPr>
              <w:t>3……</w:t>
            </w:r>
          </w:p>
          <w:p>
            <w:pPr>
              <w:spacing w:line="360" w:lineRule="auto"/>
            </w:pPr>
            <w:r>
              <w:rPr>
                <w:rFonts w:hint="eastAsia"/>
              </w:rPr>
              <w:t>……</w:t>
            </w:r>
          </w:p>
        </w:tc>
        <w:tc>
          <w:tcPr>
            <w:tcW w:w="1970" w:type="dxa"/>
          </w:tcPr>
          <w:p>
            <w:pPr>
              <w:spacing w:line="360" w:lineRule="auto"/>
            </w:pPr>
            <w:r>
              <w:rPr>
                <w:rFonts w:hint="eastAsia"/>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spacing w:line="360" w:lineRule="auto"/>
              <w:jc w:val="center"/>
            </w:pPr>
            <w:r>
              <w:rPr>
                <w:rFonts w:hint="eastAsia"/>
              </w:rPr>
              <w:t>二</w:t>
            </w:r>
          </w:p>
        </w:tc>
        <w:tc>
          <w:tcPr>
            <w:tcW w:w="3691" w:type="dxa"/>
          </w:tcPr>
          <w:p>
            <w:pPr>
              <w:spacing w:line="360" w:lineRule="auto"/>
            </w:pPr>
            <w:r>
              <w:rPr>
                <w:rFonts w:hint="eastAsia"/>
              </w:rPr>
              <w:t>1……</w:t>
            </w:r>
          </w:p>
          <w:p>
            <w:pPr>
              <w:spacing w:line="360" w:lineRule="auto"/>
            </w:pPr>
            <w:r>
              <w:rPr>
                <w:rFonts w:hint="eastAsia"/>
              </w:rPr>
              <w:t>2……</w:t>
            </w:r>
          </w:p>
          <w:p>
            <w:pPr>
              <w:spacing w:line="360" w:lineRule="auto"/>
            </w:pPr>
            <w:r>
              <w:rPr>
                <w:rFonts w:hint="eastAsia"/>
              </w:rPr>
              <w:t>3……</w:t>
            </w:r>
          </w:p>
          <w:p>
            <w:pPr>
              <w:spacing w:line="360" w:lineRule="auto"/>
            </w:pPr>
            <w:r>
              <w:rPr>
                <w:rFonts w:hint="eastAsia"/>
              </w:rPr>
              <w:t>……</w:t>
            </w:r>
          </w:p>
        </w:tc>
        <w:tc>
          <w:tcPr>
            <w:tcW w:w="3450" w:type="dxa"/>
          </w:tcPr>
          <w:p>
            <w:pPr>
              <w:spacing w:line="360" w:lineRule="auto"/>
            </w:pPr>
            <w:r>
              <w:rPr>
                <w:rFonts w:hint="eastAsia"/>
              </w:rPr>
              <w:t>1……</w:t>
            </w:r>
          </w:p>
          <w:p>
            <w:pPr>
              <w:spacing w:line="360" w:lineRule="auto"/>
            </w:pPr>
            <w:r>
              <w:rPr>
                <w:rFonts w:hint="eastAsia"/>
              </w:rPr>
              <w:t>2……</w:t>
            </w:r>
          </w:p>
          <w:p>
            <w:pPr>
              <w:spacing w:line="360" w:lineRule="auto"/>
            </w:pPr>
            <w:r>
              <w:rPr>
                <w:rFonts w:hint="eastAsia"/>
              </w:rPr>
              <w:t>3……</w:t>
            </w:r>
          </w:p>
          <w:p>
            <w:pPr>
              <w:spacing w:line="360" w:lineRule="auto"/>
            </w:pPr>
            <w:r>
              <w:rPr>
                <w:rFonts w:hint="eastAsia"/>
              </w:rPr>
              <w:t>……</w:t>
            </w:r>
          </w:p>
        </w:tc>
        <w:tc>
          <w:tcPr>
            <w:tcW w:w="1970" w:type="dxa"/>
          </w:tcPr>
          <w:p>
            <w:pPr>
              <w:spacing w:line="360" w:lineRule="auto"/>
            </w:pPr>
            <w:r>
              <w:rPr>
                <w:rFonts w:hint="eastAsia"/>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spacing w:line="360" w:lineRule="auto"/>
            </w:pPr>
          </w:p>
        </w:tc>
        <w:tc>
          <w:tcPr>
            <w:tcW w:w="3691" w:type="dxa"/>
          </w:tcPr>
          <w:p>
            <w:pPr>
              <w:spacing w:line="360" w:lineRule="auto"/>
            </w:pPr>
            <w:r>
              <w:rPr>
                <w:rFonts w:hint="eastAsia"/>
              </w:rPr>
              <w:t>……</w:t>
            </w:r>
          </w:p>
        </w:tc>
        <w:tc>
          <w:tcPr>
            <w:tcW w:w="3450" w:type="dxa"/>
          </w:tcPr>
          <w:p>
            <w:pPr>
              <w:spacing w:line="360" w:lineRule="auto"/>
            </w:pPr>
            <w:r>
              <w:rPr>
                <w:rFonts w:hint="eastAsia"/>
              </w:rPr>
              <w:t>……</w:t>
            </w:r>
          </w:p>
        </w:tc>
        <w:tc>
          <w:tcPr>
            <w:tcW w:w="1970"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spacing w:line="360" w:lineRule="auto"/>
              <w:jc w:val="center"/>
            </w:pPr>
            <w:r>
              <w:rPr>
                <w:rFonts w:hint="eastAsia"/>
              </w:rPr>
              <w:t>……</w:t>
            </w:r>
          </w:p>
        </w:tc>
        <w:tc>
          <w:tcPr>
            <w:tcW w:w="3691" w:type="dxa"/>
          </w:tcPr>
          <w:p>
            <w:pPr>
              <w:spacing w:line="360" w:lineRule="auto"/>
            </w:pPr>
            <w:r>
              <w:rPr>
                <w:rFonts w:hint="eastAsia"/>
              </w:rPr>
              <w:t>1……</w:t>
            </w:r>
          </w:p>
          <w:p>
            <w:pPr>
              <w:spacing w:line="360" w:lineRule="auto"/>
            </w:pPr>
            <w:r>
              <w:rPr>
                <w:rFonts w:hint="eastAsia"/>
              </w:rPr>
              <w:t>2合同签订日期：……</w:t>
            </w:r>
          </w:p>
          <w:p>
            <w:pPr>
              <w:spacing w:line="360" w:lineRule="auto"/>
            </w:pPr>
            <w:r>
              <w:rPr>
                <w:rFonts w:hint="eastAsia"/>
              </w:rPr>
              <w:t>3服务期：……</w:t>
            </w:r>
          </w:p>
          <w:p>
            <w:pPr>
              <w:spacing w:line="360" w:lineRule="auto"/>
            </w:pPr>
            <w:r>
              <w:rPr>
                <w:rFonts w:hint="eastAsia"/>
              </w:rPr>
              <w:t>4服务地点：……</w:t>
            </w:r>
          </w:p>
          <w:p>
            <w:pPr>
              <w:spacing w:line="360" w:lineRule="auto"/>
            </w:pPr>
            <w:r>
              <w:rPr>
                <w:rFonts w:hint="eastAsia"/>
              </w:rPr>
              <w:t>5……</w:t>
            </w:r>
          </w:p>
        </w:tc>
        <w:tc>
          <w:tcPr>
            <w:tcW w:w="3450" w:type="dxa"/>
          </w:tcPr>
          <w:p>
            <w:pPr>
              <w:spacing w:line="360" w:lineRule="auto"/>
            </w:pPr>
            <w:r>
              <w:rPr>
                <w:rFonts w:hint="eastAsia"/>
              </w:rPr>
              <w:t>1……</w:t>
            </w:r>
          </w:p>
          <w:p>
            <w:pPr>
              <w:spacing w:line="360" w:lineRule="auto"/>
            </w:pPr>
            <w:r>
              <w:rPr>
                <w:rFonts w:hint="eastAsia"/>
              </w:rPr>
              <w:t>2合同签订日期：……</w:t>
            </w:r>
          </w:p>
          <w:p>
            <w:pPr>
              <w:spacing w:line="360" w:lineRule="auto"/>
            </w:pPr>
            <w:r>
              <w:rPr>
                <w:rFonts w:hint="eastAsia"/>
              </w:rPr>
              <w:t>3服务期：……</w:t>
            </w:r>
          </w:p>
          <w:p>
            <w:pPr>
              <w:spacing w:line="360" w:lineRule="auto"/>
            </w:pPr>
            <w:r>
              <w:rPr>
                <w:rFonts w:hint="eastAsia"/>
              </w:rPr>
              <w:t>4服务地点：……</w:t>
            </w:r>
          </w:p>
          <w:p>
            <w:pPr>
              <w:spacing w:line="360" w:lineRule="auto"/>
            </w:pPr>
            <w:r>
              <w:rPr>
                <w:rFonts w:hint="eastAsia"/>
              </w:rPr>
              <w:t>5……</w:t>
            </w:r>
          </w:p>
        </w:tc>
        <w:tc>
          <w:tcPr>
            <w:tcW w:w="1970"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828" w:type="dxa"/>
            <w:gridSpan w:val="4"/>
            <w:vAlign w:val="center"/>
          </w:tcPr>
          <w:p>
            <w:pPr>
              <w:spacing w:line="360" w:lineRule="auto"/>
            </w:pPr>
            <w:r>
              <w:rPr>
                <w:rFonts w:hint="eastAsia"/>
                <w:u w:val="single"/>
              </w:rPr>
              <w:t>　　</w:t>
            </w:r>
            <w:r>
              <w:rPr>
                <w:rFonts w:hint="eastAsia"/>
              </w:rPr>
              <w:t>分标</w:t>
            </w:r>
            <w:r>
              <w:rPr>
                <w:lang w:val="zh-CN" w:bidi="zh-CN"/>
              </w:rPr>
              <w:t>（此处有分标时填写具体分标号，无分标时填写“无”）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828" w:type="dxa"/>
            <w:gridSpan w:val="4"/>
            <w:vAlign w:val="center"/>
          </w:tcPr>
          <w:p>
            <w:pPr>
              <w:spacing w:line="360" w:lineRule="auto"/>
            </w:pPr>
            <w:r>
              <w:rPr>
                <w:rFonts w:hint="eastAsia"/>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828" w:type="dxa"/>
            <w:gridSpan w:val="4"/>
            <w:vAlign w:val="center"/>
          </w:tcPr>
          <w:p>
            <w:pPr>
              <w:spacing w:line="360" w:lineRule="auto"/>
            </w:pPr>
            <w:r>
              <w:rPr>
                <w:rFonts w:hint="eastAsia"/>
              </w:rPr>
              <w:t>法定代表人或其委托代理人（签字或盖章）：</w:t>
            </w:r>
          </w:p>
        </w:tc>
      </w:tr>
    </w:tbl>
    <w:p>
      <w:pPr>
        <w:pStyle w:val="14"/>
        <w:spacing w:line="360" w:lineRule="auto"/>
        <w:rPr>
          <w:rFonts w:ascii="Times New Roman" w:hAnsi="Times New Roman"/>
        </w:rPr>
      </w:pPr>
      <w:r>
        <w:rPr>
          <w:rFonts w:hint="eastAsia" w:ascii="Times New Roman" w:hAnsi="Times New Roman"/>
        </w:rPr>
        <w:t>注：</w:t>
      </w:r>
    </w:p>
    <w:p>
      <w:pPr>
        <w:pStyle w:val="14"/>
        <w:spacing w:line="360" w:lineRule="auto"/>
        <w:rPr>
          <w:rFonts w:ascii="Times New Roman" w:hAnsi="Times New Roman"/>
        </w:rPr>
      </w:pPr>
      <w:r>
        <w:rPr>
          <w:rFonts w:hint="eastAsia" w:ascii="Times New Roman" w:hAnsi="Times New Roman"/>
        </w:rPr>
        <w:t>（1）表格内容均需按要求填写并盖章，不得留空，否则按无效投标无效处理。</w:t>
      </w:r>
    </w:p>
    <w:p>
      <w:pPr>
        <w:pStyle w:val="14"/>
        <w:spacing w:line="360" w:lineRule="auto"/>
        <w:rPr>
          <w:rFonts w:ascii="Times New Roman" w:hAnsi="Times New Roman"/>
        </w:rPr>
      </w:pPr>
      <w:r>
        <w:rPr>
          <w:rFonts w:hint="eastAsia" w:ascii="Times New Roman" w:hAnsi="Times New Roman"/>
        </w:rPr>
        <w:t>（2）</w:t>
      </w:r>
      <w:r>
        <w:t>如果投标文件需求小于或大于招标文件某个数值标准时，投标文件不得直接复制招标文件需求，投标文件对应内容应当写明投标货物具体参数或商务响应的实际数值，否则按投标无效处理。</w:t>
      </w:r>
    </w:p>
    <w:p>
      <w:pPr>
        <w:pStyle w:val="14"/>
        <w:spacing w:line="360" w:lineRule="auto"/>
        <w:rPr>
          <w:rFonts w:ascii="Times New Roman" w:hAnsi="Times New Roman"/>
        </w:rPr>
      </w:pPr>
      <w:r>
        <w:rPr>
          <w:rFonts w:hint="eastAsia" w:ascii="Times New Roman" w:hAnsi="Times New Roman"/>
        </w:rPr>
        <w:t>（3）当投标文件的技术参数或商务内容低于招标文件要求时，投标人应当如实写明“负偏离”，否则视为虚假应标。</w:t>
      </w:r>
    </w:p>
    <w:p>
      <w:pPr>
        <w:pStyle w:val="14"/>
        <w:spacing w:line="360" w:lineRule="auto"/>
        <w:jc w:val="center"/>
        <w:rPr>
          <w:rFonts w:ascii="Times New Roman" w:hAnsi="Times New Roman"/>
          <w:b/>
          <w:bCs/>
          <w:sz w:val="30"/>
          <w:szCs w:val="30"/>
        </w:rPr>
      </w:pPr>
    </w:p>
    <w:p>
      <w:pPr>
        <w:pStyle w:val="14"/>
        <w:spacing w:line="360" w:lineRule="auto"/>
        <w:jc w:val="center"/>
        <w:rPr>
          <w:rFonts w:ascii="Times New Roman" w:hAnsi="Times New Roman"/>
          <w:b/>
          <w:bCs/>
          <w:sz w:val="30"/>
          <w:szCs w:val="30"/>
        </w:rPr>
      </w:pPr>
      <w:r>
        <w:rPr>
          <w:rFonts w:hint="eastAsia" w:ascii="Times New Roman" w:hAnsi="Times New Roman"/>
          <w:b/>
          <w:bCs/>
          <w:sz w:val="30"/>
          <w:szCs w:val="30"/>
        </w:rPr>
        <w:t>法定代表人授权委托书（格式）</w:t>
      </w:r>
    </w:p>
    <w:p>
      <w:pPr>
        <w:pStyle w:val="14"/>
        <w:spacing w:line="360" w:lineRule="auto"/>
        <w:ind w:firstLine="400" w:firstLineChars="200"/>
        <w:rPr>
          <w:rFonts w:ascii="Times New Roman" w:hAnsi="Times New Roman"/>
          <w:u w:val="single"/>
        </w:rPr>
      </w:pPr>
    </w:p>
    <w:p>
      <w:pPr>
        <w:pStyle w:val="14"/>
        <w:spacing w:line="360" w:lineRule="auto"/>
        <w:ind w:firstLine="435"/>
        <w:rPr>
          <w:rFonts w:ascii="Times New Roman" w:hAnsi="Times New Roman"/>
        </w:rPr>
      </w:pPr>
      <w:r>
        <w:rPr>
          <w:rFonts w:hint="eastAsia" w:ascii="Times New Roman" w:hAnsi="Times New Roman"/>
        </w:rPr>
        <w:t>致：</w:t>
      </w:r>
      <w:r>
        <w:rPr>
          <w:rFonts w:hint="eastAsia" w:ascii="Times New Roman" w:hAnsi="Times New Roman"/>
          <w:u w:val="single"/>
        </w:rPr>
        <w:t xml:space="preserve">                       </w:t>
      </w:r>
      <w:r>
        <w:rPr>
          <w:rFonts w:hint="eastAsia" w:ascii="Times New Roman" w:hAnsi="Times New Roman"/>
        </w:rPr>
        <w:t>（采购代理机构名称）</w:t>
      </w:r>
    </w:p>
    <w:p>
      <w:pPr>
        <w:pStyle w:val="14"/>
        <w:spacing w:line="360" w:lineRule="auto"/>
        <w:ind w:firstLine="435"/>
        <w:rPr>
          <w:rFonts w:ascii="Times New Roman" w:hAnsi="Times New Roman"/>
        </w:rPr>
      </w:pPr>
    </w:p>
    <w:p>
      <w:pPr>
        <w:pStyle w:val="14"/>
        <w:spacing w:line="360" w:lineRule="auto"/>
        <w:ind w:firstLine="435"/>
        <w:rPr>
          <w:rFonts w:ascii="Times New Roman" w:hAnsi="Times New Roman"/>
        </w:rPr>
      </w:pPr>
      <w:r>
        <w:rPr>
          <w:rFonts w:hint="eastAsia" w:ascii="Times New Roman" w:hAnsi="Times New Roman"/>
        </w:rPr>
        <w:t>本人</w:t>
      </w:r>
      <w:r>
        <w:rPr>
          <w:rFonts w:hint="eastAsia" w:ascii="Times New Roman" w:hAnsi="Times New Roman"/>
          <w:u w:val="single"/>
        </w:rPr>
        <w:t xml:space="preserve">    （姓名）    </w:t>
      </w:r>
      <w:r>
        <w:rPr>
          <w:rFonts w:hint="eastAsia" w:ascii="Times New Roman" w:hAnsi="Times New Roman"/>
        </w:rPr>
        <w:t>系</w:t>
      </w:r>
      <w:r>
        <w:rPr>
          <w:rFonts w:hint="eastAsia" w:ascii="Times New Roman" w:hAnsi="Times New Roman"/>
          <w:u w:val="single"/>
        </w:rPr>
        <w:t xml:space="preserve">     （投标人名称）     </w:t>
      </w:r>
      <w:r>
        <w:rPr>
          <w:rFonts w:hint="eastAsia" w:ascii="Times New Roman" w:hAnsi="Times New Roman"/>
        </w:rPr>
        <w:t>的法定代表人，现授权</w:t>
      </w:r>
      <w:r>
        <w:rPr>
          <w:rFonts w:hint="eastAsia" w:ascii="Times New Roman" w:hAnsi="Times New Roman"/>
          <w:u w:val="single"/>
        </w:rPr>
        <w:t xml:space="preserve">    （姓名和职务）    </w:t>
      </w:r>
      <w:r>
        <w:rPr>
          <w:rFonts w:hint="eastAsia" w:ascii="Times New Roman" w:hAnsi="Times New Roman"/>
        </w:rPr>
        <w:t>为我方代理人。代理人根据授权，以我方名义签署、澄清、说明、补正、递交、撤回、修改贵方组织的</w:t>
      </w:r>
      <w:r>
        <w:rPr>
          <w:rFonts w:hint="eastAsia" w:ascii="Times New Roman" w:hAnsi="Times New Roman"/>
          <w:u w:val="single"/>
        </w:rPr>
        <w:t xml:space="preserve">   （项目名称）     </w:t>
      </w:r>
      <w:r>
        <w:rPr>
          <w:rFonts w:hint="eastAsia" w:ascii="Times New Roman" w:hAnsi="Times New Roman"/>
        </w:rPr>
        <w:t>（项目编号：</w:t>
      </w:r>
      <w:r>
        <w:rPr>
          <w:rFonts w:hint="eastAsia" w:ascii="Times New Roman" w:hAnsi="Times New Roman"/>
          <w:u w:val="single"/>
        </w:rPr>
        <w:t xml:space="preserve">           </w:t>
      </w:r>
      <w:r>
        <w:rPr>
          <w:rFonts w:hint="eastAsia" w:ascii="Times New Roman" w:hAnsi="Times New Roman"/>
        </w:rPr>
        <w:t>）项目的投标文件、签订合同和处理一切有关事宜，其法律后果由我方承担。</w:t>
      </w:r>
    </w:p>
    <w:p>
      <w:pPr>
        <w:pStyle w:val="14"/>
        <w:spacing w:line="360" w:lineRule="auto"/>
        <w:ind w:firstLine="435"/>
        <w:rPr>
          <w:rFonts w:ascii="Times New Roman" w:hAnsi="Times New Roman"/>
        </w:rPr>
      </w:pPr>
      <w:r>
        <w:rPr>
          <w:rFonts w:hint="eastAsia" w:ascii="Times New Roman" w:hAnsi="Times New Roman"/>
        </w:rPr>
        <w:t>本授权书于</w:t>
      </w:r>
      <w:r>
        <w:rPr>
          <w:rFonts w:hint="eastAsia"/>
          <w:spacing w:val="10"/>
          <w:sz w:val="24"/>
          <w:u w:val="single"/>
        </w:rPr>
        <w:t xml:space="preserve">    </w:t>
      </w:r>
      <w:r>
        <w:rPr>
          <w:rFonts w:hint="eastAsia" w:ascii="Times New Roman" w:hAnsi="Times New Roman"/>
        </w:rPr>
        <w:t>年</w:t>
      </w:r>
      <w:r>
        <w:rPr>
          <w:rFonts w:hint="eastAsia"/>
          <w:spacing w:val="10"/>
          <w:sz w:val="24"/>
          <w:u w:val="single"/>
        </w:rPr>
        <w:t xml:space="preserve">    </w:t>
      </w:r>
      <w:r>
        <w:rPr>
          <w:rFonts w:hint="eastAsia" w:ascii="Times New Roman" w:hAnsi="Times New Roman"/>
        </w:rPr>
        <w:t>月</w:t>
      </w:r>
      <w:r>
        <w:rPr>
          <w:rFonts w:hint="eastAsia"/>
          <w:spacing w:val="10"/>
          <w:sz w:val="24"/>
          <w:u w:val="single"/>
        </w:rPr>
        <w:t xml:space="preserve">    </w:t>
      </w:r>
      <w:r>
        <w:rPr>
          <w:rFonts w:hint="eastAsia" w:ascii="Times New Roman" w:hAnsi="Times New Roman"/>
        </w:rPr>
        <w:t>日签字生效，委托期限：</w:t>
      </w:r>
      <w:r>
        <w:rPr>
          <w:rFonts w:hint="eastAsia"/>
          <w:spacing w:val="10"/>
          <w:sz w:val="24"/>
          <w:u w:val="single"/>
        </w:rPr>
        <w:t xml:space="preserve">    </w:t>
      </w:r>
      <w:r>
        <w:rPr>
          <w:rFonts w:hint="eastAsia" w:ascii="Times New Roman" w:hAnsi="Times New Roman"/>
        </w:rPr>
        <w:t>。</w:t>
      </w:r>
    </w:p>
    <w:p>
      <w:pPr>
        <w:pStyle w:val="14"/>
        <w:spacing w:line="360" w:lineRule="auto"/>
        <w:ind w:firstLine="420"/>
        <w:rPr>
          <w:rFonts w:ascii="Times New Roman" w:hAnsi="Times New Roman"/>
        </w:rPr>
      </w:pPr>
      <w:r>
        <w:rPr>
          <w:rFonts w:hint="eastAsia" w:ascii="Times New Roman" w:hAnsi="Times New Roman"/>
        </w:rPr>
        <w:t>代理人无转委托权。</w:t>
      </w:r>
    </w:p>
    <w:p>
      <w:pPr>
        <w:pStyle w:val="14"/>
        <w:spacing w:line="360" w:lineRule="auto"/>
        <w:ind w:firstLine="420"/>
        <w:rPr>
          <w:rFonts w:ascii="Times New Roman" w:hAnsi="Times New Roman"/>
        </w:rPr>
      </w:pPr>
    </w:p>
    <w:p>
      <w:pPr>
        <w:pStyle w:val="14"/>
        <w:spacing w:line="360" w:lineRule="auto"/>
        <w:ind w:firstLine="420"/>
        <w:rPr>
          <w:rFonts w:ascii="Times New Roman" w:hAnsi="Times New Roman"/>
          <w:u w:val="single"/>
        </w:rPr>
      </w:pPr>
      <w:r>
        <w:rPr>
          <w:rFonts w:hint="eastAsia" w:ascii="Times New Roman" w:hAnsi="Times New Roman"/>
        </w:rPr>
        <w:t>投标人（盖单位公章）：</w:t>
      </w:r>
      <w:r>
        <w:rPr>
          <w:rFonts w:hint="eastAsia" w:ascii="Times New Roman" w:hAnsi="Times New Roman"/>
          <w:u w:val="single"/>
        </w:rPr>
        <w:t xml:space="preserve">                                    </w:t>
      </w:r>
    </w:p>
    <w:p>
      <w:pPr>
        <w:pStyle w:val="14"/>
        <w:spacing w:line="360" w:lineRule="auto"/>
        <w:ind w:firstLine="420"/>
        <w:rPr>
          <w:rFonts w:ascii="Times New Roman" w:hAnsi="Times New Roman"/>
          <w:u w:val="single"/>
        </w:rPr>
      </w:pPr>
      <w:r>
        <w:rPr>
          <w:rFonts w:hint="eastAsia" w:ascii="Times New Roman" w:hAnsi="Times New Roman"/>
        </w:rPr>
        <w:t>法定代表人（签字或盖章）：</w:t>
      </w:r>
      <w:r>
        <w:rPr>
          <w:rFonts w:hint="eastAsia" w:ascii="Times New Roman" w:hAnsi="Times New Roman"/>
          <w:u w:val="single"/>
        </w:rPr>
        <w:t xml:space="preserve">                                </w:t>
      </w:r>
    </w:p>
    <w:p>
      <w:pPr>
        <w:pStyle w:val="14"/>
        <w:spacing w:line="360" w:lineRule="auto"/>
        <w:ind w:firstLine="420"/>
        <w:rPr>
          <w:rFonts w:ascii="Times New Roman" w:hAnsi="Times New Roman"/>
          <w:u w:val="single"/>
        </w:rPr>
      </w:pPr>
      <w:r>
        <w:rPr>
          <w:rFonts w:hint="eastAsia" w:ascii="Times New Roman" w:hAnsi="Times New Roman"/>
        </w:rPr>
        <w:t>法定代表人身份证号码：</w:t>
      </w:r>
      <w:r>
        <w:rPr>
          <w:rFonts w:hint="eastAsia" w:ascii="Times New Roman" w:hAnsi="Times New Roman"/>
          <w:u w:val="single"/>
        </w:rPr>
        <w:t xml:space="preserve">                                   </w:t>
      </w:r>
    </w:p>
    <w:p>
      <w:pPr>
        <w:pStyle w:val="14"/>
        <w:spacing w:line="360" w:lineRule="auto"/>
        <w:ind w:firstLine="400" w:firstLineChars="200"/>
        <w:rPr>
          <w:rFonts w:ascii="Times New Roman" w:hAnsi="Times New Roman"/>
        </w:rPr>
      </w:pPr>
      <w:r>
        <w:rPr>
          <w:rFonts w:hint="eastAsia" w:ascii="Times New Roman" w:hAnsi="Times New Roman"/>
        </w:rPr>
        <w:t>委托代理人（签字或盖章）：</w:t>
      </w:r>
      <w:r>
        <w:rPr>
          <w:rFonts w:hint="eastAsia" w:ascii="Times New Roman" w:hAnsi="Times New Roman"/>
          <w:u w:val="single"/>
        </w:rPr>
        <w:t xml:space="preserve">                                </w:t>
      </w:r>
    </w:p>
    <w:p>
      <w:pPr>
        <w:pStyle w:val="14"/>
        <w:spacing w:line="360" w:lineRule="auto"/>
        <w:ind w:firstLine="420"/>
        <w:rPr>
          <w:rFonts w:ascii="Times New Roman" w:hAnsi="Times New Roman"/>
          <w:u w:val="single"/>
        </w:rPr>
      </w:pPr>
      <w:r>
        <w:rPr>
          <w:rFonts w:hint="eastAsia" w:ascii="Times New Roman" w:hAnsi="Times New Roman"/>
        </w:rPr>
        <w:t>委托代理人身份证号码：</w:t>
      </w:r>
      <w:r>
        <w:rPr>
          <w:rFonts w:hint="eastAsia" w:ascii="Times New Roman" w:hAnsi="Times New Roman"/>
          <w:u w:val="single"/>
        </w:rPr>
        <w:t xml:space="preserve">                                   </w:t>
      </w:r>
    </w:p>
    <w:p>
      <w:pPr>
        <w:autoSpaceDE w:val="0"/>
        <w:autoSpaceDN w:val="0"/>
        <w:adjustRightInd w:val="0"/>
        <w:spacing w:line="360" w:lineRule="auto"/>
        <w:ind w:firstLine="420" w:firstLineChars="200"/>
        <w:jc w:val="left"/>
        <w:rPr>
          <w:rFonts w:ascii="宋体" w:cs="宋体"/>
          <w:kern w:val="0"/>
          <w:szCs w:val="21"/>
        </w:rPr>
      </w:pPr>
    </w:p>
    <w:p>
      <w:pPr>
        <w:pStyle w:val="14"/>
        <w:spacing w:line="360" w:lineRule="auto"/>
        <w:rPr>
          <w:rFonts w:ascii="Times New Roman" w:hAnsi="Times New Roman"/>
          <w:u w:val="single"/>
        </w:rPr>
      </w:pPr>
    </w:p>
    <w:p>
      <w:pPr>
        <w:pStyle w:val="14"/>
        <w:spacing w:line="600" w:lineRule="exact"/>
      </w:pPr>
    </w:p>
    <w:p>
      <w:pPr>
        <w:pStyle w:val="14"/>
        <w:spacing w:line="360" w:lineRule="auto"/>
        <w:ind w:firstLine="420"/>
        <w:jc w:val="right"/>
        <w:rPr>
          <w:szCs w:val="21"/>
        </w:rPr>
      </w:pPr>
    </w:p>
    <w:p>
      <w:pPr>
        <w:pStyle w:val="14"/>
        <w:spacing w:line="360" w:lineRule="auto"/>
        <w:ind w:firstLine="420"/>
        <w:jc w:val="right"/>
        <w:rPr>
          <w:szCs w:val="21"/>
        </w:rPr>
      </w:pPr>
    </w:p>
    <w:p>
      <w:pPr>
        <w:pStyle w:val="14"/>
        <w:spacing w:line="360" w:lineRule="auto"/>
        <w:ind w:firstLine="420"/>
        <w:jc w:val="right"/>
        <w:rPr>
          <w:szCs w:val="21"/>
        </w:rPr>
      </w:pPr>
    </w:p>
    <w:p>
      <w:pPr>
        <w:pStyle w:val="14"/>
        <w:spacing w:line="360" w:lineRule="auto"/>
        <w:ind w:firstLine="420"/>
        <w:jc w:val="right"/>
      </w:pPr>
    </w:p>
    <w:p>
      <w:pPr>
        <w:pStyle w:val="14"/>
        <w:jc w:val="center"/>
        <w:rPr>
          <w:rFonts w:ascii="Times New Roman" w:hAnsi="Times New Roman"/>
          <w:b/>
          <w:sz w:val="30"/>
          <w:szCs w:val="30"/>
        </w:rPr>
      </w:pPr>
    </w:p>
    <w:p>
      <w:pPr>
        <w:pStyle w:val="14"/>
        <w:jc w:val="center"/>
        <w:rPr>
          <w:rFonts w:ascii="Times New Roman" w:hAnsi="Times New Roman"/>
          <w:b/>
          <w:sz w:val="30"/>
          <w:szCs w:val="30"/>
        </w:rPr>
      </w:pPr>
    </w:p>
    <w:p>
      <w:pPr>
        <w:pStyle w:val="14"/>
        <w:jc w:val="center"/>
        <w:rPr>
          <w:rFonts w:ascii="Times New Roman" w:hAnsi="Times New Roman"/>
          <w:b/>
          <w:sz w:val="30"/>
          <w:szCs w:val="30"/>
        </w:rPr>
      </w:pPr>
    </w:p>
    <w:p>
      <w:pPr>
        <w:pStyle w:val="14"/>
        <w:jc w:val="center"/>
        <w:rPr>
          <w:rFonts w:ascii="Times New Roman" w:hAnsi="Times New Roman"/>
          <w:b/>
          <w:sz w:val="30"/>
          <w:szCs w:val="30"/>
        </w:rPr>
      </w:pPr>
    </w:p>
    <w:p>
      <w:pPr>
        <w:pStyle w:val="14"/>
        <w:jc w:val="center"/>
        <w:rPr>
          <w:rFonts w:ascii="Times New Roman" w:hAnsi="Times New Roman"/>
          <w:b/>
          <w:sz w:val="30"/>
          <w:szCs w:val="30"/>
        </w:rPr>
      </w:pPr>
    </w:p>
    <w:p>
      <w:pPr>
        <w:pStyle w:val="14"/>
        <w:jc w:val="center"/>
        <w:rPr>
          <w:rFonts w:ascii="Times New Roman" w:hAnsi="Times New Roman"/>
          <w:b/>
          <w:sz w:val="30"/>
          <w:szCs w:val="30"/>
        </w:rPr>
      </w:pPr>
      <w:r>
        <w:rPr>
          <w:rFonts w:hint="eastAsia" w:ascii="Times New Roman" w:hAnsi="Times New Roman"/>
          <w:b/>
          <w:sz w:val="30"/>
          <w:szCs w:val="30"/>
        </w:rPr>
        <w:t>资格声明函（格式）</w:t>
      </w:r>
    </w:p>
    <w:p>
      <w:pPr>
        <w:pStyle w:val="14"/>
        <w:jc w:val="center"/>
        <w:rPr>
          <w:rFonts w:ascii="Times New Roman" w:hAnsi="Times New Roman"/>
          <w:b/>
          <w:sz w:val="30"/>
          <w:szCs w:val="30"/>
        </w:rPr>
      </w:pPr>
    </w:p>
    <w:p>
      <w:pPr>
        <w:tabs>
          <w:tab w:val="left" w:pos="7200"/>
        </w:tabs>
        <w:spacing w:line="360" w:lineRule="auto"/>
        <w:rPr>
          <w:rFonts w:hAnsi="宋体"/>
        </w:rPr>
      </w:pPr>
      <w:r>
        <w:rPr>
          <w:rFonts w:hint="eastAsia" w:hAnsi="宋体"/>
        </w:rPr>
        <w:t>致：</w:t>
      </w:r>
      <w:r>
        <w:rPr>
          <w:rFonts w:hAnsi="宋体"/>
        </w:rPr>
        <w:t>_</w:t>
      </w:r>
      <w:r>
        <w:rPr>
          <w:rFonts w:hint="eastAsia" w:hAnsi="宋体"/>
        </w:rPr>
        <w:t>（采购代理机构名称）</w:t>
      </w:r>
    </w:p>
    <w:p>
      <w:pPr>
        <w:tabs>
          <w:tab w:val="left" w:pos="7200"/>
        </w:tabs>
        <w:spacing w:line="360" w:lineRule="auto"/>
        <w:ind w:firstLine="420" w:firstLineChars="200"/>
        <w:rPr>
          <w:rFonts w:hAnsi="宋体"/>
        </w:rPr>
      </w:pPr>
      <w:r>
        <w:rPr>
          <w:rFonts w:hint="eastAsia" w:hAnsi="宋体"/>
        </w:rPr>
        <w:t>我方愿意参加贵方组织的</w:t>
      </w:r>
      <w:r>
        <w:rPr>
          <w:rFonts w:hAnsi="宋体"/>
        </w:rPr>
        <w:t>_</w:t>
      </w:r>
      <w:r>
        <w:rPr>
          <w:rFonts w:hAnsi="宋体"/>
          <w:u w:val="single"/>
        </w:rPr>
        <w:t xml:space="preserve"> (</w:t>
      </w:r>
      <w:r>
        <w:rPr>
          <w:rFonts w:hint="eastAsia" w:hAnsi="宋体"/>
          <w:u w:val="single"/>
        </w:rPr>
        <w:t>项目名称</w:t>
      </w:r>
      <w:r>
        <w:rPr>
          <w:rFonts w:hAnsi="宋体"/>
          <w:u w:val="single"/>
        </w:rPr>
        <w:t xml:space="preserve">)         _    </w:t>
      </w:r>
      <w:r>
        <w:rPr>
          <w:rFonts w:hAnsi="宋体"/>
        </w:rPr>
        <w:t>_</w:t>
      </w:r>
      <w:r>
        <w:rPr>
          <w:rFonts w:hint="eastAsia" w:hAnsi="宋体"/>
        </w:rPr>
        <w:t>（项目编号：）项目的投标，为便于贵方公正、择优地确定中标人，我方就本次投标有关事项郑重声明如下：</w:t>
      </w:r>
    </w:p>
    <w:p>
      <w:pPr>
        <w:pStyle w:val="14"/>
        <w:spacing w:line="440" w:lineRule="exact"/>
        <w:ind w:firstLine="482"/>
        <w:rPr>
          <w:szCs w:val="21"/>
        </w:rPr>
      </w:pPr>
      <w:r>
        <w:rPr>
          <w:rFonts w:hint="eastAsia"/>
          <w:szCs w:val="21"/>
        </w:rPr>
        <w:t>1.我方承诺已经具备《中华人民共和国政府采购法》中规定的参加政府采购活动的供应商应当具备的条件：</w:t>
      </w:r>
    </w:p>
    <w:p>
      <w:pPr>
        <w:pStyle w:val="14"/>
        <w:spacing w:line="440" w:lineRule="exact"/>
        <w:ind w:left="420"/>
        <w:rPr>
          <w:szCs w:val="21"/>
        </w:rPr>
      </w:pPr>
      <w:r>
        <w:rPr>
          <w:rFonts w:hint="eastAsia"/>
          <w:szCs w:val="21"/>
        </w:rPr>
        <w:t>（1）具有独立承担民事责任的能力；</w:t>
      </w:r>
    </w:p>
    <w:p>
      <w:pPr>
        <w:pStyle w:val="14"/>
        <w:spacing w:line="440" w:lineRule="exact"/>
        <w:ind w:left="420"/>
        <w:rPr>
          <w:szCs w:val="21"/>
        </w:rPr>
      </w:pPr>
      <w:r>
        <w:rPr>
          <w:rFonts w:hint="eastAsia"/>
          <w:szCs w:val="21"/>
        </w:rPr>
        <w:t>（2）具有良好的商业信誉和健全的财务会计制度；</w:t>
      </w:r>
    </w:p>
    <w:p>
      <w:pPr>
        <w:pStyle w:val="14"/>
        <w:spacing w:line="440" w:lineRule="exact"/>
        <w:ind w:left="420"/>
        <w:rPr>
          <w:szCs w:val="21"/>
        </w:rPr>
      </w:pPr>
      <w:r>
        <w:rPr>
          <w:rFonts w:hint="eastAsia"/>
          <w:szCs w:val="21"/>
        </w:rPr>
        <w:t>（3）具有履行合同所必需的设备和专业技术能力；</w:t>
      </w:r>
    </w:p>
    <w:p>
      <w:pPr>
        <w:pStyle w:val="14"/>
        <w:spacing w:line="440" w:lineRule="exact"/>
        <w:ind w:left="420"/>
        <w:rPr>
          <w:szCs w:val="21"/>
        </w:rPr>
      </w:pPr>
      <w:r>
        <w:rPr>
          <w:rFonts w:hint="eastAsia"/>
          <w:szCs w:val="21"/>
        </w:rPr>
        <w:t>（4）有依法缴纳税收和社会保障资金的良好记录；</w:t>
      </w:r>
    </w:p>
    <w:p>
      <w:pPr>
        <w:pStyle w:val="14"/>
        <w:spacing w:line="440" w:lineRule="exact"/>
        <w:ind w:left="420"/>
        <w:rPr>
          <w:szCs w:val="21"/>
        </w:rPr>
      </w:pPr>
      <w:r>
        <w:rPr>
          <w:rFonts w:hint="eastAsia"/>
          <w:szCs w:val="21"/>
        </w:rPr>
        <w:t>（5）参加政府采购活动前三年内，在经营活动中没有重大违法记录；</w:t>
      </w:r>
    </w:p>
    <w:p>
      <w:pPr>
        <w:pStyle w:val="14"/>
        <w:spacing w:line="440" w:lineRule="exact"/>
        <w:ind w:left="420"/>
        <w:rPr>
          <w:szCs w:val="21"/>
        </w:rPr>
      </w:pPr>
      <w:r>
        <w:rPr>
          <w:rFonts w:hint="eastAsia"/>
          <w:szCs w:val="21"/>
        </w:rPr>
        <w:t>（6）法律、行政法规规定的其他条件。</w:t>
      </w:r>
    </w:p>
    <w:p>
      <w:pPr>
        <w:tabs>
          <w:tab w:val="left" w:pos="7200"/>
        </w:tabs>
        <w:spacing w:line="360" w:lineRule="auto"/>
        <w:ind w:firstLine="420" w:firstLineChars="200"/>
        <w:rPr>
          <w:rFonts w:hAnsi="宋体"/>
          <w:u w:val="single"/>
        </w:rPr>
      </w:pPr>
      <w:r>
        <w:rPr>
          <w:rFonts w:hAnsi="宋体"/>
        </w:rPr>
        <w:t xml:space="preserve">2. </w:t>
      </w:r>
      <w:r>
        <w:rPr>
          <w:rFonts w:hint="eastAsia" w:hAnsi="宋体"/>
        </w:rPr>
        <w:t>经查询，在“信用中国”和“中国政府采购网”网站我方未被列入失信被执行人、重大税收违法案件当事人名单、政府采购严重违法失信行为记录名单。</w:t>
      </w:r>
    </w:p>
    <w:p>
      <w:pPr>
        <w:tabs>
          <w:tab w:val="left" w:pos="7200"/>
        </w:tabs>
        <w:spacing w:line="360" w:lineRule="auto"/>
        <w:ind w:firstLine="420" w:firstLineChars="200"/>
        <w:rPr>
          <w:rFonts w:hAnsi="宋体"/>
        </w:rPr>
      </w:pPr>
      <w:r>
        <w:rPr>
          <w:rFonts w:hint="eastAsia" w:hAnsi="宋体"/>
        </w:rPr>
        <w:t>以上事项如有虚假或隐瞒，我方愿意承担一切后果，并不再寻求任何旨在减轻或免除法律责任的辩解。</w:t>
      </w:r>
    </w:p>
    <w:p>
      <w:pPr>
        <w:tabs>
          <w:tab w:val="left" w:pos="7200"/>
        </w:tabs>
        <w:spacing w:line="360" w:lineRule="auto"/>
        <w:ind w:firstLine="835" w:firstLineChars="398"/>
        <w:rPr>
          <w:rFonts w:hAnsi="宋体"/>
        </w:rPr>
      </w:pPr>
    </w:p>
    <w:p>
      <w:pPr>
        <w:tabs>
          <w:tab w:val="left" w:pos="7200"/>
        </w:tabs>
        <w:spacing w:line="360" w:lineRule="auto"/>
        <w:rPr>
          <w:rFonts w:ascii="宋体" w:hAnsi="宋体"/>
        </w:rPr>
      </w:pPr>
      <w:r>
        <w:rPr>
          <w:rFonts w:hint="eastAsia" w:ascii="宋体" w:hAnsi="宋体"/>
        </w:rPr>
        <w:t>说明：</w:t>
      </w:r>
    </w:p>
    <w:p>
      <w:pPr>
        <w:spacing w:line="360" w:lineRule="exact"/>
        <w:ind w:firstLine="420" w:firstLineChars="200"/>
        <w:jc w:val="left"/>
        <w:rPr>
          <w:rFonts w:ascii="宋体" w:hAnsi="宋体"/>
        </w:rPr>
      </w:pPr>
      <w:r>
        <w:rPr>
          <w:rFonts w:hint="eastAsia" w:ascii="宋体" w:hAnsi="宋体"/>
        </w:rPr>
        <w:t>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pPr>
        <w:spacing w:line="440" w:lineRule="exact"/>
        <w:ind w:firstLine="420" w:firstLineChars="200"/>
        <w:jc w:val="left"/>
        <w:rPr>
          <w:rFonts w:hAnsi="宋体"/>
        </w:rPr>
      </w:pPr>
    </w:p>
    <w:p>
      <w:pPr>
        <w:tabs>
          <w:tab w:val="left" w:pos="7200"/>
        </w:tabs>
        <w:spacing w:line="360" w:lineRule="auto"/>
        <w:ind w:firstLine="839" w:firstLineChars="398"/>
        <w:rPr>
          <w:rFonts w:hAnsi="宋体"/>
          <w:b/>
          <w:u w:val="single"/>
        </w:rPr>
      </w:pPr>
      <w:r>
        <w:rPr>
          <w:rFonts w:hint="eastAsia" w:hAnsi="宋体"/>
          <w:b/>
        </w:rPr>
        <w:t>法定代表人或委托代理人签字：</w:t>
      </w:r>
    </w:p>
    <w:p>
      <w:pPr>
        <w:tabs>
          <w:tab w:val="left" w:pos="7200"/>
        </w:tabs>
        <w:spacing w:line="360" w:lineRule="auto"/>
        <w:ind w:firstLine="4100" w:firstLineChars="1945"/>
        <w:rPr>
          <w:rFonts w:hAnsi="宋体"/>
          <w:b/>
        </w:rPr>
      </w:pPr>
      <w:r>
        <w:rPr>
          <w:rFonts w:hint="eastAsia" w:hAnsi="宋体"/>
          <w:b/>
        </w:rPr>
        <w:t>投标人（盖章）：</w:t>
      </w:r>
    </w:p>
    <w:p>
      <w:pPr>
        <w:tabs>
          <w:tab w:val="left" w:pos="7200"/>
        </w:tabs>
        <w:spacing w:line="360" w:lineRule="auto"/>
        <w:ind w:firstLine="839" w:firstLineChars="398"/>
        <w:rPr>
          <w:rFonts w:hAnsi="宋体"/>
          <w:b/>
        </w:rPr>
      </w:pPr>
      <w:r>
        <w:rPr>
          <w:rFonts w:hint="eastAsia" w:hAnsi="宋体"/>
          <w:b/>
        </w:rPr>
        <w:t>年月日</w:t>
      </w:r>
    </w:p>
    <w:p>
      <w:pPr>
        <w:pStyle w:val="14"/>
        <w:spacing w:line="600" w:lineRule="exact"/>
        <w:jc w:val="center"/>
        <w:outlineLvl w:val="0"/>
        <w:rPr>
          <w:spacing w:val="20"/>
        </w:rPr>
      </w:pPr>
    </w:p>
    <w:p>
      <w:pPr>
        <w:pStyle w:val="14"/>
        <w:spacing w:line="600" w:lineRule="exact"/>
        <w:jc w:val="center"/>
        <w:outlineLvl w:val="0"/>
        <w:rPr>
          <w:spacing w:val="20"/>
        </w:rPr>
      </w:pPr>
    </w:p>
    <w:p>
      <w:pPr>
        <w:pStyle w:val="14"/>
        <w:spacing w:line="600" w:lineRule="exact"/>
        <w:jc w:val="center"/>
        <w:outlineLvl w:val="0"/>
        <w:rPr>
          <w:spacing w:val="20"/>
        </w:rPr>
      </w:pPr>
    </w:p>
    <w:p>
      <w:pPr>
        <w:pStyle w:val="14"/>
        <w:spacing w:line="600" w:lineRule="exact"/>
        <w:jc w:val="center"/>
        <w:outlineLvl w:val="0"/>
        <w:rPr>
          <w:spacing w:val="20"/>
        </w:rPr>
      </w:pPr>
    </w:p>
    <w:p>
      <w:pPr>
        <w:spacing w:line="360" w:lineRule="auto"/>
        <w:jc w:val="center"/>
        <w:rPr>
          <w:b/>
          <w:sz w:val="36"/>
          <w:szCs w:val="36"/>
        </w:rPr>
      </w:pPr>
      <w:r>
        <w:rPr>
          <w:rFonts w:hint="eastAsia"/>
          <w:b/>
          <w:sz w:val="36"/>
          <w:szCs w:val="36"/>
        </w:rPr>
        <w:t>信用声明函（格式）</w:t>
      </w:r>
    </w:p>
    <w:p>
      <w:pPr>
        <w:spacing w:line="360" w:lineRule="auto"/>
        <w:jc w:val="center"/>
        <w:rPr>
          <w:b/>
          <w:szCs w:val="21"/>
        </w:rPr>
      </w:pPr>
    </w:p>
    <w:p>
      <w:pPr>
        <w:tabs>
          <w:tab w:val="left" w:pos="7200"/>
        </w:tabs>
        <w:spacing w:line="360" w:lineRule="auto"/>
        <w:rPr>
          <w:rFonts w:hAnsi="宋体"/>
          <w:szCs w:val="21"/>
        </w:rPr>
      </w:pPr>
      <w:r>
        <w:rPr>
          <w:rFonts w:hint="eastAsia" w:hAnsi="宋体"/>
          <w:szCs w:val="21"/>
        </w:rPr>
        <w:t>致：</w:t>
      </w:r>
      <w:r>
        <w:rPr>
          <w:rFonts w:hAnsi="宋体"/>
          <w:szCs w:val="21"/>
        </w:rPr>
        <w:t>_</w:t>
      </w:r>
      <w:r>
        <w:rPr>
          <w:rFonts w:hint="eastAsia" w:hAnsi="宋体"/>
          <w:szCs w:val="21"/>
        </w:rPr>
        <w:t>（采购代理机构名称）</w:t>
      </w:r>
    </w:p>
    <w:p>
      <w:pPr>
        <w:tabs>
          <w:tab w:val="left" w:pos="7200"/>
        </w:tabs>
        <w:spacing w:line="360" w:lineRule="auto"/>
        <w:ind w:firstLine="525" w:firstLineChars="250"/>
        <w:rPr>
          <w:rFonts w:hAnsi="宋体"/>
          <w:szCs w:val="21"/>
        </w:rPr>
      </w:pPr>
      <w:r>
        <w:rPr>
          <w:rFonts w:hAnsi="宋体"/>
          <w:szCs w:val="21"/>
        </w:rPr>
        <w:t>_____</w:t>
      </w:r>
      <w:r>
        <w:rPr>
          <w:rFonts w:hAnsi="宋体"/>
          <w:szCs w:val="21"/>
          <w:u w:val="single"/>
        </w:rPr>
        <w:t xml:space="preserve">_  </w:t>
      </w:r>
      <w:r>
        <w:rPr>
          <w:rFonts w:hint="eastAsia" w:hAnsi="宋体"/>
          <w:szCs w:val="21"/>
        </w:rPr>
        <w:t>（供应商名称）系中华人民共和国合法企业，经营地址。</w:t>
      </w:r>
    </w:p>
    <w:p>
      <w:pPr>
        <w:tabs>
          <w:tab w:val="left" w:pos="7200"/>
        </w:tabs>
        <w:spacing w:line="360" w:lineRule="auto"/>
        <w:ind w:firstLine="525" w:firstLineChars="250"/>
        <w:rPr>
          <w:rFonts w:hAnsi="宋体"/>
          <w:szCs w:val="21"/>
        </w:rPr>
      </w:pPr>
      <w:r>
        <w:rPr>
          <w:rFonts w:hint="eastAsia" w:hAnsi="宋体"/>
          <w:szCs w:val="21"/>
        </w:rPr>
        <w:t>我</w:t>
      </w:r>
      <w:r>
        <w:rPr>
          <w:rFonts w:hAnsi="宋体"/>
          <w:szCs w:val="21"/>
        </w:rPr>
        <w:t>___</w:t>
      </w:r>
      <w:r>
        <w:rPr>
          <w:rFonts w:hAnsi="宋体"/>
          <w:szCs w:val="21"/>
          <w:u w:val="single"/>
        </w:rPr>
        <w:t xml:space="preserve">    _</w:t>
      </w:r>
      <w:r>
        <w:rPr>
          <w:rFonts w:hAnsi="宋体"/>
          <w:szCs w:val="21"/>
        </w:rPr>
        <w:t>_</w:t>
      </w:r>
      <w:r>
        <w:rPr>
          <w:rFonts w:hint="eastAsia" w:hAnsi="宋体"/>
          <w:szCs w:val="21"/>
        </w:rPr>
        <w:t>（姓名）系</w:t>
      </w:r>
      <w:r>
        <w:rPr>
          <w:rFonts w:hAnsi="宋体"/>
          <w:szCs w:val="21"/>
        </w:rPr>
        <w:t>______</w:t>
      </w:r>
      <w:r>
        <w:rPr>
          <w:rFonts w:hAnsi="宋体"/>
          <w:szCs w:val="21"/>
          <w:u w:val="single"/>
        </w:rPr>
        <w:t>_     _</w:t>
      </w:r>
      <w:r>
        <w:rPr>
          <w:rFonts w:hAnsi="宋体"/>
          <w:szCs w:val="21"/>
        </w:rPr>
        <w:t>_</w:t>
      </w:r>
      <w:r>
        <w:rPr>
          <w:rFonts w:hint="eastAsia" w:hAnsi="宋体"/>
          <w:szCs w:val="21"/>
        </w:rPr>
        <w:t>（供应商名称）的法定代表人，我方愿意参加贵方组织的</w:t>
      </w:r>
      <w:r>
        <w:rPr>
          <w:rFonts w:hAnsi="宋体"/>
          <w:szCs w:val="21"/>
        </w:rPr>
        <w:t>_____</w:t>
      </w:r>
      <w:r>
        <w:rPr>
          <w:rFonts w:hAnsi="宋体"/>
          <w:szCs w:val="21"/>
          <w:u w:val="single"/>
        </w:rPr>
        <w:t>_              _     _</w:t>
      </w:r>
      <w:r>
        <w:rPr>
          <w:rFonts w:hAnsi="宋体"/>
          <w:szCs w:val="21"/>
        </w:rPr>
        <w:t>_</w:t>
      </w:r>
      <w:r>
        <w:rPr>
          <w:rFonts w:hint="eastAsia" w:hAnsi="宋体"/>
          <w:szCs w:val="21"/>
        </w:rPr>
        <w:t>项目的</w:t>
      </w:r>
      <w:r>
        <w:rPr>
          <w:rFonts w:hint="eastAsia"/>
          <w:szCs w:val="21"/>
        </w:rPr>
        <w:t>本次政府采购活动</w:t>
      </w:r>
      <w:r>
        <w:rPr>
          <w:rFonts w:hint="eastAsia" w:hAnsi="宋体"/>
          <w:szCs w:val="21"/>
        </w:rPr>
        <w:t>，为便于贵方公正、择优地确定成交人及采购服务成果和服务，我方就</w:t>
      </w:r>
      <w:r>
        <w:rPr>
          <w:rFonts w:hint="eastAsia"/>
          <w:szCs w:val="21"/>
        </w:rPr>
        <w:t>本次政府采购活动</w:t>
      </w:r>
      <w:r>
        <w:rPr>
          <w:rFonts w:hint="eastAsia" w:hAnsi="宋体"/>
          <w:szCs w:val="21"/>
        </w:rPr>
        <w:t>有关事项郑重声明如下：</w:t>
      </w:r>
    </w:p>
    <w:p>
      <w:pPr>
        <w:tabs>
          <w:tab w:val="left" w:pos="7200"/>
        </w:tabs>
        <w:spacing w:line="360" w:lineRule="auto"/>
        <w:ind w:firstLine="420" w:firstLineChars="200"/>
        <w:rPr>
          <w:rFonts w:hAnsi="宋体"/>
          <w:szCs w:val="21"/>
          <w:u w:val="single"/>
        </w:rPr>
      </w:pPr>
      <w:r>
        <w:rPr>
          <w:rFonts w:hAnsi="宋体"/>
          <w:szCs w:val="21"/>
        </w:rPr>
        <w:t xml:space="preserve">1. </w:t>
      </w:r>
      <w:r>
        <w:rPr>
          <w:rFonts w:hint="eastAsia" w:hAnsi="宋体"/>
          <w:szCs w:val="21"/>
        </w:rPr>
        <w:t>经查询，在“信用中国”和“中国政府采购网”网站我方未被列入失信被执行人、重大税收违法案件当事人名单、政府采购严重违法失信行为记录名单。</w:t>
      </w:r>
    </w:p>
    <w:p>
      <w:pPr>
        <w:tabs>
          <w:tab w:val="left" w:pos="7200"/>
        </w:tabs>
        <w:spacing w:line="360" w:lineRule="auto"/>
        <w:ind w:firstLine="420" w:firstLineChars="200"/>
        <w:rPr>
          <w:rFonts w:hAnsi="宋体"/>
          <w:szCs w:val="21"/>
        </w:rPr>
      </w:pPr>
      <w:r>
        <w:rPr>
          <w:rFonts w:hAnsi="宋体"/>
          <w:szCs w:val="21"/>
        </w:rPr>
        <w:t xml:space="preserve">2. </w:t>
      </w:r>
      <w:r>
        <w:rPr>
          <w:rFonts w:hint="eastAsia" w:hAnsi="宋体"/>
          <w:szCs w:val="21"/>
        </w:rPr>
        <w:t>以上事项如有虚假或隐瞒，我方愿意承担一切后果，并不再寻求任何旨在减轻或免除法律责任的辩解。</w:t>
      </w:r>
    </w:p>
    <w:p>
      <w:pPr>
        <w:tabs>
          <w:tab w:val="left" w:pos="7200"/>
        </w:tabs>
        <w:spacing w:line="360" w:lineRule="auto"/>
        <w:ind w:firstLine="835" w:firstLineChars="398"/>
        <w:rPr>
          <w:rFonts w:hAnsi="宋体"/>
          <w:szCs w:val="21"/>
        </w:rPr>
      </w:pPr>
    </w:p>
    <w:p>
      <w:pPr>
        <w:tabs>
          <w:tab w:val="left" w:pos="7200"/>
        </w:tabs>
        <w:spacing w:line="360" w:lineRule="auto"/>
        <w:ind w:firstLine="835" w:firstLineChars="398"/>
        <w:rPr>
          <w:rFonts w:hAnsi="宋体"/>
          <w:szCs w:val="21"/>
        </w:rPr>
      </w:pPr>
    </w:p>
    <w:p>
      <w:pPr>
        <w:tabs>
          <w:tab w:val="left" w:pos="7200"/>
        </w:tabs>
        <w:spacing w:line="360" w:lineRule="auto"/>
        <w:rPr>
          <w:rFonts w:hAnsi="Courier New"/>
          <w:szCs w:val="21"/>
        </w:rPr>
      </w:pPr>
      <w:r>
        <w:rPr>
          <w:rFonts w:hint="eastAsia" w:hAnsi="Courier New"/>
          <w:szCs w:val="21"/>
        </w:rPr>
        <w:t>说明：</w:t>
      </w:r>
    </w:p>
    <w:p>
      <w:pPr>
        <w:spacing w:line="360" w:lineRule="auto"/>
        <w:ind w:firstLine="420" w:firstLineChars="200"/>
        <w:jc w:val="left"/>
        <w:rPr>
          <w:szCs w:val="21"/>
        </w:rPr>
      </w:pPr>
      <w:r>
        <w:rPr>
          <w:rFonts w:hint="eastAsia" w:hAnsi="Courier New"/>
          <w:szCs w:val="21"/>
        </w:rPr>
        <w:t>供应商应当通过“信用中国”（</w:t>
      </w:r>
      <w:r>
        <w:rPr>
          <w:rFonts w:hAnsi="Courier New"/>
          <w:szCs w:val="21"/>
        </w:rPr>
        <w:t>www.creditchina.gov.cn</w:t>
      </w:r>
      <w:r>
        <w:rPr>
          <w:rFonts w:hint="eastAsia" w:hAnsi="Courier New"/>
          <w:szCs w:val="21"/>
        </w:rPr>
        <w:t>）和“中国政府采购网”网站（</w:t>
      </w:r>
      <w:r>
        <w:rPr>
          <w:rFonts w:hAnsi="Courier New"/>
          <w:szCs w:val="21"/>
        </w:rPr>
        <w:t>www.ccgp.gov.cn</w:t>
      </w:r>
      <w:r>
        <w:rPr>
          <w:rFonts w:hint="eastAsia" w:hAnsi="Courier New"/>
          <w:szCs w:val="21"/>
        </w:rPr>
        <w:t>）查询供应商相关主体的信用记录。查询时间为本项目</w:t>
      </w:r>
      <w:r>
        <w:rPr>
          <w:rFonts w:hint="eastAsia" w:ascii="宋体" w:hAnsi="宋体"/>
          <w:szCs w:val="21"/>
        </w:rPr>
        <w:t>递交响应文件截止时间</w:t>
      </w:r>
      <w:r>
        <w:rPr>
          <w:rFonts w:hint="eastAsia" w:hAnsi="Courier New"/>
          <w:szCs w:val="21"/>
        </w:rPr>
        <w:t>前</w:t>
      </w:r>
      <w:r>
        <w:rPr>
          <w:rFonts w:hAnsi="Courier New"/>
          <w:szCs w:val="21"/>
        </w:rPr>
        <w:t>10</w:t>
      </w:r>
      <w:r>
        <w:rPr>
          <w:rFonts w:hint="eastAsia" w:hAnsi="Courier New"/>
          <w:szCs w:val="21"/>
        </w:rPr>
        <w:t>日至</w:t>
      </w:r>
      <w:r>
        <w:rPr>
          <w:rFonts w:hint="eastAsia" w:ascii="宋体" w:hAnsi="宋体"/>
          <w:szCs w:val="21"/>
        </w:rPr>
        <w:t>递交响应文件截止时间</w:t>
      </w:r>
      <w:r>
        <w:rPr>
          <w:rFonts w:hint="eastAsia" w:hAnsi="Courier New"/>
          <w:szCs w:val="21"/>
        </w:rPr>
        <w:t>中任意一天。对列入失信被执行人、重大税收违法案件当事人名单、政府采购严重违法失信行为记录名单的供应商，将被拒绝参与本项目政府采购活动。</w:t>
      </w:r>
    </w:p>
    <w:p>
      <w:pPr>
        <w:spacing w:line="360" w:lineRule="auto"/>
        <w:ind w:firstLine="420" w:firstLineChars="200"/>
        <w:jc w:val="left"/>
        <w:rPr>
          <w:rFonts w:hAnsi="Courier New"/>
          <w:szCs w:val="21"/>
        </w:rPr>
      </w:pPr>
    </w:p>
    <w:p>
      <w:pPr>
        <w:spacing w:line="360" w:lineRule="auto"/>
        <w:ind w:firstLine="420" w:firstLineChars="200"/>
        <w:jc w:val="left"/>
        <w:rPr>
          <w:rFonts w:hAnsi="宋体"/>
          <w:szCs w:val="21"/>
        </w:rPr>
      </w:pPr>
    </w:p>
    <w:p>
      <w:pPr>
        <w:spacing w:line="360" w:lineRule="auto"/>
        <w:ind w:firstLine="420" w:firstLineChars="200"/>
        <w:jc w:val="left"/>
        <w:rPr>
          <w:rFonts w:hAnsi="宋体"/>
          <w:szCs w:val="21"/>
        </w:rPr>
      </w:pPr>
    </w:p>
    <w:p>
      <w:pPr>
        <w:spacing w:line="360" w:lineRule="auto"/>
        <w:ind w:firstLine="420" w:firstLineChars="200"/>
        <w:jc w:val="left"/>
        <w:rPr>
          <w:rFonts w:hAnsi="宋体"/>
          <w:szCs w:val="21"/>
        </w:rPr>
      </w:pPr>
    </w:p>
    <w:p>
      <w:pPr>
        <w:spacing w:line="360" w:lineRule="auto"/>
        <w:ind w:firstLine="420" w:firstLineChars="200"/>
        <w:jc w:val="left"/>
        <w:rPr>
          <w:rFonts w:hAnsi="宋体"/>
          <w:szCs w:val="21"/>
        </w:rPr>
      </w:pPr>
    </w:p>
    <w:p>
      <w:pPr>
        <w:spacing w:line="360" w:lineRule="auto"/>
        <w:ind w:firstLine="420" w:firstLineChars="200"/>
        <w:jc w:val="left"/>
        <w:rPr>
          <w:rFonts w:hAnsi="宋体"/>
          <w:szCs w:val="21"/>
        </w:rPr>
      </w:pPr>
    </w:p>
    <w:p>
      <w:pPr>
        <w:tabs>
          <w:tab w:val="left" w:pos="7200"/>
        </w:tabs>
        <w:spacing w:line="360" w:lineRule="auto"/>
        <w:ind w:firstLine="839" w:firstLineChars="398"/>
        <w:jc w:val="right"/>
        <w:rPr>
          <w:rFonts w:hAnsi="宋体"/>
          <w:b/>
          <w:szCs w:val="21"/>
        </w:rPr>
      </w:pPr>
      <w:r>
        <w:rPr>
          <w:rFonts w:hint="eastAsia" w:hAnsi="宋体"/>
          <w:b/>
          <w:szCs w:val="21"/>
        </w:rPr>
        <w:t xml:space="preserve">供应商（盖单位公章）：                    </w:t>
      </w:r>
    </w:p>
    <w:p>
      <w:pPr>
        <w:tabs>
          <w:tab w:val="left" w:pos="7200"/>
        </w:tabs>
        <w:spacing w:line="360" w:lineRule="auto"/>
        <w:ind w:firstLine="839" w:firstLineChars="398"/>
        <w:jc w:val="right"/>
        <w:rPr>
          <w:rFonts w:hAnsi="宋体"/>
          <w:b/>
          <w:szCs w:val="21"/>
        </w:rPr>
      </w:pPr>
    </w:p>
    <w:p>
      <w:pPr>
        <w:tabs>
          <w:tab w:val="left" w:pos="7200"/>
        </w:tabs>
        <w:spacing w:line="360" w:lineRule="auto"/>
        <w:ind w:firstLine="2209" w:firstLineChars="1048"/>
        <w:jc w:val="right"/>
        <w:rPr>
          <w:rFonts w:hAnsi="宋体"/>
          <w:b/>
          <w:szCs w:val="21"/>
        </w:rPr>
      </w:pPr>
      <w:r>
        <w:rPr>
          <w:rFonts w:hint="eastAsia" w:hAnsi="宋体"/>
          <w:b/>
          <w:szCs w:val="21"/>
        </w:rPr>
        <w:t xml:space="preserve">法定代表人或其委托代理人（签字或盖章）：                  </w:t>
      </w:r>
    </w:p>
    <w:p>
      <w:pPr>
        <w:tabs>
          <w:tab w:val="left" w:pos="7200"/>
        </w:tabs>
        <w:spacing w:line="360" w:lineRule="auto"/>
        <w:ind w:firstLine="839" w:firstLineChars="398"/>
        <w:jc w:val="right"/>
        <w:rPr>
          <w:rFonts w:hAnsi="宋体"/>
          <w:b/>
          <w:szCs w:val="21"/>
        </w:rPr>
        <w:sectPr>
          <w:headerReference r:id="rId7" w:type="default"/>
          <w:footerReference r:id="rId8" w:type="default"/>
          <w:pgSz w:w="11906" w:h="16838"/>
          <w:pgMar w:top="1191" w:right="1191" w:bottom="1191" w:left="1191" w:header="851" w:footer="992" w:gutter="0"/>
          <w:cols w:space="720" w:num="1"/>
          <w:docGrid w:type="lines" w:linePitch="312" w:charSpace="0"/>
        </w:sectPr>
      </w:pPr>
      <w:r>
        <w:rPr>
          <w:rFonts w:hint="eastAsia" w:hAnsi="宋体"/>
          <w:b/>
          <w:szCs w:val="21"/>
        </w:rPr>
        <w:t>年月日</w:t>
      </w:r>
    </w:p>
    <w:p>
      <w:pPr>
        <w:pStyle w:val="14"/>
        <w:spacing w:line="600" w:lineRule="exact"/>
        <w:jc w:val="center"/>
        <w:outlineLvl w:val="0"/>
        <w:rPr>
          <w:rFonts w:ascii="Times New Roman" w:hAnsi="Times New Roman"/>
          <w:u w:val="single"/>
        </w:rPr>
      </w:pPr>
      <w:bookmarkStart w:id="55" w:name="_Toc499546428"/>
      <w:bookmarkStart w:id="56" w:name="_Toc6707"/>
      <w:r>
        <w:rPr>
          <w:rFonts w:hint="eastAsia" w:ascii="Times New Roman" w:hAnsi="Times New Roman"/>
          <w:b/>
          <w:sz w:val="36"/>
          <w:szCs w:val="36"/>
        </w:rPr>
        <w:t>第六章合同条款及格式</w:t>
      </w:r>
      <w:bookmarkEnd w:id="55"/>
      <w:bookmarkEnd w:id="56"/>
    </w:p>
    <w:p>
      <w:pPr>
        <w:spacing w:line="360" w:lineRule="auto"/>
        <w:ind w:firstLine="880" w:firstLineChars="200"/>
        <w:rPr>
          <w:rFonts w:ascii="宋体"/>
          <w:sz w:val="44"/>
        </w:rPr>
      </w:pPr>
    </w:p>
    <w:p>
      <w:pPr>
        <w:spacing w:line="360" w:lineRule="auto"/>
        <w:rPr>
          <w:rFonts w:ascii="宋体"/>
          <w:sz w:val="44"/>
        </w:rPr>
      </w:pPr>
      <w:r>
        <w:rPr>
          <w:rFonts w:hint="eastAsia" w:ascii="宋体" w:hAnsi="宋体"/>
          <w:b/>
          <w:sz w:val="56"/>
          <w:szCs w:val="56"/>
        </w:rPr>
        <w:t>南宁高新技术产业开发区政府采购</w:t>
      </w:r>
    </w:p>
    <w:p>
      <w:pPr>
        <w:spacing w:line="360" w:lineRule="auto"/>
        <w:ind w:firstLine="880" w:firstLineChars="200"/>
        <w:rPr>
          <w:rFonts w:ascii="宋体"/>
          <w:sz w:val="44"/>
        </w:rPr>
      </w:pPr>
    </w:p>
    <w:p>
      <w:pPr>
        <w:spacing w:line="360" w:lineRule="auto"/>
        <w:ind w:firstLine="420" w:firstLineChars="200"/>
      </w:pPr>
    </w:p>
    <w:p>
      <w:pPr>
        <w:snapToGrid w:val="0"/>
        <w:spacing w:line="440" w:lineRule="exact"/>
        <w:ind w:left="1807" w:hanging="1807" w:hangingChars="500"/>
        <w:jc w:val="center"/>
        <w:rPr>
          <w:rFonts w:ascii="宋体" w:hAnsi="宋体"/>
          <w:b/>
          <w:sz w:val="36"/>
          <w:szCs w:val="36"/>
        </w:rPr>
      </w:pPr>
      <w:r>
        <w:rPr>
          <w:rFonts w:hint="eastAsia" w:ascii="宋体" w:hAnsi="宋体"/>
          <w:b/>
          <w:sz w:val="36"/>
          <w:szCs w:val="36"/>
        </w:rPr>
        <w:t>项目合同</w:t>
      </w:r>
    </w:p>
    <w:p>
      <w:pPr>
        <w:spacing w:line="360" w:lineRule="auto"/>
        <w:jc w:val="center"/>
        <w:rPr>
          <w:rFonts w:ascii="宋体"/>
          <w:b/>
          <w:bCs/>
          <w:sz w:val="44"/>
          <w:u w:val="single"/>
        </w:rPr>
      </w:pPr>
    </w:p>
    <w:p>
      <w:pPr>
        <w:spacing w:line="360" w:lineRule="auto"/>
        <w:ind w:firstLine="420" w:firstLineChars="200"/>
        <w:rPr>
          <w:rFonts w:ascii="宋体"/>
        </w:rPr>
      </w:pPr>
    </w:p>
    <w:p>
      <w:pPr>
        <w:spacing w:line="360" w:lineRule="auto"/>
        <w:ind w:firstLine="3507" w:firstLineChars="794"/>
        <w:rPr>
          <w:rFonts w:ascii="宋体"/>
          <w:b/>
          <w:bCs/>
          <w:sz w:val="44"/>
        </w:rPr>
      </w:pPr>
    </w:p>
    <w:p>
      <w:pPr>
        <w:spacing w:line="360" w:lineRule="auto"/>
        <w:rPr>
          <w:rFonts w:ascii="宋体"/>
          <w:b/>
          <w:bCs/>
          <w:sz w:val="44"/>
        </w:rPr>
      </w:pPr>
    </w:p>
    <w:p>
      <w:pPr>
        <w:rPr>
          <w:rFonts w:ascii="宋体" w:hAnsi="宋体"/>
          <w:b/>
          <w:sz w:val="36"/>
          <w:szCs w:val="36"/>
          <w:u w:val="single"/>
        </w:rPr>
      </w:pPr>
      <w:r>
        <w:rPr>
          <w:rFonts w:hint="eastAsia" w:ascii="宋体" w:hAnsi="宋体"/>
          <w:b/>
          <w:sz w:val="36"/>
          <w:szCs w:val="36"/>
        </w:rPr>
        <w:t xml:space="preserve">             项目编号：GXZC2020-      </w:t>
      </w:r>
    </w:p>
    <w:p>
      <w:pPr>
        <w:spacing w:line="360" w:lineRule="auto"/>
        <w:ind w:firstLine="880" w:firstLineChars="200"/>
        <w:rPr>
          <w:rFonts w:ascii="宋体"/>
          <w:sz w:val="44"/>
        </w:rPr>
      </w:pPr>
    </w:p>
    <w:p>
      <w:pPr>
        <w:spacing w:line="360" w:lineRule="auto"/>
        <w:ind w:firstLine="880" w:firstLineChars="200"/>
        <w:rPr>
          <w:rFonts w:ascii="宋体"/>
          <w:sz w:val="44"/>
        </w:rPr>
      </w:pPr>
    </w:p>
    <w:p>
      <w:pPr>
        <w:spacing w:line="360" w:lineRule="auto"/>
        <w:ind w:firstLine="880" w:firstLineChars="200"/>
        <w:rPr>
          <w:rFonts w:ascii="宋体"/>
          <w:sz w:val="44"/>
        </w:rPr>
      </w:pPr>
    </w:p>
    <w:p>
      <w:pPr>
        <w:spacing w:line="360" w:lineRule="auto"/>
        <w:ind w:firstLine="1265" w:firstLineChars="350"/>
        <w:rPr>
          <w:rFonts w:ascii="宋体"/>
          <w:b/>
          <w:sz w:val="36"/>
          <w:szCs w:val="36"/>
        </w:rPr>
      </w:pPr>
      <w:r>
        <w:rPr>
          <w:rFonts w:hint="eastAsia" w:ascii="宋体" w:hAnsi="宋体"/>
          <w:b/>
          <w:sz w:val="36"/>
          <w:szCs w:val="36"/>
        </w:rPr>
        <w:t>采购人：</w:t>
      </w:r>
    </w:p>
    <w:p>
      <w:pPr>
        <w:tabs>
          <w:tab w:val="left" w:pos="7380"/>
        </w:tabs>
        <w:spacing w:line="360" w:lineRule="auto"/>
        <w:ind w:firstLine="1084" w:firstLineChars="300"/>
        <w:rPr>
          <w:rFonts w:ascii="宋体"/>
          <w:b/>
          <w:bCs/>
          <w:sz w:val="44"/>
        </w:rPr>
      </w:pPr>
      <w:r>
        <w:rPr>
          <w:rFonts w:hint="eastAsia" w:ascii="宋体" w:hAnsi="宋体"/>
          <w:b/>
          <w:sz w:val="36"/>
          <w:szCs w:val="36"/>
        </w:rPr>
        <w:t xml:space="preserve"> 中标供应商：</w:t>
      </w:r>
    </w:p>
    <w:p>
      <w:pPr>
        <w:tabs>
          <w:tab w:val="left" w:pos="7380"/>
        </w:tabs>
        <w:spacing w:line="360" w:lineRule="auto"/>
        <w:jc w:val="center"/>
        <w:rPr>
          <w:b/>
          <w:sz w:val="36"/>
          <w:szCs w:val="36"/>
        </w:rPr>
      </w:pPr>
    </w:p>
    <w:p>
      <w:pPr>
        <w:tabs>
          <w:tab w:val="left" w:pos="7380"/>
        </w:tabs>
        <w:spacing w:line="360" w:lineRule="auto"/>
        <w:jc w:val="center"/>
        <w:rPr>
          <w:b/>
          <w:sz w:val="36"/>
          <w:szCs w:val="36"/>
        </w:rPr>
      </w:pPr>
    </w:p>
    <w:p>
      <w:pPr>
        <w:tabs>
          <w:tab w:val="left" w:pos="7380"/>
        </w:tabs>
        <w:spacing w:line="360" w:lineRule="auto"/>
        <w:jc w:val="center"/>
        <w:rPr>
          <w:b/>
          <w:sz w:val="36"/>
          <w:szCs w:val="36"/>
        </w:rPr>
      </w:pPr>
    </w:p>
    <w:p>
      <w:pPr>
        <w:tabs>
          <w:tab w:val="left" w:pos="7380"/>
        </w:tabs>
        <w:spacing w:line="360" w:lineRule="auto"/>
        <w:jc w:val="center"/>
        <w:rPr>
          <w:b/>
          <w:sz w:val="36"/>
          <w:szCs w:val="36"/>
        </w:rPr>
      </w:pPr>
    </w:p>
    <w:p>
      <w:pPr>
        <w:tabs>
          <w:tab w:val="left" w:pos="7380"/>
        </w:tabs>
        <w:spacing w:line="360" w:lineRule="auto"/>
        <w:jc w:val="center"/>
        <w:rPr>
          <w:b/>
          <w:sz w:val="36"/>
          <w:szCs w:val="36"/>
        </w:rPr>
      </w:pPr>
    </w:p>
    <w:p>
      <w:pPr>
        <w:tabs>
          <w:tab w:val="left" w:pos="7380"/>
        </w:tabs>
        <w:spacing w:line="360" w:lineRule="auto"/>
        <w:jc w:val="center"/>
        <w:rPr>
          <w:b/>
          <w:sz w:val="36"/>
          <w:szCs w:val="36"/>
        </w:rPr>
      </w:pPr>
    </w:p>
    <w:p>
      <w:pPr>
        <w:tabs>
          <w:tab w:val="left" w:pos="7380"/>
        </w:tabs>
        <w:spacing w:line="360" w:lineRule="auto"/>
        <w:jc w:val="center"/>
        <w:rPr>
          <w:b/>
          <w:sz w:val="36"/>
          <w:szCs w:val="36"/>
        </w:rPr>
      </w:pPr>
    </w:p>
    <w:p>
      <w:pPr>
        <w:tabs>
          <w:tab w:val="left" w:pos="7380"/>
        </w:tabs>
        <w:spacing w:line="360" w:lineRule="auto"/>
        <w:jc w:val="center"/>
        <w:rPr>
          <w:rFonts w:ascii="宋体"/>
          <w:b/>
          <w:bCs/>
          <w:sz w:val="44"/>
        </w:rPr>
      </w:pPr>
      <w:r>
        <w:rPr>
          <w:rFonts w:hint="eastAsia"/>
          <w:b/>
          <w:sz w:val="36"/>
          <w:szCs w:val="36"/>
        </w:rPr>
        <w:t>目录</w:t>
      </w:r>
    </w:p>
    <w:p>
      <w:pPr>
        <w:tabs>
          <w:tab w:val="left" w:pos="1170"/>
        </w:tabs>
        <w:spacing w:line="360" w:lineRule="auto"/>
        <w:ind w:left="359" w:leftChars="171" w:firstLine="198" w:firstLineChars="71"/>
        <w:rPr>
          <w:rFonts w:ascii="宋体" w:hAnsi="宋体"/>
          <w:sz w:val="28"/>
        </w:rPr>
      </w:pPr>
      <w:r>
        <w:rPr>
          <w:rFonts w:hint="eastAsia" w:ascii="宋体" w:hAnsi="宋体"/>
          <w:sz w:val="28"/>
        </w:rPr>
        <w:tab/>
      </w:r>
    </w:p>
    <w:p>
      <w:pPr>
        <w:rPr>
          <w:b/>
          <w:sz w:val="30"/>
          <w:szCs w:val="30"/>
        </w:rPr>
      </w:pPr>
      <w:r>
        <w:rPr>
          <w:rFonts w:hint="eastAsia"/>
          <w:b/>
          <w:sz w:val="30"/>
          <w:szCs w:val="30"/>
        </w:rPr>
        <w:t>一、南宁高新区政府采购合同书</w:t>
      </w:r>
    </w:p>
    <w:p>
      <w:pPr>
        <w:rPr>
          <w:b/>
          <w:sz w:val="30"/>
          <w:szCs w:val="30"/>
        </w:rPr>
      </w:pPr>
      <w:r>
        <w:rPr>
          <w:rFonts w:hint="eastAsia"/>
          <w:b/>
          <w:sz w:val="30"/>
          <w:szCs w:val="30"/>
        </w:rPr>
        <w:t>二、合同附件</w:t>
      </w:r>
    </w:p>
    <w:p>
      <w:pPr>
        <w:pStyle w:val="14"/>
        <w:spacing w:line="360" w:lineRule="auto"/>
        <w:ind w:firstLine="560" w:firstLineChars="200"/>
        <w:rPr>
          <w:rFonts w:hAnsi="宋体"/>
          <w:sz w:val="28"/>
          <w:szCs w:val="28"/>
        </w:rPr>
      </w:pPr>
      <w:r>
        <w:rPr>
          <w:rFonts w:hint="eastAsia" w:hAnsi="宋体"/>
          <w:sz w:val="28"/>
          <w:szCs w:val="28"/>
        </w:rPr>
        <w:t>1、中标通知书</w:t>
      </w:r>
    </w:p>
    <w:p>
      <w:pPr>
        <w:pStyle w:val="14"/>
        <w:spacing w:line="360" w:lineRule="auto"/>
        <w:ind w:firstLine="560" w:firstLineChars="200"/>
        <w:rPr>
          <w:rFonts w:hAnsi="宋体"/>
          <w:sz w:val="28"/>
          <w:szCs w:val="28"/>
        </w:rPr>
      </w:pPr>
      <w:r>
        <w:rPr>
          <w:rFonts w:hint="eastAsia" w:hAnsi="宋体"/>
          <w:sz w:val="28"/>
          <w:szCs w:val="28"/>
        </w:rPr>
        <w:t>2、招标文件项目采购需求一览表</w:t>
      </w:r>
    </w:p>
    <w:p>
      <w:pPr>
        <w:pStyle w:val="14"/>
        <w:spacing w:line="360" w:lineRule="auto"/>
        <w:ind w:firstLine="560" w:firstLineChars="200"/>
        <w:rPr>
          <w:rFonts w:hAnsi="宋体"/>
          <w:sz w:val="28"/>
          <w:szCs w:val="28"/>
        </w:rPr>
      </w:pPr>
      <w:r>
        <w:rPr>
          <w:rFonts w:hint="eastAsia" w:hAnsi="宋体"/>
          <w:sz w:val="28"/>
          <w:szCs w:val="28"/>
        </w:rPr>
        <w:t>3、招标文件的</w:t>
      </w:r>
      <w:r>
        <w:rPr>
          <w:rFonts w:hint="eastAsia" w:hAnsi="宋体"/>
          <w:sz w:val="28"/>
        </w:rPr>
        <w:t>更改通知（</w:t>
      </w:r>
      <w:r>
        <w:rPr>
          <w:rFonts w:hint="eastAsia"/>
          <w:sz w:val="28"/>
          <w:szCs w:val="28"/>
        </w:rPr>
        <w:t>如有请提</w:t>
      </w:r>
      <w:r>
        <w:rPr>
          <w:rFonts w:hint="eastAsia"/>
          <w:sz w:val="30"/>
          <w:szCs w:val="30"/>
        </w:rPr>
        <w:t>供</w:t>
      </w:r>
      <w:r>
        <w:rPr>
          <w:rFonts w:hint="eastAsia" w:hAnsi="宋体"/>
          <w:sz w:val="28"/>
        </w:rPr>
        <w:t>）</w:t>
      </w:r>
    </w:p>
    <w:p>
      <w:pPr>
        <w:ind w:firstLine="560" w:firstLineChars="200"/>
        <w:rPr>
          <w:rFonts w:ascii="宋体" w:hAnsi="宋体"/>
          <w:sz w:val="28"/>
          <w:szCs w:val="28"/>
        </w:rPr>
      </w:pPr>
      <w:r>
        <w:rPr>
          <w:sz w:val="28"/>
          <w:szCs w:val="28"/>
        </w:rPr>
        <w:t>4</w:t>
      </w:r>
      <w:r>
        <w:rPr>
          <w:rFonts w:hint="eastAsia"/>
          <w:sz w:val="28"/>
          <w:szCs w:val="28"/>
        </w:rPr>
        <w:t>、投标函</w:t>
      </w:r>
    </w:p>
    <w:p>
      <w:pPr>
        <w:pStyle w:val="14"/>
        <w:spacing w:line="360" w:lineRule="auto"/>
        <w:ind w:firstLine="560" w:firstLineChars="200"/>
        <w:rPr>
          <w:rFonts w:hAnsi="宋体"/>
          <w:sz w:val="28"/>
          <w:szCs w:val="28"/>
        </w:rPr>
      </w:pPr>
      <w:r>
        <w:rPr>
          <w:rFonts w:hint="eastAsia" w:hAnsi="宋体"/>
          <w:sz w:val="28"/>
          <w:szCs w:val="28"/>
        </w:rPr>
        <w:t>5、投标报价表</w:t>
      </w:r>
    </w:p>
    <w:p>
      <w:pPr>
        <w:pStyle w:val="14"/>
        <w:spacing w:line="360" w:lineRule="auto"/>
        <w:ind w:firstLine="560" w:firstLineChars="200"/>
        <w:rPr>
          <w:rFonts w:hAnsi="宋体"/>
          <w:sz w:val="28"/>
          <w:szCs w:val="28"/>
        </w:rPr>
      </w:pPr>
      <w:r>
        <w:rPr>
          <w:rFonts w:hint="eastAsia" w:hAnsi="宋体"/>
          <w:sz w:val="28"/>
          <w:szCs w:val="28"/>
        </w:rPr>
        <w:t>6、投标货物技术资料表</w:t>
      </w:r>
    </w:p>
    <w:p>
      <w:pPr>
        <w:pStyle w:val="14"/>
        <w:spacing w:line="360" w:lineRule="auto"/>
        <w:ind w:firstLine="560" w:firstLineChars="200"/>
        <w:rPr>
          <w:rFonts w:hAnsi="宋体"/>
          <w:sz w:val="28"/>
          <w:szCs w:val="28"/>
        </w:rPr>
      </w:pPr>
      <w:r>
        <w:rPr>
          <w:rFonts w:hint="eastAsia" w:hAnsi="宋体"/>
          <w:sz w:val="28"/>
          <w:szCs w:val="28"/>
        </w:rPr>
        <w:t>7、商务条款偏离表</w:t>
      </w:r>
    </w:p>
    <w:p>
      <w:pPr>
        <w:pStyle w:val="14"/>
        <w:spacing w:line="360" w:lineRule="auto"/>
        <w:ind w:firstLine="560" w:firstLineChars="200"/>
        <w:rPr>
          <w:rFonts w:hAnsi="宋体"/>
          <w:sz w:val="28"/>
          <w:szCs w:val="28"/>
        </w:rPr>
      </w:pPr>
      <w:r>
        <w:rPr>
          <w:rFonts w:hint="eastAsia" w:hAnsi="宋体"/>
          <w:sz w:val="28"/>
          <w:szCs w:val="28"/>
        </w:rPr>
        <w:t>8、中标供应商澄清函</w:t>
      </w:r>
      <w:r>
        <w:rPr>
          <w:rFonts w:hint="eastAsia"/>
          <w:sz w:val="28"/>
          <w:szCs w:val="28"/>
        </w:rPr>
        <w:t>（如有请提</w:t>
      </w:r>
      <w:r>
        <w:rPr>
          <w:rFonts w:hint="eastAsia"/>
          <w:sz w:val="30"/>
          <w:szCs w:val="30"/>
        </w:rPr>
        <w:t>供</w:t>
      </w:r>
      <w:r>
        <w:rPr>
          <w:rFonts w:hint="eastAsia"/>
          <w:sz w:val="28"/>
          <w:szCs w:val="28"/>
        </w:rPr>
        <w:t>）</w:t>
      </w:r>
    </w:p>
    <w:p>
      <w:pPr>
        <w:pStyle w:val="14"/>
        <w:spacing w:line="360" w:lineRule="auto"/>
        <w:ind w:firstLine="560" w:firstLineChars="200"/>
        <w:rPr>
          <w:rFonts w:hAnsi="宋体"/>
          <w:sz w:val="28"/>
          <w:szCs w:val="28"/>
        </w:rPr>
      </w:pPr>
      <w:r>
        <w:rPr>
          <w:rFonts w:hint="eastAsia" w:hAnsi="宋体"/>
          <w:sz w:val="28"/>
          <w:szCs w:val="28"/>
        </w:rPr>
        <w:t>9、其他与本合同相关的资料</w:t>
      </w:r>
      <w:r>
        <w:rPr>
          <w:rFonts w:hint="eastAsia"/>
          <w:sz w:val="28"/>
          <w:szCs w:val="28"/>
        </w:rPr>
        <w:t>（如有请提</w:t>
      </w:r>
      <w:r>
        <w:rPr>
          <w:rFonts w:hint="eastAsia"/>
          <w:sz w:val="30"/>
          <w:szCs w:val="30"/>
        </w:rPr>
        <w:t>供</w:t>
      </w:r>
      <w:r>
        <w:rPr>
          <w:rFonts w:hint="eastAsia"/>
          <w:sz w:val="28"/>
          <w:szCs w:val="28"/>
        </w:rPr>
        <w:t>）</w:t>
      </w:r>
    </w:p>
    <w:p>
      <w:pPr>
        <w:rPr>
          <w:b/>
          <w:sz w:val="30"/>
          <w:szCs w:val="30"/>
        </w:rPr>
      </w:pPr>
    </w:p>
    <w:p>
      <w:pPr>
        <w:spacing w:line="360" w:lineRule="auto"/>
        <w:jc w:val="center"/>
        <w:rPr>
          <w:rFonts w:ascii="宋体" w:hAnsi="宋体"/>
          <w:b/>
          <w:bCs/>
          <w:sz w:val="28"/>
        </w:rPr>
      </w:pPr>
    </w:p>
    <w:p>
      <w:pPr>
        <w:pStyle w:val="14"/>
        <w:spacing w:line="360" w:lineRule="auto"/>
        <w:ind w:firstLine="420"/>
        <w:jc w:val="right"/>
      </w:pPr>
      <w:r>
        <w:rPr>
          <w:rFonts w:hint="eastAsia" w:hAnsi="宋体"/>
          <w:bCs/>
          <w:sz w:val="28"/>
        </w:rPr>
        <w:br w:type="page"/>
      </w:r>
    </w:p>
    <w:p>
      <w:pPr>
        <w:spacing w:line="360" w:lineRule="auto"/>
        <w:jc w:val="center"/>
        <w:rPr>
          <w:rFonts w:ascii="宋体" w:hAnsi="宋体"/>
          <w:b/>
          <w:bCs/>
          <w:sz w:val="30"/>
          <w:szCs w:val="30"/>
        </w:rPr>
      </w:pPr>
      <w:r>
        <w:rPr>
          <w:rFonts w:hint="eastAsia"/>
          <w:b/>
          <w:sz w:val="30"/>
          <w:szCs w:val="30"/>
        </w:rPr>
        <w:t>南宁高新区政府采购合同书</w:t>
      </w:r>
    </w:p>
    <w:p>
      <w:pPr>
        <w:pStyle w:val="14"/>
        <w:spacing w:line="360" w:lineRule="auto"/>
        <w:rPr>
          <w:rFonts w:hAnsi="宋体"/>
        </w:rPr>
      </w:pPr>
    </w:p>
    <w:p>
      <w:pPr>
        <w:pStyle w:val="14"/>
        <w:spacing w:line="360" w:lineRule="auto"/>
        <w:rPr>
          <w:rFonts w:hAnsi="宋体"/>
          <w:u w:val="single"/>
        </w:rPr>
      </w:pPr>
      <w:r>
        <w:rPr>
          <w:rFonts w:hint="eastAsia" w:hAnsi="宋体"/>
        </w:rPr>
        <w:t>项目名称：</w:t>
      </w:r>
    </w:p>
    <w:p>
      <w:pPr>
        <w:pStyle w:val="14"/>
        <w:spacing w:line="360" w:lineRule="auto"/>
        <w:rPr>
          <w:rFonts w:hAnsi="宋体"/>
        </w:rPr>
      </w:pPr>
      <w:r>
        <w:rPr>
          <w:rFonts w:hint="eastAsia" w:hAnsi="宋体"/>
        </w:rPr>
        <w:t>项目编号：</w:t>
      </w:r>
    </w:p>
    <w:p>
      <w:pPr>
        <w:pStyle w:val="14"/>
        <w:spacing w:line="360" w:lineRule="auto"/>
        <w:rPr>
          <w:rFonts w:hAnsi="宋体"/>
        </w:rPr>
      </w:pPr>
    </w:p>
    <w:p>
      <w:pPr>
        <w:pStyle w:val="14"/>
        <w:spacing w:line="360" w:lineRule="auto"/>
        <w:rPr>
          <w:rFonts w:hAnsi="宋体"/>
        </w:rPr>
      </w:pPr>
      <w:r>
        <w:rPr>
          <w:rFonts w:hint="eastAsia" w:hAnsi="宋体"/>
        </w:rPr>
        <w:t>采购人（甲方）：</w:t>
      </w:r>
    </w:p>
    <w:p>
      <w:pPr>
        <w:pStyle w:val="14"/>
        <w:spacing w:line="360" w:lineRule="auto"/>
        <w:rPr>
          <w:rFonts w:hAnsi="宋体"/>
        </w:rPr>
      </w:pPr>
      <w:r>
        <w:rPr>
          <w:rFonts w:hint="eastAsia" w:hAnsi="宋体"/>
        </w:rPr>
        <w:t>中标供应商（乙方）：</w:t>
      </w:r>
    </w:p>
    <w:p>
      <w:pPr>
        <w:pStyle w:val="14"/>
        <w:spacing w:line="360" w:lineRule="auto"/>
        <w:rPr>
          <w:rFonts w:hAnsi="宋体"/>
          <w:b/>
        </w:rPr>
      </w:pPr>
    </w:p>
    <w:p>
      <w:pPr>
        <w:pStyle w:val="14"/>
        <w:spacing w:line="360" w:lineRule="auto"/>
        <w:ind w:firstLine="400" w:firstLineChars="200"/>
        <w:rPr>
          <w:rFonts w:hAnsi="宋体"/>
          <w:b/>
        </w:rPr>
      </w:pPr>
      <w:r>
        <w:rPr>
          <w:rFonts w:hint="eastAsia" w:hAnsi="宋体"/>
        </w:rPr>
        <w:t>根据年月日南宁高新区政府采购项目的采购结果，甲方接受乙方对本项目的投标，甲、乙双方同意签署本合同（以下简称合同）。</w:t>
      </w:r>
    </w:p>
    <w:p>
      <w:pPr>
        <w:pStyle w:val="14"/>
        <w:spacing w:line="360" w:lineRule="auto"/>
        <w:rPr>
          <w:rFonts w:hAnsi="宋体"/>
          <w:b/>
        </w:rPr>
      </w:pPr>
    </w:p>
    <w:p>
      <w:pPr>
        <w:pStyle w:val="14"/>
        <w:spacing w:line="360" w:lineRule="auto"/>
        <w:rPr>
          <w:rFonts w:hAnsi="宋体"/>
          <w:b/>
          <w:bCs/>
          <w:sz w:val="24"/>
        </w:rPr>
      </w:pPr>
      <w:r>
        <w:rPr>
          <w:rFonts w:hint="eastAsia" w:hAnsi="宋体"/>
          <w:b/>
          <w:bCs/>
          <w:sz w:val="24"/>
        </w:rPr>
        <w:t>1.  采购内容</w:t>
      </w:r>
    </w:p>
    <w:p>
      <w:pPr>
        <w:pStyle w:val="14"/>
        <w:tabs>
          <w:tab w:val="left" w:pos="5220"/>
        </w:tabs>
        <w:spacing w:line="360" w:lineRule="auto"/>
        <w:ind w:firstLine="400" w:firstLineChars="200"/>
        <w:rPr>
          <w:rFonts w:hAnsi="宋体"/>
          <w:u w:val="single"/>
        </w:rPr>
      </w:pPr>
      <w:r>
        <w:rPr>
          <w:rFonts w:hint="eastAsia" w:hAnsi="宋体"/>
        </w:rPr>
        <w:t>1.1 项目名称：</w:t>
      </w:r>
      <w:r>
        <w:rPr>
          <w:rFonts w:hint="eastAsia" w:hAnsi="宋体"/>
          <w:u w:val="single"/>
        </w:rPr>
        <w:t>详见合同附件中投标报价表</w:t>
      </w:r>
    </w:p>
    <w:p>
      <w:pPr>
        <w:pStyle w:val="14"/>
        <w:tabs>
          <w:tab w:val="left" w:pos="5220"/>
        </w:tabs>
        <w:spacing w:line="360" w:lineRule="auto"/>
        <w:ind w:firstLine="400" w:firstLineChars="200"/>
        <w:rPr>
          <w:rFonts w:hAnsi="宋体"/>
        </w:rPr>
      </w:pPr>
      <w:r>
        <w:rPr>
          <w:rFonts w:hint="eastAsia" w:hAnsi="宋体"/>
        </w:rPr>
        <w:t>1.2 数量：</w:t>
      </w:r>
      <w:r>
        <w:rPr>
          <w:rFonts w:hint="eastAsia" w:hAnsi="宋体"/>
          <w:u w:val="single"/>
        </w:rPr>
        <w:t>详见合同附件中投标报价表</w:t>
      </w:r>
    </w:p>
    <w:p>
      <w:pPr>
        <w:pStyle w:val="14"/>
        <w:tabs>
          <w:tab w:val="left" w:pos="5220"/>
        </w:tabs>
        <w:spacing w:line="360" w:lineRule="auto"/>
        <w:ind w:firstLine="400" w:firstLineChars="200"/>
        <w:rPr>
          <w:rFonts w:hAnsi="宋体"/>
        </w:rPr>
      </w:pPr>
      <w:r>
        <w:rPr>
          <w:rFonts w:hint="eastAsia" w:hAnsi="宋体"/>
        </w:rPr>
        <w:t xml:space="preserve">1.3 </w:t>
      </w:r>
      <w:r>
        <w:rPr>
          <w:rFonts w:hint="eastAsia"/>
          <w:szCs w:val="21"/>
        </w:rPr>
        <w:t>项目内容及要求</w:t>
      </w:r>
      <w:r>
        <w:rPr>
          <w:rFonts w:hint="eastAsia" w:ascii="Times New Roman" w:hAnsi="Times New Roman"/>
        </w:rPr>
        <w:t>：</w:t>
      </w:r>
      <w:r>
        <w:rPr>
          <w:rFonts w:hint="eastAsia" w:hAnsi="宋体"/>
          <w:u w:val="single"/>
        </w:rPr>
        <w:t>详见合同附件中投标货物技术资料表</w:t>
      </w:r>
    </w:p>
    <w:p>
      <w:pPr>
        <w:pStyle w:val="14"/>
        <w:tabs>
          <w:tab w:val="left" w:pos="5145"/>
        </w:tabs>
        <w:spacing w:line="360" w:lineRule="auto"/>
        <w:rPr>
          <w:rFonts w:hAnsi="宋体"/>
          <w:b/>
          <w:bCs/>
          <w:sz w:val="24"/>
        </w:rPr>
      </w:pPr>
      <w:r>
        <w:rPr>
          <w:rFonts w:hint="eastAsia" w:hAnsi="宋体"/>
          <w:b/>
          <w:bCs/>
          <w:sz w:val="24"/>
        </w:rPr>
        <w:t>2.  合同金额</w:t>
      </w:r>
    </w:p>
    <w:p>
      <w:pPr>
        <w:pStyle w:val="14"/>
        <w:spacing w:line="360" w:lineRule="auto"/>
        <w:ind w:firstLine="392" w:firstLineChars="196"/>
        <w:rPr>
          <w:rFonts w:hAnsi="宋体"/>
          <w:b/>
          <w:bCs/>
          <w:sz w:val="24"/>
        </w:rPr>
      </w:pPr>
      <w:r>
        <w:rPr>
          <w:rFonts w:hint="eastAsia" w:hAnsi="宋体"/>
        </w:rPr>
        <w:t>2.1 本合同金额为（大写）人民币</w:t>
      </w:r>
      <w:r>
        <w:rPr>
          <w:rFonts w:hint="eastAsia" w:hAnsi="宋体"/>
          <w:u w:val="single"/>
        </w:rPr>
        <w:t xml:space="preserve">　　　　　　    </w:t>
      </w:r>
      <w:r>
        <w:rPr>
          <w:rFonts w:hint="eastAsia" w:hAnsi="宋体"/>
        </w:rPr>
        <w:t>（￥</w:t>
      </w:r>
      <w:r>
        <w:rPr>
          <w:rFonts w:hint="eastAsia" w:hAnsi="宋体"/>
          <w:u w:val="single"/>
        </w:rPr>
        <w:t xml:space="preserve">　　　　　　 </w:t>
      </w:r>
      <w:r>
        <w:rPr>
          <w:rFonts w:hint="eastAsia" w:hAnsi="宋体"/>
        </w:rPr>
        <w:t>元）。（详见投标报价表）</w:t>
      </w:r>
    </w:p>
    <w:p>
      <w:pPr>
        <w:pStyle w:val="14"/>
        <w:tabs>
          <w:tab w:val="left" w:pos="5940"/>
        </w:tabs>
        <w:spacing w:line="360" w:lineRule="auto"/>
        <w:rPr>
          <w:rFonts w:hAnsi="宋体"/>
          <w:b/>
          <w:bCs/>
          <w:sz w:val="24"/>
        </w:rPr>
      </w:pPr>
      <w:r>
        <w:rPr>
          <w:rFonts w:hint="eastAsia" w:hAnsi="宋体"/>
          <w:b/>
          <w:bCs/>
          <w:sz w:val="24"/>
        </w:rPr>
        <w:t>3.  提交货物时间和地点</w:t>
      </w:r>
    </w:p>
    <w:p>
      <w:pPr>
        <w:pStyle w:val="14"/>
        <w:tabs>
          <w:tab w:val="left" w:pos="5250"/>
          <w:tab w:val="left" w:pos="5940"/>
        </w:tabs>
        <w:spacing w:line="360" w:lineRule="auto"/>
        <w:ind w:firstLine="392" w:firstLineChars="196"/>
        <w:rPr>
          <w:rFonts w:hAnsi="宋体"/>
          <w:b/>
          <w:bCs/>
          <w:sz w:val="24"/>
        </w:rPr>
      </w:pPr>
      <w:r>
        <w:rPr>
          <w:rFonts w:hint="eastAsia" w:hAnsi="宋体"/>
          <w:bCs/>
        </w:rPr>
        <w:t xml:space="preserve">3.1 </w:t>
      </w:r>
      <w:r>
        <w:rPr>
          <w:rFonts w:hint="eastAsia"/>
          <w:bCs/>
        </w:rPr>
        <w:t>提交货物时间</w:t>
      </w:r>
      <w:r>
        <w:rPr>
          <w:rFonts w:hint="eastAsia" w:hAnsi="宋体"/>
          <w:bCs/>
        </w:rPr>
        <w:t>：</w:t>
      </w:r>
    </w:p>
    <w:p>
      <w:pPr>
        <w:pStyle w:val="14"/>
        <w:tabs>
          <w:tab w:val="left" w:pos="5940"/>
        </w:tabs>
        <w:spacing w:line="360" w:lineRule="auto"/>
        <w:ind w:firstLine="392" w:firstLineChars="196"/>
        <w:rPr>
          <w:rFonts w:hAnsi="宋体"/>
          <w:b/>
          <w:bCs/>
          <w:sz w:val="24"/>
        </w:rPr>
      </w:pPr>
      <w:r>
        <w:rPr>
          <w:rFonts w:hint="eastAsia" w:hAnsi="宋体"/>
          <w:bCs/>
        </w:rPr>
        <w:t xml:space="preserve">3.2 </w:t>
      </w:r>
      <w:r>
        <w:rPr>
          <w:rFonts w:hint="eastAsia"/>
          <w:bCs/>
        </w:rPr>
        <w:t>提交货物</w:t>
      </w:r>
      <w:r>
        <w:rPr>
          <w:rFonts w:hint="eastAsia" w:hAnsi="宋体"/>
          <w:bCs/>
        </w:rPr>
        <w:t>地点：</w:t>
      </w:r>
    </w:p>
    <w:p>
      <w:pPr>
        <w:pStyle w:val="14"/>
        <w:tabs>
          <w:tab w:val="left" w:pos="5940"/>
        </w:tabs>
        <w:spacing w:line="360" w:lineRule="auto"/>
        <w:ind w:firstLine="392" w:firstLineChars="196"/>
        <w:rPr>
          <w:rFonts w:hAnsi="宋体"/>
          <w:b/>
          <w:bCs/>
          <w:sz w:val="24"/>
        </w:rPr>
      </w:pPr>
      <w:r>
        <w:rPr>
          <w:rFonts w:hint="eastAsia" w:hAnsi="宋体"/>
          <w:bCs/>
        </w:rPr>
        <w:t xml:space="preserve">3.3 </w:t>
      </w:r>
      <w:r>
        <w:rPr>
          <w:rFonts w:hint="eastAsia" w:hAnsi="宋体"/>
        </w:rPr>
        <w:t>乙方必须按投标文件承诺的货物技术参数响应条款向甲方提供货物。</w:t>
      </w:r>
    </w:p>
    <w:p>
      <w:pPr>
        <w:pStyle w:val="14"/>
        <w:spacing w:line="360" w:lineRule="auto"/>
        <w:ind w:left="412" w:hanging="412" w:hangingChars="171"/>
        <w:rPr>
          <w:rFonts w:hAnsi="宋体"/>
          <w:b/>
        </w:rPr>
      </w:pPr>
      <w:r>
        <w:rPr>
          <w:rFonts w:hint="eastAsia" w:hAnsi="宋体"/>
          <w:b/>
          <w:bCs/>
          <w:sz w:val="24"/>
        </w:rPr>
        <w:t>4.  产权</w:t>
      </w:r>
    </w:p>
    <w:p>
      <w:pPr>
        <w:pStyle w:val="14"/>
        <w:spacing w:line="360" w:lineRule="auto"/>
        <w:ind w:firstLine="400" w:firstLineChars="200"/>
        <w:rPr>
          <w:rFonts w:hAnsi="宋体"/>
          <w:b/>
        </w:rPr>
      </w:pPr>
      <w:r>
        <w:rPr>
          <w:rFonts w:hint="eastAsia" w:hAnsi="宋体"/>
        </w:rPr>
        <w:t xml:space="preserve">4.1 </w:t>
      </w:r>
      <w:r>
        <w:rPr>
          <w:rFonts w:hint="eastAsia" w:ascii="Times New Roman" w:hAnsi="Times New Roman"/>
        </w:rPr>
        <w:t>乙方应保证所提供的货物或其任何一部分均不会侵犯任何第三方的专利权、商标权或著作权</w:t>
      </w:r>
      <w:r>
        <w:rPr>
          <w:rFonts w:hint="eastAsia" w:hAnsi="宋体"/>
          <w:bCs/>
        </w:rPr>
        <w:t>。</w:t>
      </w:r>
    </w:p>
    <w:p>
      <w:pPr>
        <w:pStyle w:val="14"/>
        <w:spacing w:line="360" w:lineRule="auto"/>
        <w:ind w:firstLine="400" w:firstLineChars="200"/>
        <w:rPr>
          <w:rFonts w:hAnsi="宋体"/>
          <w:b/>
        </w:rPr>
      </w:pPr>
      <w:r>
        <w:rPr>
          <w:rFonts w:hint="eastAsia" w:hAnsi="宋体"/>
        </w:rPr>
        <w:t>4.2 乙方保证所交付货物的所有权完全属于乙方且无任何抵押、查封等产权瑕疵。如乙方所交付货物有产权瑕疵的，视为乙方违约，按照本合同第9.3项的约定处理。但在已经全部支付完合同款后才发现有产权瑕疵的，乙方除了支付违约金还应负担甲方由此产生的一切损失。</w:t>
      </w:r>
    </w:p>
    <w:p>
      <w:pPr>
        <w:pStyle w:val="14"/>
        <w:spacing w:line="360" w:lineRule="auto"/>
        <w:rPr>
          <w:rFonts w:hAnsi="宋体"/>
          <w:b/>
        </w:rPr>
      </w:pPr>
      <w:r>
        <w:rPr>
          <w:rFonts w:hint="eastAsia" w:hAnsi="宋体"/>
          <w:b/>
          <w:bCs/>
          <w:sz w:val="24"/>
        </w:rPr>
        <w:t>5.  技术资料</w:t>
      </w:r>
    </w:p>
    <w:p>
      <w:pPr>
        <w:pStyle w:val="14"/>
        <w:tabs>
          <w:tab w:val="left" w:pos="0"/>
        </w:tabs>
        <w:spacing w:line="360" w:lineRule="auto"/>
        <w:ind w:firstLine="400" w:firstLineChars="200"/>
        <w:rPr>
          <w:rFonts w:hAnsi="宋体"/>
        </w:rPr>
      </w:pPr>
      <w:r>
        <w:rPr>
          <w:rFonts w:hint="eastAsia" w:hAnsi="宋体"/>
        </w:rPr>
        <w:t>5.1 甲方应向乙方提供提交货物成果所必需的有关数据、资料等。</w:t>
      </w:r>
    </w:p>
    <w:p>
      <w:pPr>
        <w:pStyle w:val="14"/>
        <w:tabs>
          <w:tab w:val="left" w:pos="0"/>
        </w:tabs>
        <w:spacing w:line="360" w:lineRule="auto"/>
        <w:ind w:firstLine="400" w:firstLineChars="200"/>
        <w:rPr>
          <w:rFonts w:hAnsi="宋体"/>
        </w:rPr>
      </w:pPr>
      <w:r>
        <w:rPr>
          <w:rFonts w:hint="eastAsia" w:hAnsi="宋体"/>
        </w:rPr>
        <w:t>5.2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pacing w:line="360" w:lineRule="auto"/>
        <w:rPr>
          <w:rFonts w:hAnsi="宋体"/>
          <w:b/>
          <w:bCs/>
          <w:sz w:val="24"/>
        </w:rPr>
      </w:pPr>
      <w:r>
        <w:rPr>
          <w:rFonts w:hint="eastAsia" w:hAnsi="宋体"/>
          <w:b/>
          <w:bCs/>
          <w:sz w:val="24"/>
        </w:rPr>
        <w:t>6.  验收</w:t>
      </w:r>
    </w:p>
    <w:p>
      <w:pPr>
        <w:pStyle w:val="14"/>
        <w:tabs>
          <w:tab w:val="left" w:pos="0"/>
        </w:tabs>
        <w:spacing w:line="360" w:lineRule="auto"/>
        <w:ind w:firstLine="400" w:firstLineChars="200"/>
        <w:rPr>
          <w:rFonts w:hAnsi="宋体"/>
        </w:rPr>
      </w:pPr>
      <w:r>
        <w:rPr>
          <w:rFonts w:hint="eastAsia" w:hAnsi="宋体"/>
        </w:rPr>
        <w:t>6.1 乙方应对提交的货物作出全面检查和整理，并列出清单，作为甲方验收和使用的技术条件依据，清单应随提交的货物交给甲方。</w:t>
      </w:r>
    </w:p>
    <w:p>
      <w:pPr>
        <w:pStyle w:val="14"/>
        <w:tabs>
          <w:tab w:val="left" w:pos="0"/>
        </w:tabs>
        <w:spacing w:line="360" w:lineRule="auto"/>
        <w:ind w:firstLine="400" w:firstLineChars="200"/>
        <w:rPr>
          <w:rFonts w:hAnsi="宋体"/>
        </w:rPr>
      </w:pPr>
      <w:r>
        <w:rPr>
          <w:rFonts w:hint="eastAsia" w:hAnsi="宋体"/>
        </w:rPr>
        <w:t>6.2 乙方在指定地点提交货物后，甲方应在5个工作日内依据招标文件、乙方的投标文件等组织验收，验收完毕后作出书面验收报告。验收时乙方必须在现场。</w:t>
      </w:r>
    </w:p>
    <w:p>
      <w:pPr>
        <w:pStyle w:val="14"/>
        <w:tabs>
          <w:tab w:val="left" w:pos="0"/>
        </w:tabs>
        <w:spacing w:line="360" w:lineRule="auto"/>
        <w:ind w:firstLine="400" w:firstLineChars="200"/>
        <w:rPr>
          <w:rFonts w:hAnsi="宋体"/>
        </w:rPr>
      </w:pPr>
      <w:r>
        <w:rPr>
          <w:rFonts w:hint="eastAsia" w:hAnsi="宋体"/>
        </w:rPr>
        <w:t>6.3 对复杂的货物或者服务，甲方可请国家认可的专业机构参与验收，并由其出具验收报告，相关费用由甲方承担。</w:t>
      </w:r>
    </w:p>
    <w:p>
      <w:pPr>
        <w:pStyle w:val="14"/>
        <w:spacing w:line="360" w:lineRule="auto"/>
        <w:rPr>
          <w:rFonts w:hAnsi="宋体"/>
          <w:b/>
          <w:bCs/>
          <w:sz w:val="24"/>
        </w:rPr>
      </w:pPr>
      <w:r>
        <w:rPr>
          <w:rFonts w:hint="eastAsia" w:hAnsi="宋体"/>
          <w:b/>
          <w:bCs/>
          <w:sz w:val="24"/>
        </w:rPr>
        <w:t>7.  合同款支付</w:t>
      </w:r>
    </w:p>
    <w:p>
      <w:pPr>
        <w:pStyle w:val="14"/>
        <w:tabs>
          <w:tab w:val="left" w:pos="5145"/>
          <w:tab w:val="left" w:pos="5355"/>
          <w:tab w:val="left" w:pos="6195"/>
        </w:tabs>
        <w:spacing w:line="360" w:lineRule="auto"/>
        <w:ind w:firstLine="400" w:firstLineChars="200"/>
        <w:rPr>
          <w:rFonts w:hAnsi="宋体"/>
          <w:bCs/>
          <w:u w:val="single"/>
        </w:rPr>
      </w:pPr>
      <w:r>
        <w:rPr>
          <w:rFonts w:hint="eastAsia" w:hAnsi="宋体"/>
          <w:bCs/>
        </w:rPr>
        <w:t>7.1 付款方式：</w:t>
      </w:r>
    </w:p>
    <w:p>
      <w:pPr>
        <w:pStyle w:val="14"/>
        <w:tabs>
          <w:tab w:val="left" w:pos="5145"/>
          <w:tab w:val="left" w:pos="5355"/>
          <w:tab w:val="left" w:pos="6195"/>
        </w:tabs>
        <w:spacing w:line="360" w:lineRule="auto"/>
        <w:ind w:firstLine="400" w:firstLineChars="200"/>
        <w:rPr>
          <w:rFonts w:hAnsi="宋体"/>
          <w:bCs/>
          <w:u w:val="single"/>
        </w:rPr>
      </w:pPr>
      <w:r>
        <w:rPr>
          <w:rFonts w:hint="eastAsia" w:hAnsi="宋体"/>
        </w:rPr>
        <w:t>7.2 支付合同款时，按财政国库直接支付程序将款项直接支付给供应商。</w:t>
      </w:r>
    </w:p>
    <w:p>
      <w:pPr>
        <w:pStyle w:val="14"/>
        <w:tabs>
          <w:tab w:val="left" w:pos="5145"/>
          <w:tab w:val="left" w:pos="5355"/>
          <w:tab w:val="left" w:pos="6195"/>
        </w:tabs>
        <w:spacing w:line="360" w:lineRule="auto"/>
        <w:ind w:firstLine="400" w:firstLineChars="200"/>
        <w:rPr>
          <w:rFonts w:hAnsi="宋体"/>
          <w:bCs/>
          <w:u w:val="single"/>
        </w:rPr>
      </w:pPr>
      <w:r>
        <w:rPr>
          <w:rFonts w:hint="eastAsia" w:hAnsi="宋体"/>
        </w:rPr>
        <w:t xml:space="preserve">7.3 </w:t>
      </w:r>
      <w:r>
        <w:rPr>
          <w:rFonts w:hint="eastAsia" w:hAnsi="宋体"/>
          <w:szCs w:val="21"/>
        </w:rPr>
        <w:t>政府采购监督管理部门在处理投诉事项期间，可以视具体情况书面通知采购人暂停采购活动</w:t>
      </w:r>
      <w:r>
        <w:rPr>
          <w:rFonts w:hint="eastAsia" w:hAnsi="宋体"/>
          <w:bCs/>
        </w:rPr>
        <w:t>，并延期支付合同款。</w:t>
      </w:r>
    </w:p>
    <w:p>
      <w:pPr>
        <w:pStyle w:val="14"/>
        <w:spacing w:line="360" w:lineRule="auto"/>
        <w:rPr>
          <w:rFonts w:hAnsi="宋体"/>
          <w:b/>
          <w:bCs/>
          <w:sz w:val="24"/>
        </w:rPr>
      </w:pPr>
      <w:r>
        <w:rPr>
          <w:rFonts w:hint="eastAsia" w:hAnsi="宋体"/>
          <w:b/>
          <w:bCs/>
          <w:sz w:val="24"/>
        </w:rPr>
        <w:t>8.  售后服务要求</w:t>
      </w:r>
    </w:p>
    <w:p>
      <w:pPr>
        <w:pStyle w:val="14"/>
        <w:spacing w:line="360" w:lineRule="auto"/>
        <w:ind w:firstLine="400" w:firstLineChars="200"/>
        <w:rPr>
          <w:rFonts w:hAnsi="宋体"/>
        </w:rPr>
      </w:pPr>
      <w:r>
        <w:rPr>
          <w:rFonts w:hint="eastAsia" w:hAnsi="宋体"/>
        </w:rPr>
        <w:t>8.1 乙方提供货物的质量保证期为：</w:t>
      </w:r>
      <w:r>
        <w:rPr>
          <w:rFonts w:hint="eastAsia" w:hAnsi="宋体"/>
          <w:u w:val="single"/>
        </w:rPr>
        <w:t xml:space="preserve">　　　　　　   </w:t>
      </w:r>
      <w:r>
        <w:rPr>
          <w:rFonts w:hint="eastAsia" w:hAnsi="宋体"/>
        </w:rPr>
        <w:t>（自提交货物验收合格之日起计）</w:t>
      </w:r>
    </w:p>
    <w:p>
      <w:pPr>
        <w:pStyle w:val="14"/>
        <w:spacing w:line="360" w:lineRule="auto"/>
        <w:ind w:firstLine="400" w:firstLineChars="200"/>
        <w:rPr>
          <w:rFonts w:hAnsi="宋体"/>
        </w:rPr>
      </w:pPr>
      <w:r>
        <w:rPr>
          <w:rFonts w:hint="eastAsia" w:hAnsi="宋体"/>
        </w:rPr>
        <w:t>9.2在本合同第8.1项约定的质量保证期内，乙方应对货物出现的问题负责处理解决并承担一切费用。</w:t>
      </w:r>
    </w:p>
    <w:p>
      <w:pPr>
        <w:pStyle w:val="14"/>
        <w:tabs>
          <w:tab w:val="left" w:pos="5250"/>
        </w:tabs>
        <w:spacing w:line="360" w:lineRule="auto"/>
        <w:ind w:firstLine="400" w:firstLineChars="200"/>
        <w:rPr>
          <w:rFonts w:hAnsi="宋体"/>
          <w:u w:val="single"/>
        </w:rPr>
      </w:pPr>
      <w:r>
        <w:rPr>
          <w:rFonts w:hint="eastAsia" w:hAnsi="宋体"/>
        </w:rPr>
        <w:t>9.3 其他售后服务要求：</w:t>
      </w:r>
      <w:r>
        <w:rPr>
          <w:rFonts w:hint="eastAsia" w:hAnsi="宋体"/>
          <w:u w:val="single"/>
        </w:rPr>
        <w:t>按投标文件商务条款偏离表内容执行。</w:t>
      </w:r>
    </w:p>
    <w:p>
      <w:pPr>
        <w:pStyle w:val="14"/>
        <w:spacing w:line="360" w:lineRule="auto"/>
        <w:rPr>
          <w:rFonts w:hAnsi="宋体"/>
          <w:b/>
          <w:bCs/>
          <w:sz w:val="24"/>
        </w:rPr>
      </w:pPr>
      <w:r>
        <w:rPr>
          <w:rFonts w:hint="eastAsia" w:hAnsi="宋体"/>
          <w:b/>
          <w:bCs/>
          <w:sz w:val="24"/>
        </w:rPr>
        <w:t>9.  违约责任</w:t>
      </w:r>
    </w:p>
    <w:p>
      <w:pPr>
        <w:pStyle w:val="14"/>
        <w:spacing w:line="360" w:lineRule="auto"/>
        <w:ind w:firstLine="400" w:firstLineChars="200"/>
        <w:rPr>
          <w:rFonts w:hAnsi="宋体"/>
        </w:rPr>
      </w:pPr>
      <w:r>
        <w:rPr>
          <w:rFonts w:hint="eastAsia" w:hAnsi="宋体"/>
        </w:rPr>
        <w:t>9.1 甲方无正当理由拒收货物的，甲方向乙方偿付拒收服务费总值的百分之五违约金。</w:t>
      </w:r>
    </w:p>
    <w:p>
      <w:pPr>
        <w:pStyle w:val="14"/>
        <w:spacing w:line="360" w:lineRule="auto"/>
        <w:ind w:firstLine="400" w:firstLineChars="200"/>
        <w:rPr>
          <w:rFonts w:hAnsi="宋体"/>
        </w:rPr>
      </w:pPr>
      <w:r>
        <w:rPr>
          <w:rFonts w:hint="eastAsia" w:hAnsi="宋体"/>
        </w:rPr>
        <w:t>9.2 甲方无故逾期验收或办理合同款支付手续的，甲方应按逾期付款总额每日万分之五向乙方支付违约金。</w:t>
      </w:r>
    </w:p>
    <w:p>
      <w:pPr>
        <w:pStyle w:val="14"/>
        <w:spacing w:line="360" w:lineRule="auto"/>
        <w:ind w:firstLine="400" w:firstLineChars="200"/>
        <w:rPr>
          <w:rFonts w:hAnsi="宋体"/>
        </w:rPr>
      </w:pPr>
      <w:r>
        <w:rPr>
          <w:rFonts w:hint="eastAsia" w:hAnsi="宋体"/>
        </w:rPr>
        <w:t>9.3 乙方逾期交付货物的，乙方应按逾期提供货物总额每日千分之六向甲方支付违约金，由甲方从待付货物费中扣除。逾期超过约定日期10工作日不能提供货物的，甲方可解除本合同。乙方因逾期提供货物或因其他违约行为导致甲方解除合同的，乙方应向甲方支付合同总值百分之五的违约金，如造成甲方损失超过违约金的，超出部分由乙方继续承担赔偿责任。</w:t>
      </w:r>
    </w:p>
    <w:p>
      <w:pPr>
        <w:pStyle w:val="14"/>
        <w:spacing w:line="360" w:lineRule="auto"/>
        <w:rPr>
          <w:rFonts w:hAnsi="宋体"/>
          <w:b/>
          <w:bCs/>
          <w:sz w:val="24"/>
        </w:rPr>
      </w:pPr>
      <w:r>
        <w:rPr>
          <w:rFonts w:hint="eastAsia" w:hAnsi="宋体"/>
          <w:b/>
          <w:bCs/>
          <w:sz w:val="24"/>
        </w:rPr>
        <w:t>10.  不可抗力事件处理</w:t>
      </w:r>
    </w:p>
    <w:p>
      <w:pPr>
        <w:pStyle w:val="14"/>
        <w:spacing w:line="360" w:lineRule="auto"/>
        <w:ind w:firstLine="400" w:firstLineChars="200"/>
        <w:rPr>
          <w:rFonts w:hAnsi="宋体"/>
        </w:rPr>
      </w:pPr>
      <w:r>
        <w:rPr>
          <w:rFonts w:hint="eastAsia" w:hAnsi="宋体"/>
        </w:rPr>
        <w:t>11.1 在合同有效期内，任何一方因不可抗力事件导致不能履行合同，则合同履行期可延长，其延长期与不可抗力影响期相同。</w:t>
      </w:r>
    </w:p>
    <w:p>
      <w:pPr>
        <w:pStyle w:val="14"/>
        <w:spacing w:line="360" w:lineRule="auto"/>
        <w:ind w:firstLine="400" w:firstLineChars="200"/>
        <w:rPr>
          <w:rFonts w:hAnsi="宋体"/>
        </w:rPr>
      </w:pPr>
      <w:r>
        <w:rPr>
          <w:rFonts w:hint="eastAsia" w:hAnsi="宋体"/>
        </w:rPr>
        <w:t>10.2 不可抗力事件发生后，应立即通知对方，并寄送有关权威机构出具的证明。</w:t>
      </w:r>
    </w:p>
    <w:p>
      <w:pPr>
        <w:pStyle w:val="14"/>
        <w:spacing w:line="360" w:lineRule="auto"/>
        <w:ind w:firstLine="400" w:firstLineChars="200"/>
        <w:rPr>
          <w:rFonts w:hAnsi="宋体"/>
        </w:rPr>
      </w:pPr>
      <w:r>
        <w:rPr>
          <w:rFonts w:hint="eastAsia" w:hAnsi="宋体"/>
        </w:rPr>
        <w:t>10.3 不可抗力事件延续120天以上，双方应通过友好协商，确定是否继续履行合同。</w:t>
      </w:r>
    </w:p>
    <w:p>
      <w:pPr>
        <w:pStyle w:val="14"/>
        <w:spacing w:line="360" w:lineRule="auto"/>
        <w:rPr>
          <w:rFonts w:hAnsi="宋体"/>
          <w:b/>
          <w:bCs/>
          <w:sz w:val="24"/>
        </w:rPr>
      </w:pPr>
      <w:r>
        <w:rPr>
          <w:rFonts w:hint="eastAsia" w:hAnsi="宋体"/>
          <w:b/>
          <w:bCs/>
          <w:sz w:val="24"/>
        </w:rPr>
        <w:t>11.  诉讼</w:t>
      </w:r>
    </w:p>
    <w:p>
      <w:pPr>
        <w:pStyle w:val="14"/>
        <w:tabs>
          <w:tab w:val="left" w:pos="0"/>
        </w:tabs>
        <w:spacing w:line="360" w:lineRule="auto"/>
        <w:ind w:firstLine="400" w:firstLineChars="200"/>
        <w:rPr>
          <w:rFonts w:hAnsi="宋体"/>
        </w:rPr>
      </w:pPr>
      <w:r>
        <w:rPr>
          <w:rFonts w:hint="eastAsia" w:hAnsi="宋体"/>
        </w:rPr>
        <w:t>11.1 双方在执行合同中所发生的一切争议，应通过协商解决。如协商不成，可向合同签订地法院起诉，合同签订地在此约定为广西南宁市。</w:t>
      </w:r>
    </w:p>
    <w:p>
      <w:pPr>
        <w:pStyle w:val="14"/>
        <w:spacing w:line="360" w:lineRule="auto"/>
        <w:rPr>
          <w:rFonts w:hAnsi="宋体"/>
          <w:b/>
          <w:bCs/>
          <w:sz w:val="24"/>
        </w:rPr>
      </w:pPr>
      <w:r>
        <w:rPr>
          <w:rFonts w:hint="eastAsia" w:hAnsi="宋体"/>
          <w:b/>
          <w:bCs/>
          <w:sz w:val="24"/>
        </w:rPr>
        <w:t>12.  合同生效及其它</w:t>
      </w:r>
    </w:p>
    <w:p>
      <w:pPr>
        <w:pStyle w:val="14"/>
        <w:spacing w:line="360" w:lineRule="auto"/>
        <w:ind w:firstLine="400" w:firstLineChars="200"/>
        <w:rPr>
          <w:rFonts w:hAnsi="宋体"/>
        </w:rPr>
      </w:pPr>
      <w:r>
        <w:rPr>
          <w:rFonts w:hint="eastAsia" w:hAnsi="宋体"/>
        </w:rPr>
        <w:t>12.1 合同经双方法定代表人或授权委托代理人签字并加盖单位公章后生效。</w:t>
      </w:r>
    </w:p>
    <w:p>
      <w:pPr>
        <w:pStyle w:val="14"/>
        <w:spacing w:line="360" w:lineRule="auto"/>
        <w:ind w:firstLine="400" w:firstLineChars="200"/>
        <w:rPr>
          <w:rFonts w:hAnsi="宋体"/>
        </w:rPr>
      </w:pPr>
      <w:r>
        <w:rPr>
          <w:rFonts w:hint="eastAsia" w:hAnsi="宋体"/>
        </w:rPr>
        <w:t xml:space="preserve">12.2 </w:t>
      </w:r>
      <w:r>
        <w:rPr>
          <w:rFonts w:hint="eastAsia" w:hAnsi="宋体"/>
          <w:szCs w:val="21"/>
        </w:rPr>
        <w:t>合同执行中涉及采购资金和采购内容修改或补充的，须经高新区财政部门审批，并签书面补充协议报南宁高新区政府采购监督管理部门备案，方可作为主合同不可分割的一部分。</w:t>
      </w:r>
    </w:p>
    <w:p>
      <w:pPr>
        <w:pStyle w:val="14"/>
        <w:spacing w:line="360" w:lineRule="auto"/>
        <w:ind w:firstLine="400" w:firstLineChars="200"/>
        <w:rPr>
          <w:rFonts w:hAnsi="宋体"/>
        </w:rPr>
      </w:pPr>
      <w:r>
        <w:rPr>
          <w:rFonts w:hint="eastAsia" w:hAnsi="宋体"/>
        </w:rPr>
        <w:t>12.3 下述合同附件为本合同不可分割的部分并与本合同具有同等效力：</w:t>
      </w:r>
    </w:p>
    <w:p>
      <w:pPr>
        <w:pStyle w:val="14"/>
        <w:spacing w:line="360" w:lineRule="auto"/>
        <w:ind w:firstLine="400" w:firstLineChars="200"/>
        <w:rPr>
          <w:rFonts w:hAnsi="宋体"/>
        </w:rPr>
      </w:pPr>
      <w:r>
        <w:rPr>
          <w:rFonts w:hint="eastAsia" w:hAnsi="宋体"/>
        </w:rPr>
        <w:t>（1）中标通知书；</w:t>
      </w:r>
    </w:p>
    <w:p>
      <w:pPr>
        <w:pStyle w:val="14"/>
        <w:spacing w:line="360" w:lineRule="auto"/>
        <w:ind w:firstLine="400" w:firstLineChars="200"/>
        <w:rPr>
          <w:rFonts w:hAnsi="宋体"/>
        </w:rPr>
      </w:pPr>
      <w:r>
        <w:rPr>
          <w:rFonts w:hint="eastAsia" w:hAnsi="宋体"/>
        </w:rPr>
        <w:t>（2）招标文件采购需求一览表；</w:t>
      </w:r>
    </w:p>
    <w:p>
      <w:pPr>
        <w:pStyle w:val="14"/>
        <w:spacing w:line="360" w:lineRule="auto"/>
        <w:ind w:firstLine="400" w:firstLineChars="200"/>
        <w:rPr>
          <w:rFonts w:hAnsi="宋体"/>
        </w:rPr>
      </w:pPr>
      <w:r>
        <w:rPr>
          <w:rFonts w:hint="eastAsia" w:hAnsi="宋体"/>
        </w:rPr>
        <w:t>（3）招标文件的澄清和修改；</w:t>
      </w:r>
    </w:p>
    <w:p>
      <w:pPr>
        <w:pStyle w:val="14"/>
        <w:spacing w:line="360" w:lineRule="auto"/>
        <w:ind w:firstLine="400" w:firstLineChars="200"/>
        <w:rPr>
          <w:rFonts w:hAnsi="宋体"/>
        </w:rPr>
      </w:pPr>
      <w:r>
        <w:rPr>
          <w:rFonts w:hint="eastAsia" w:hAnsi="宋体"/>
        </w:rPr>
        <w:t>（4）投标函、投标报价表；</w:t>
      </w:r>
    </w:p>
    <w:p>
      <w:pPr>
        <w:pStyle w:val="14"/>
        <w:spacing w:line="360" w:lineRule="auto"/>
        <w:ind w:firstLine="400" w:firstLineChars="200"/>
        <w:rPr>
          <w:rFonts w:hAnsi="宋体"/>
        </w:rPr>
      </w:pPr>
      <w:r>
        <w:rPr>
          <w:rFonts w:hint="eastAsia" w:hAnsi="宋体"/>
        </w:rPr>
        <w:t>（5）投标货物技术资料表、商务条款偏离表、售后服务承诺书；</w:t>
      </w:r>
    </w:p>
    <w:p>
      <w:pPr>
        <w:pStyle w:val="14"/>
        <w:spacing w:line="360" w:lineRule="auto"/>
        <w:ind w:firstLine="400" w:firstLineChars="200"/>
        <w:rPr>
          <w:rFonts w:hAnsi="宋体"/>
        </w:rPr>
      </w:pPr>
      <w:r>
        <w:rPr>
          <w:rFonts w:hint="eastAsia" w:hAnsi="宋体"/>
        </w:rPr>
        <w:t>（6）中标供应商澄清函。</w:t>
      </w:r>
    </w:p>
    <w:p>
      <w:pPr>
        <w:pStyle w:val="14"/>
        <w:spacing w:line="360" w:lineRule="auto"/>
        <w:ind w:firstLine="400" w:firstLineChars="200"/>
        <w:rPr>
          <w:rFonts w:hAnsi="宋体"/>
        </w:rPr>
      </w:pPr>
      <w:r>
        <w:rPr>
          <w:rFonts w:hint="eastAsia" w:hAnsi="宋体"/>
        </w:rPr>
        <w:t>12.4 本合同未尽事宜，遵照《中华人民共和国合同法》有关条文执行。</w:t>
      </w:r>
    </w:p>
    <w:p>
      <w:pPr>
        <w:pStyle w:val="14"/>
        <w:spacing w:line="360" w:lineRule="auto"/>
        <w:ind w:firstLine="400" w:firstLineChars="200"/>
        <w:rPr>
          <w:rFonts w:hAnsi="宋体"/>
        </w:rPr>
      </w:pPr>
      <w:r>
        <w:rPr>
          <w:rFonts w:hint="eastAsia" w:hAnsi="宋体"/>
        </w:rPr>
        <w:t xml:space="preserve">12.5 </w:t>
      </w:r>
      <w:r>
        <w:rPr>
          <w:bCs/>
        </w:rPr>
        <w:t>政府采购合同</w:t>
      </w:r>
      <w:r>
        <w:rPr>
          <w:rFonts w:hint="eastAsia"/>
          <w:bCs/>
        </w:rPr>
        <w:t>一式五份，具有同等法律效力，采购方执两份</w:t>
      </w:r>
      <w:r>
        <w:rPr>
          <w:bCs/>
        </w:rPr>
        <w:t>合同</w:t>
      </w:r>
      <w:r>
        <w:rPr>
          <w:rFonts w:hint="eastAsia"/>
          <w:bCs/>
        </w:rPr>
        <w:t>（一份存档，一份付款），中标供应商执一份</w:t>
      </w:r>
      <w:r>
        <w:rPr>
          <w:bCs/>
        </w:rPr>
        <w:t>合同</w:t>
      </w:r>
      <w:r>
        <w:rPr>
          <w:rFonts w:hint="eastAsia" w:hAnsi="宋体"/>
        </w:rPr>
        <w:t>。</w:t>
      </w:r>
    </w:p>
    <w:p>
      <w:pPr>
        <w:pStyle w:val="14"/>
        <w:spacing w:line="360" w:lineRule="auto"/>
        <w:rPr>
          <w:rFonts w:hAnsi="宋体"/>
          <w:u w:val="single"/>
        </w:rPr>
      </w:pPr>
      <w:r>
        <w:rPr>
          <w:rFonts w:hint="eastAsia" w:hAnsi="宋体"/>
        </w:rPr>
        <w:t>甲方：    乙方：</w:t>
      </w:r>
    </w:p>
    <w:p>
      <w:pPr>
        <w:pStyle w:val="14"/>
        <w:spacing w:line="360" w:lineRule="auto"/>
        <w:rPr>
          <w:rFonts w:hAnsi="宋体"/>
        </w:rPr>
      </w:pPr>
      <w:r>
        <w:rPr>
          <w:rFonts w:hint="eastAsia" w:hAnsi="宋体"/>
        </w:rPr>
        <w:t>地址：    地址：</w:t>
      </w:r>
    </w:p>
    <w:p>
      <w:pPr>
        <w:pStyle w:val="14"/>
        <w:spacing w:line="360" w:lineRule="auto"/>
        <w:rPr>
          <w:rFonts w:hAnsi="宋体"/>
        </w:rPr>
      </w:pPr>
      <w:r>
        <w:rPr>
          <w:rFonts w:hint="eastAsia" w:hAnsi="宋体"/>
        </w:rPr>
        <w:t>法定代表人：    法定代表人：</w:t>
      </w:r>
    </w:p>
    <w:p>
      <w:pPr>
        <w:pStyle w:val="14"/>
        <w:spacing w:line="360" w:lineRule="auto"/>
        <w:rPr>
          <w:rFonts w:hAnsi="宋体"/>
        </w:rPr>
      </w:pPr>
      <w:r>
        <w:rPr>
          <w:rFonts w:hint="eastAsia" w:hAnsi="宋体"/>
        </w:rPr>
        <w:t>委托代理人：    委托代理人：</w:t>
      </w:r>
    </w:p>
    <w:p>
      <w:pPr>
        <w:pStyle w:val="14"/>
        <w:spacing w:line="360" w:lineRule="auto"/>
        <w:rPr>
          <w:rFonts w:hAnsi="宋体"/>
        </w:rPr>
      </w:pPr>
      <w:r>
        <w:rPr>
          <w:rFonts w:hint="eastAsia" w:hAnsi="宋体"/>
        </w:rPr>
        <w:t>电话：    电话：</w:t>
      </w:r>
    </w:p>
    <w:p>
      <w:pPr>
        <w:pStyle w:val="14"/>
        <w:spacing w:line="360" w:lineRule="auto"/>
        <w:rPr>
          <w:rFonts w:hAnsi="宋体"/>
        </w:rPr>
      </w:pPr>
      <w:r>
        <w:rPr>
          <w:rFonts w:hint="eastAsia" w:hAnsi="宋体"/>
        </w:rPr>
        <w:t>传真：    传真：</w:t>
      </w:r>
    </w:p>
    <w:p>
      <w:pPr>
        <w:pStyle w:val="14"/>
        <w:spacing w:line="360" w:lineRule="auto"/>
        <w:rPr>
          <w:rFonts w:hAnsi="宋体"/>
        </w:rPr>
      </w:pPr>
      <w:r>
        <w:rPr>
          <w:rFonts w:hint="eastAsia" w:hAnsi="宋体"/>
        </w:rPr>
        <w:t>邮政编码：    邮政编码：                      开户银行： 开户名称：                                              银行账号：</w:t>
      </w:r>
    </w:p>
    <w:p>
      <w:pPr>
        <w:pStyle w:val="14"/>
        <w:spacing w:line="360" w:lineRule="auto"/>
        <w:rPr>
          <w:rFonts w:hAnsi="宋体"/>
        </w:rPr>
      </w:pPr>
      <w:r>
        <w:rPr>
          <w:rFonts w:hint="eastAsia" w:hAnsi="宋体"/>
        </w:rPr>
        <w:t xml:space="preserve">合同签订地点：广西南宁市 </w:t>
      </w:r>
    </w:p>
    <w:p>
      <w:pPr>
        <w:pStyle w:val="14"/>
        <w:spacing w:line="360" w:lineRule="auto"/>
        <w:rPr>
          <w:rFonts w:eastAsia="仿宋_GB2312"/>
          <w:sz w:val="32"/>
          <w:szCs w:val="32"/>
        </w:rPr>
      </w:pPr>
      <w:r>
        <w:rPr>
          <w:rFonts w:hint="eastAsia" w:hAnsi="宋体"/>
        </w:rPr>
        <w:t>合同签订日期：年月日</w:t>
      </w:r>
    </w:p>
    <w:p/>
    <w:p>
      <w:pPr>
        <w:pStyle w:val="14"/>
        <w:outlineLvl w:val="1"/>
        <w:rPr>
          <w:rFonts w:hAnsi="宋体"/>
        </w:rPr>
      </w:pPr>
    </w:p>
    <w:p>
      <w:pPr>
        <w:pStyle w:val="14"/>
        <w:jc w:val="center"/>
        <w:outlineLvl w:val="1"/>
        <w:rPr>
          <w:rFonts w:hAnsi="宋体"/>
        </w:rPr>
      </w:pPr>
    </w:p>
    <w:p/>
    <w:p>
      <w:pPr>
        <w:pStyle w:val="14"/>
        <w:spacing w:line="360" w:lineRule="auto"/>
        <w:rPr>
          <w:rFonts w:hAnsi="宋体"/>
        </w:rPr>
      </w:pPr>
    </w:p>
    <w:p/>
    <w:sectPr>
      <w:headerReference r:id="rId9" w:type="default"/>
      <w:footerReference r:id="rId10" w:type="default"/>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黑体"/>
    <w:panose1 w:val="03000509000000000000"/>
    <w:charset w:val="86"/>
    <w:family w:val="script"/>
    <w:pitch w:val="default"/>
    <w:sig w:usb0="00000000" w:usb1="00000000" w:usb2="00000010" w:usb3="00000000" w:csb0="00040000" w:csb1="00000000"/>
  </w:font>
  <w:font w:name="font-weight : 400">
    <w:altName w:val="Segoe Print"/>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华康简魏碑">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15035" cy="147955"/>
              <wp:effectExtent l="0" t="0" r="0" b="0"/>
              <wp:wrapNone/>
              <wp:docPr id="4" name="文本框 8"/>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wps:spPr>
                    <wps:txbx>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1.65pt;width:72.05pt;mso-position-horizontal:center;mso-position-horizontal-relative:margin;mso-wrap-style:none;z-index:251661312;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O3qrfSAAAABAEAAA8AAAAAAAAAAQAgAAAAIgAAAGRy&#10;cy9kb3ducmV2LnhtbFBLAQIUABQAAAAIAIdO4kCbaZXgCwIAAAIEAAAOAAAAAAAAAAEAIAAAACEB&#10;AABkcnMvZTJvRG9jLnhtbFBLBQYAAAAABgAGAFkBAACeBQAAAAA=&#10;">
              <v:fill on="f" focussize="0,0"/>
              <v:stroke on="f"/>
              <v:imagedata o:title=""/>
              <o:lock v:ext="edit" aspectratio="f"/>
              <v:textbox inset="0mm,0mm,0mm,0mm" style="mso-fit-shape-to-text:t;">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915035" cy="147955"/>
              <wp:effectExtent l="0" t="0" r="0" b="0"/>
              <wp:wrapNone/>
              <wp:docPr id="5"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a:effectLst/>
                    </wps:spPr>
                    <wps:txbx>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文本框 16" o:spid="_x0000_s1026" o:spt="202" type="#_x0000_t202" style="position:absolute;left:0pt;margin-top:0pt;height:11.65pt;width:72.05pt;mso-position-horizontal:center;mso-position-horizontal-relative:margin;mso-wrap-style:none;z-index:251658240;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7eqt9IAAAAEAQAADwAAAAAAAAABACAAAAAi&#10;AAAAZHJzL2Rvd25yZXYueG1sUEsBAhQAFAAAAAgAh07iQF4mEq4QAgAAEQQAAA4AAAAAAAAAAQAg&#10;AAAAIQEAAGRycy9lMm9Eb2MueG1sUEsFBgAAAAAGAAYAWQEAAKMFAAAAAA==&#10;">
              <v:fill on="f" focussize="0,0"/>
              <v:stroke on="f"/>
              <v:imagedata o:title=""/>
              <o:lock v:ext="edit" aspectratio="f"/>
              <v:textbox inset="0mm,0mm,0mm,0mm" style="mso-fit-shape-to-text:t;">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972185" cy="147955"/>
              <wp:effectExtent l="0" t="0" r="0" b="0"/>
              <wp:wrapNone/>
              <wp:docPr id="2"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ffectLst/>
                    </wps:spPr>
                    <wps:txbx>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文本框 15" o:spid="_x0000_s1026" o:spt="202" type="#_x0000_t202" style="position:absolute;left:0pt;margin-top:0pt;height:11.65pt;width:76.55pt;mso-position-horizontal:center;mso-position-horizontal-relative:margin;mso-wrap-style:none;z-index:251656192;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SdpNDSAAAABAEAAA8AAAAAAAAAAQAgAAAA&#10;IgAAAGRycy9kb3ducmV2LnhtbFBLAQIUABQAAAAIAIdO4kAOfigyEQIAABEEAAAOAAAAAAAAAAEA&#10;IAAAACEBAABkcnMvZTJvRG9jLnhtbFBLBQYAAAAABgAGAFkBAACkBQAAAAA=&#10;">
              <v:fill on="f" focussize="0,0"/>
              <v:stroke on="f"/>
              <v:imagedata o:title=""/>
              <o:lock v:ext="edit" aspectratio="f"/>
              <v:textbox inset="0mm,0mm,0mm,0mm" style="mso-fit-shape-to-text:t;">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762"/>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6350">
                        <a:noFill/>
                      </a:ln>
                      <a:effectLst/>
                    </wps:spPr>
                    <wps:txbx>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D3k/9SOAIAAGMEAAAOAAAAAAAAAAEAIAAAACEBAABkcnMvZTJvRG9j&#10;LnhtbFBLBQYAAAAABgAGAFkBAADLBQAAAAA=&#10;">
              <v:fill on="f" focussize="0,0"/>
              <v:stroke on="f" weight="0.5pt"/>
              <v:imagedata o:title=""/>
              <o:lock v:ext="edit" aspectratio="f"/>
              <v:textbox inset="0mm,0mm,0mm,0mm" style="mso-fit-shape-to-text:t;">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972185" cy="147955"/>
              <wp:effectExtent l="0" t="0" r="0" b="0"/>
              <wp:wrapNone/>
              <wp:docPr id="3"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ffectLst/>
                    </wps:spPr>
                    <wps:txbx>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1.65pt;width:76.55pt;mso-position-horizontal:center;mso-position-horizontal-relative:margin;mso-wrap-style:none;z-index:251657216;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J2k0NIAAAAEAQAADwAAAAAAAAABACAAAAAi&#10;AAAAZHJzL2Rvd25yZXYueG1sUEsBAhQAFAAAAAgAh07iQF83Gi8QAgAAEQQAAA4AAAAAAAAAAQAg&#10;AAAAIQEAAGRycy9lMm9Eb2MueG1sUEsFBgAAAAAGAAYAWQEAAKMFAAAAAA==&#10;">
              <v:fill on="f" focussize="0,0"/>
              <v:stroke on="f"/>
              <v:imagedata o:title=""/>
              <o:lock v:ext="edit" aspectratio="f"/>
              <v:textbox inset="0mm,0mm,0mm,0mm" style="mso-fit-shape-to-text:t;">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0"/>
        <w:tab w:val="clear" w:pos="4153"/>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0"/>
        <w:tab w:val="clear" w:pos="4153"/>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13CA7E"/>
    <w:multiLevelType w:val="singleLevel"/>
    <w:tmpl w:val="F813CA7E"/>
    <w:lvl w:ilvl="0" w:tentative="0">
      <w:start w:val="6"/>
      <w:numFmt w:val="chineseCounting"/>
      <w:suff w:val="nothing"/>
      <w:lvlText w:val="%1、"/>
      <w:lvlJc w:val="left"/>
      <w:rPr>
        <w:rFonts w:hint="eastAsia"/>
      </w:rPr>
    </w:lvl>
  </w:abstractNum>
  <w:abstractNum w:abstractNumId="1">
    <w:nsid w:val="F88BEE55"/>
    <w:multiLevelType w:val="singleLevel"/>
    <w:tmpl w:val="F88BEE55"/>
    <w:lvl w:ilvl="0" w:tentative="0">
      <w:start w:val="3"/>
      <w:numFmt w:val="decimal"/>
      <w:suff w:val="nothing"/>
      <w:lvlText w:val="（%1）"/>
      <w:lvlJc w:val="left"/>
    </w:lvl>
  </w:abstractNum>
  <w:abstractNum w:abstractNumId="2">
    <w:nsid w:val="00000004"/>
    <w:multiLevelType w:val="singleLevel"/>
    <w:tmpl w:val="00000004"/>
    <w:lvl w:ilvl="0" w:tentative="0">
      <w:start w:val="1"/>
      <w:numFmt w:val="decimal"/>
      <w:suff w:val="nothing"/>
      <w:lvlText w:val="（%1）"/>
      <w:lvlJc w:val="left"/>
    </w:lvl>
  </w:abstractNum>
  <w:abstractNum w:abstractNumId="3">
    <w:nsid w:val="00000019"/>
    <w:multiLevelType w:val="multilevel"/>
    <w:tmpl w:val="00000019"/>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6CB5CB7"/>
    <w:multiLevelType w:val="singleLevel"/>
    <w:tmpl w:val="06CB5CB7"/>
    <w:lvl w:ilvl="0" w:tentative="0">
      <w:start w:val="2"/>
      <w:numFmt w:val="chineseCounting"/>
      <w:suff w:val="nothing"/>
      <w:lvlText w:val="%1、"/>
      <w:lvlJc w:val="left"/>
      <w:rPr>
        <w:rFonts w:hint="eastAsia"/>
      </w:rPr>
    </w:lvl>
  </w:abstractNum>
  <w:abstractNum w:abstractNumId="5">
    <w:nsid w:val="20D07223"/>
    <w:multiLevelType w:val="multilevel"/>
    <w:tmpl w:val="20D07223"/>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22B364E5"/>
    <w:multiLevelType w:val="multilevel"/>
    <w:tmpl w:val="22B364E5"/>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4C874F9F"/>
    <w:multiLevelType w:val="singleLevel"/>
    <w:tmpl w:val="4C874F9F"/>
    <w:lvl w:ilvl="0" w:tentative="0">
      <w:start w:val="6"/>
      <w:numFmt w:val="decimal"/>
      <w:suff w:val="nothing"/>
      <w:lvlText w:val="%1、"/>
      <w:lvlJc w:val="left"/>
    </w:lvl>
  </w:abstractNum>
  <w:abstractNum w:abstractNumId="8">
    <w:nsid w:val="6CDAFE93"/>
    <w:multiLevelType w:val="singleLevel"/>
    <w:tmpl w:val="6CDAFE93"/>
    <w:lvl w:ilvl="0" w:tentative="0">
      <w:start w:val="3"/>
      <w:numFmt w:val="chineseCounting"/>
      <w:suff w:val="space"/>
      <w:lvlText w:val="第%1章"/>
      <w:lvlJc w:val="left"/>
      <w:rPr>
        <w:rFonts w:hint="eastAsia"/>
      </w:rPr>
    </w:lvl>
  </w:abstractNum>
  <w:abstractNum w:abstractNumId="9">
    <w:nsid w:val="7E70560E"/>
    <w:multiLevelType w:val="multilevel"/>
    <w:tmpl w:val="7E70560E"/>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9"/>
  </w:num>
  <w:num w:numId="4">
    <w:abstractNumId w:val="4"/>
  </w:num>
  <w:num w:numId="5">
    <w:abstractNumId w:val="8"/>
  </w:num>
  <w:num w:numId="6">
    <w:abstractNumId w:val="1"/>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701"/>
    <w:rsid w:val="00000C3C"/>
    <w:rsid w:val="000036E8"/>
    <w:rsid w:val="000070DE"/>
    <w:rsid w:val="00021291"/>
    <w:rsid w:val="00021DE5"/>
    <w:rsid w:val="00026CEB"/>
    <w:rsid w:val="00027BEE"/>
    <w:rsid w:val="00032A6B"/>
    <w:rsid w:val="00033F28"/>
    <w:rsid w:val="00046FF5"/>
    <w:rsid w:val="00047B68"/>
    <w:rsid w:val="00050C18"/>
    <w:rsid w:val="000651B8"/>
    <w:rsid w:val="00065BA7"/>
    <w:rsid w:val="00067D47"/>
    <w:rsid w:val="00074016"/>
    <w:rsid w:val="00077103"/>
    <w:rsid w:val="000A0540"/>
    <w:rsid w:val="000A5ED0"/>
    <w:rsid w:val="000A79E3"/>
    <w:rsid w:val="000B703D"/>
    <w:rsid w:val="000C0BCF"/>
    <w:rsid w:val="000D274B"/>
    <w:rsid w:val="000D27AE"/>
    <w:rsid w:val="000E4557"/>
    <w:rsid w:val="000E627F"/>
    <w:rsid w:val="000F5CF1"/>
    <w:rsid w:val="00101BF6"/>
    <w:rsid w:val="001107D2"/>
    <w:rsid w:val="00113905"/>
    <w:rsid w:val="00120157"/>
    <w:rsid w:val="00122BFA"/>
    <w:rsid w:val="00124690"/>
    <w:rsid w:val="001267D6"/>
    <w:rsid w:val="00133E0D"/>
    <w:rsid w:val="00134D1C"/>
    <w:rsid w:val="00136DC6"/>
    <w:rsid w:val="00194A95"/>
    <w:rsid w:val="001A21CA"/>
    <w:rsid w:val="001A5152"/>
    <w:rsid w:val="001A63E8"/>
    <w:rsid w:val="001B3E0D"/>
    <w:rsid w:val="001C269E"/>
    <w:rsid w:val="001C4D8B"/>
    <w:rsid w:val="001D3741"/>
    <w:rsid w:val="001D67DB"/>
    <w:rsid w:val="001E2F69"/>
    <w:rsid w:val="001E37AB"/>
    <w:rsid w:val="001F56E5"/>
    <w:rsid w:val="00230C06"/>
    <w:rsid w:val="002313B3"/>
    <w:rsid w:val="00233BCD"/>
    <w:rsid w:val="00241590"/>
    <w:rsid w:val="0024188F"/>
    <w:rsid w:val="00251F1D"/>
    <w:rsid w:val="00261D0D"/>
    <w:rsid w:val="0027266C"/>
    <w:rsid w:val="0029008C"/>
    <w:rsid w:val="00297C95"/>
    <w:rsid w:val="002A28C2"/>
    <w:rsid w:val="002B53C0"/>
    <w:rsid w:val="002B6A06"/>
    <w:rsid w:val="002C728F"/>
    <w:rsid w:val="002C73BB"/>
    <w:rsid w:val="002D1EB8"/>
    <w:rsid w:val="002E0DF7"/>
    <w:rsid w:val="002E2CE6"/>
    <w:rsid w:val="002E6D94"/>
    <w:rsid w:val="00302974"/>
    <w:rsid w:val="00314D84"/>
    <w:rsid w:val="00316EA1"/>
    <w:rsid w:val="00320C9C"/>
    <w:rsid w:val="00322062"/>
    <w:rsid w:val="003233C3"/>
    <w:rsid w:val="00325718"/>
    <w:rsid w:val="00327102"/>
    <w:rsid w:val="003275DA"/>
    <w:rsid w:val="003336FF"/>
    <w:rsid w:val="003344C7"/>
    <w:rsid w:val="00335F41"/>
    <w:rsid w:val="0034079F"/>
    <w:rsid w:val="00344E07"/>
    <w:rsid w:val="00347F7C"/>
    <w:rsid w:val="003567CB"/>
    <w:rsid w:val="00361D59"/>
    <w:rsid w:val="00361F1F"/>
    <w:rsid w:val="00364C40"/>
    <w:rsid w:val="00366224"/>
    <w:rsid w:val="00366A35"/>
    <w:rsid w:val="003716BF"/>
    <w:rsid w:val="003744A9"/>
    <w:rsid w:val="00375191"/>
    <w:rsid w:val="00384AE7"/>
    <w:rsid w:val="00391CE1"/>
    <w:rsid w:val="003A3DE0"/>
    <w:rsid w:val="003A49AA"/>
    <w:rsid w:val="003A5EC2"/>
    <w:rsid w:val="003B09AE"/>
    <w:rsid w:val="003B7834"/>
    <w:rsid w:val="003C39B2"/>
    <w:rsid w:val="003C5183"/>
    <w:rsid w:val="003D011C"/>
    <w:rsid w:val="003D18B1"/>
    <w:rsid w:val="003E3B71"/>
    <w:rsid w:val="003E5FD7"/>
    <w:rsid w:val="0040488F"/>
    <w:rsid w:val="00406697"/>
    <w:rsid w:val="00414467"/>
    <w:rsid w:val="004176EF"/>
    <w:rsid w:val="00434303"/>
    <w:rsid w:val="00435B50"/>
    <w:rsid w:val="00442294"/>
    <w:rsid w:val="004436A0"/>
    <w:rsid w:val="00445271"/>
    <w:rsid w:val="00461FC6"/>
    <w:rsid w:val="00462A5A"/>
    <w:rsid w:val="004A1032"/>
    <w:rsid w:val="004B4656"/>
    <w:rsid w:val="004B6DC5"/>
    <w:rsid w:val="004C01F2"/>
    <w:rsid w:val="004C1B59"/>
    <w:rsid w:val="004D32EE"/>
    <w:rsid w:val="004E04D8"/>
    <w:rsid w:val="004E1AF4"/>
    <w:rsid w:val="0050039A"/>
    <w:rsid w:val="00500C91"/>
    <w:rsid w:val="00501FEF"/>
    <w:rsid w:val="005211FE"/>
    <w:rsid w:val="00525922"/>
    <w:rsid w:val="00525CBD"/>
    <w:rsid w:val="00556BE0"/>
    <w:rsid w:val="005615F8"/>
    <w:rsid w:val="00561C5F"/>
    <w:rsid w:val="00564AE3"/>
    <w:rsid w:val="0056577D"/>
    <w:rsid w:val="00565A07"/>
    <w:rsid w:val="005777B6"/>
    <w:rsid w:val="0058785C"/>
    <w:rsid w:val="00590938"/>
    <w:rsid w:val="00591790"/>
    <w:rsid w:val="005A236D"/>
    <w:rsid w:val="005A3B4B"/>
    <w:rsid w:val="005A7E3A"/>
    <w:rsid w:val="005B5D64"/>
    <w:rsid w:val="005C30F3"/>
    <w:rsid w:val="005C7496"/>
    <w:rsid w:val="005F66B6"/>
    <w:rsid w:val="00601108"/>
    <w:rsid w:val="0060276B"/>
    <w:rsid w:val="00604955"/>
    <w:rsid w:val="0060668F"/>
    <w:rsid w:val="0062203E"/>
    <w:rsid w:val="0062333B"/>
    <w:rsid w:val="00626440"/>
    <w:rsid w:val="00640D5C"/>
    <w:rsid w:val="00650B99"/>
    <w:rsid w:val="0065367D"/>
    <w:rsid w:val="006548EA"/>
    <w:rsid w:val="00664391"/>
    <w:rsid w:val="00667392"/>
    <w:rsid w:val="006722B8"/>
    <w:rsid w:val="0068010D"/>
    <w:rsid w:val="0068064A"/>
    <w:rsid w:val="00680D5B"/>
    <w:rsid w:val="00687063"/>
    <w:rsid w:val="00691980"/>
    <w:rsid w:val="00694F5B"/>
    <w:rsid w:val="006B0B5C"/>
    <w:rsid w:val="006B397B"/>
    <w:rsid w:val="006C0D31"/>
    <w:rsid w:val="006D3C47"/>
    <w:rsid w:val="006F2C24"/>
    <w:rsid w:val="006F2F0D"/>
    <w:rsid w:val="00701638"/>
    <w:rsid w:val="00701CCF"/>
    <w:rsid w:val="0071517E"/>
    <w:rsid w:val="007208E5"/>
    <w:rsid w:val="00721AE4"/>
    <w:rsid w:val="00726EDE"/>
    <w:rsid w:val="0073257D"/>
    <w:rsid w:val="00737B2D"/>
    <w:rsid w:val="00744A75"/>
    <w:rsid w:val="0075142B"/>
    <w:rsid w:val="0075606C"/>
    <w:rsid w:val="00761C7B"/>
    <w:rsid w:val="007626F4"/>
    <w:rsid w:val="007634CC"/>
    <w:rsid w:val="00771AE0"/>
    <w:rsid w:val="00793972"/>
    <w:rsid w:val="007978F6"/>
    <w:rsid w:val="007A1BD4"/>
    <w:rsid w:val="007B2062"/>
    <w:rsid w:val="007B3557"/>
    <w:rsid w:val="007C156B"/>
    <w:rsid w:val="007C4F15"/>
    <w:rsid w:val="007D73F9"/>
    <w:rsid w:val="007E4477"/>
    <w:rsid w:val="007E6B9C"/>
    <w:rsid w:val="007F351B"/>
    <w:rsid w:val="007F3EC3"/>
    <w:rsid w:val="007F42AD"/>
    <w:rsid w:val="007F5B85"/>
    <w:rsid w:val="00800CA3"/>
    <w:rsid w:val="00805E92"/>
    <w:rsid w:val="00810962"/>
    <w:rsid w:val="00815D7F"/>
    <w:rsid w:val="00821FB1"/>
    <w:rsid w:val="00822769"/>
    <w:rsid w:val="008274DA"/>
    <w:rsid w:val="00834FD1"/>
    <w:rsid w:val="0083722B"/>
    <w:rsid w:val="00846340"/>
    <w:rsid w:val="00846F68"/>
    <w:rsid w:val="008472B3"/>
    <w:rsid w:val="0085062B"/>
    <w:rsid w:val="00865550"/>
    <w:rsid w:val="00865E1F"/>
    <w:rsid w:val="00866448"/>
    <w:rsid w:val="008875F9"/>
    <w:rsid w:val="0089078F"/>
    <w:rsid w:val="00891B60"/>
    <w:rsid w:val="0089559C"/>
    <w:rsid w:val="008A05E3"/>
    <w:rsid w:val="008A4C97"/>
    <w:rsid w:val="008B72B6"/>
    <w:rsid w:val="008B74D9"/>
    <w:rsid w:val="008B7F85"/>
    <w:rsid w:val="008D041F"/>
    <w:rsid w:val="00900F4F"/>
    <w:rsid w:val="00901779"/>
    <w:rsid w:val="00910650"/>
    <w:rsid w:val="00914E50"/>
    <w:rsid w:val="00943E4B"/>
    <w:rsid w:val="00947F2C"/>
    <w:rsid w:val="00953C49"/>
    <w:rsid w:val="00954F36"/>
    <w:rsid w:val="0095527F"/>
    <w:rsid w:val="0096070C"/>
    <w:rsid w:val="00960A75"/>
    <w:rsid w:val="00964BDB"/>
    <w:rsid w:val="00966078"/>
    <w:rsid w:val="00972CB8"/>
    <w:rsid w:val="00980A94"/>
    <w:rsid w:val="00983DE7"/>
    <w:rsid w:val="009A20E0"/>
    <w:rsid w:val="009A5695"/>
    <w:rsid w:val="009A5E22"/>
    <w:rsid w:val="009B36BC"/>
    <w:rsid w:val="009B6E1A"/>
    <w:rsid w:val="009B7D07"/>
    <w:rsid w:val="009D5F14"/>
    <w:rsid w:val="009D60A7"/>
    <w:rsid w:val="009E17BB"/>
    <w:rsid w:val="009E3AA0"/>
    <w:rsid w:val="009F46EF"/>
    <w:rsid w:val="00A04500"/>
    <w:rsid w:val="00A269A3"/>
    <w:rsid w:val="00A26ADF"/>
    <w:rsid w:val="00A27C94"/>
    <w:rsid w:val="00A27E7D"/>
    <w:rsid w:val="00A312B6"/>
    <w:rsid w:val="00A464DD"/>
    <w:rsid w:val="00A724AD"/>
    <w:rsid w:val="00A9220C"/>
    <w:rsid w:val="00AA1147"/>
    <w:rsid w:val="00AA653E"/>
    <w:rsid w:val="00AA6791"/>
    <w:rsid w:val="00AB0B9C"/>
    <w:rsid w:val="00AD1B14"/>
    <w:rsid w:val="00AD285C"/>
    <w:rsid w:val="00AD41CF"/>
    <w:rsid w:val="00AD43E4"/>
    <w:rsid w:val="00AD6493"/>
    <w:rsid w:val="00AD7711"/>
    <w:rsid w:val="00AE57F1"/>
    <w:rsid w:val="00AE7C82"/>
    <w:rsid w:val="00AF06EA"/>
    <w:rsid w:val="00AF0C90"/>
    <w:rsid w:val="00B00639"/>
    <w:rsid w:val="00B00CD6"/>
    <w:rsid w:val="00B043C8"/>
    <w:rsid w:val="00B0441F"/>
    <w:rsid w:val="00B1434A"/>
    <w:rsid w:val="00B208E5"/>
    <w:rsid w:val="00B25902"/>
    <w:rsid w:val="00B403F4"/>
    <w:rsid w:val="00B40EFB"/>
    <w:rsid w:val="00B4299D"/>
    <w:rsid w:val="00B5192B"/>
    <w:rsid w:val="00B56427"/>
    <w:rsid w:val="00B61CD0"/>
    <w:rsid w:val="00B85B26"/>
    <w:rsid w:val="00B90BAB"/>
    <w:rsid w:val="00B91C64"/>
    <w:rsid w:val="00BC5701"/>
    <w:rsid w:val="00BC58C6"/>
    <w:rsid w:val="00BD05C0"/>
    <w:rsid w:val="00BD314B"/>
    <w:rsid w:val="00BD59C9"/>
    <w:rsid w:val="00BE00DE"/>
    <w:rsid w:val="00BF52FD"/>
    <w:rsid w:val="00C00D3B"/>
    <w:rsid w:val="00C00DDF"/>
    <w:rsid w:val="00C04B7F"/>
    <w:rsid w:val="00C04F7C"/>
    <w:rsid w:val="00C207FC"/>
    <w:rsid w:val="00C2546D"/>
    <w:rsid w:val="00C34965"/>
    <w:rsid w:val="00C544E7"/>
    <w:rsid w:val="00C56E79"/>
    <w:rsid w:val="00C618AD"/>
    <w:rsid w:val="00C63541"/>
    <w:rsid w:val="00C80DF8"/>
    <w:rsid w:val="00C8150A"/>
    <w:rsid w:val="00C857C8"/>
    <w:rsid w:val="00C87C31"/>
    <w:rsid w:val="00C87C33"/>
    <w:rsid w:val="00C9329E"/>
    <w:rsid w:val="00C94155"/>
    <w:rsid w:val="00C94846"/>
    <w:rsid w:val="00CA1478"/>
    <w:rsid w:val="00CA2EBE"/>
    <w:rsid w:val="00CA5368"/>
    <w:rsid w:val="00CA66D4"/>
    <w:rsid w:val="00CA75EB"/>
    <w:rsid w:val="00CB63BE"/>
    <w:rsid w:val="00CB6D71"/>
    <w:rsid w:val="00CC0C3D"/>
    <w:rsid w:val="00CD6C7B"/>
    <w:rsid w:val="00CE2E3F"/>
    <w:rsid w:val="00D06A1B"/>
    <w:rsid w:val="00D14558"/>
    <w:rsid w:val="00D20790"/>
    <w:rsid w:val="00D20CE0"/>
    <w:rsid w:val="00D454BD"/>
    <w:rsid w:val="00D50269"/>
    <w:rsid w:val="00D54C2D"/>
    <w:rsid w:val="00D60FDB"/>
    <w:rsid w:val="00D64109"/>
    <w:rsid w:val="00D77A87"/>
    <w:rsid w:val="00D80330"/>
    <w:rsid w:val="00D97636"/>
    <w:rsid w:val="00DB504C"/>
    <w:rsid w:val="00DC06A4"/>
    <w:rsid w:val="00DC40B2"/>
    <w:rsid w:val="00DD75E3"/>
    <w:rsid w:val="00DE0A43"/>
    <w:rsid w:val="00DE426C"/>
    <w:rsid w:val="00DE47B8"/>
    <w:rsid w:val="00DE5EAC"/>
    <w:rsid w:val="00DF1A47"/>
    <w:rsid w:val="00DF3425"/>
    <w:rsid w:val="00E04C22"/>
    <w:rsid w:val="00E12136"/>
    <w:rsid w:val="00E148A9"/>
    <w:rsid w:val="00E14E7C"/>
    <w:rsid w:val="00E14F28"/>
    <w:rsid w:val="00E211CA"/>
    <w:rsid w:val="00E25F13"/>
    <w:rsid w:val="00E33F32"/>
    <w:rsid w:val="00E43F45"/>
    <w:rsid w:val="00E53DF2"/>
    <w:rsid w:val="00E7205A"/>
    <w:rsid w:val="00E83408"/>
    <w:rsid w:val="00E85FC4"/>
    <w:rsid w:val="00E8738C"/>
    <w:rsid w:val="00E950F2"/>
    <w:rsid w:val="00EA58E1"/>
    <w:rsid w:val="00EB65DB"/>
    <w:rsid w:val="00EB6F3B"/>
    <w:rsid w:val="00EC008F"/>
    <w:rsid w:val="00EC0096"/>
    <w:rsid w:val="00EC2599"/>
    <w:rsid w:val="00EC2F4C"/>
    <w:rsid w:val="00ED5495"/>
    <w:rsid w:val="00EF0EF1"/>
    <w:rsid w:val="00EF779A"/>
    <w:rsid w:val="00F27B58"/>
    <w:rsid w:val="00F352DD"/>
    <w:rsid w:val="00F36DF1"/>
    <w:rsid w:val="00F50C9A"/>
    <w:rsid w:val="00F57703"/>
    <w:rsid w:val="00F60053"/>
    <w:rsid w:val="00F654F4"/>
    <w:rsid w:val="00F73300"/>
    <w:rsid w:val="00F749CF"/>
    <w:rsid w:val="00F74EF6"/>
    <w:rsid w:val="00F82159"/>
    <w:rsid w:val="00F87238"/>
    <w:rsid w:val="00F87C26"/>
    <w:rsid w:val="00F9794F"/>
    <w:rsid w:val="00FA39C4"/>
    <w:rsid w:val="00FA3BBF"/>
    <w:rsid w:val="00FA6113"/>
    <w:rsid w:val="00FB29E0"/>
    <w:rsid w:val="00FB2C96"/>
    <w:rsid w:val="00FB6D59"/>
    <w:rsid w:val="00FD6E6A"/>
    <w:rsid w:val="00FE1D03"/>
    <w:rsid w:val="00FE595C"/>
    <w:rsid w:val="00FE67FC"/>
    <w:rsid w:val="00FF6231"/>
    <w:rsid w:val="010D5A83"/>
    <w:rsid w:val="0136369B"/>
    <w:rsid w:val="0179135C"/>
    <w:rsid w:val="018E666A"/>
    <w:rsid w:val="01FA1D5E"/>
    <w:rsid w:val="023E6C16"/>
    <w:rsid w:val="02420C46"/>
    <w:rsid w:val="02601E99"/>
    <w:rsid w:val="0264306B"/>
    <w:rsid w:val="02722AB4"/>
    <w:rsid w:val="02E964D5"/>
    <w:rsid w:val="03227E39"/>
    <w:rsid w:val="03477A0F"/>
    <w:rsid w:val="03735BD2"/>
    <w:rsid w:val="03B37500"/>
    <w:rsid w:val="03DE749C"/>
    <w:rsid w:val="04325E53"/>
    <w:rsid w:val="048165C9"/>
    <w:rsid w:val="0582245B"/>
    <w:rsid w:val="05AE05D8"/>
    <w:rsid w:val="05DF4BE8"/>
    <w:rsid w:val="06395BD5"/>
    <w:rsid w:val="06A57525"/>
    <w:rsid w:val="070458DF"/>
    <w:rsid w:val="071C5FE6"/>
    <w:rsid w:val="0777347B"/>
    <w:rsid w:val="07860757"/>
    <w:rsid w:val="07BB1AA5"/>
    <w:rsid w:val="07C57883"/>
    <w:rsid w:val="083735B5"/>
    <w:rsid w:val="08962AB0"/>
    <w:rsid w:val="08C22027"/>
    <w:rsid w:val="08EA5F0B"/>
    <w:rsid w:val="09A978DD"/>
    <w:rsid w:val="09B05EDC"/>
    <w:rsid w:val="09CF6569"/>
    <w:rsid w:val="09E8708D"/>
    <w:rsid w:val="09F02AE8"/>
    <w:rsid w:val="0A216556"/>
    <w:rsid w:val="0B2A595D"/>
    <w:rsid w:val="0B9400BC"/>
    <w:rsid w:val="0B973958"/>
    <w:rsid w:val="0C180623"/>
    <w:rsid w:val="0C376692"/>
    <w:rsid w:val="0C6D6E09"/>
    <w:rsid w:val="0D00541E"/>
    <w:rsid w:val="0D486BF9"/>
    <w:rsid w:val="0D5A7AAA"/>
    <w:rsid w:val="0D641088"/>
    <w:rsid w:val="0D8E16F6"/>
    <w:rsid w:val="0D9C6B66"/>
    <w:rsid w:val="0DE1715E"/>
    <w:rsid w:val="0E07176A"/>
    <w:rsid w:val="0E763C91"/>
    <w:rsid w:val="0E8C4215"/>
    <w:rsid w:val="0EB43495"/>
    <w:rsid w:val="0EE044C6"/>
    <w:rsid w:val="0EE14BEB"/>
    <w:rsid w:val="0F086618"/>
    <w:rsid w:val="0F5E342B"/>
    <w:rsid w:val="0F80453A"/>
    <w:rsid w:val="100647EB"/>
    <w:rsid w:val="10377E1F"/>
    <w:rsid w:val="10987C07"/>
    <w:rsid w:val="109C3866"/>
    <w:rsid w:val="10C65ECC"/>
    <w:rsid w:val="11261BEC"/>
    <w:rsid w:val="11A92E8D"/>
    <w:rsid w:val="123060B6"/>
    <w:rsid w:val="126A6B04"/>
    <w:rsid w:val="12747287"/>
    <w:rsid w:val="133543FB"/>
    <w:rsid w:val="135916A7"/>
    <w:rsid w:val="13B224A1"/>
    <w:rsid w:val="13CB0294"/>
    <w:rsid w:val="13E608DE"/>
    <w:rsid w:val="14017C53"/>
    <w:rsid w:val="14307265"/>
    <w:rsid w:val="1455665E"/>
    <w:rsid w:val="14E24DF9"/>
    <w:rsid w:val="15032531"/>
    <w:rsid w:val="152E7578"/>
    <w:rsid w:val="155B529C"/>
    <w:rsid w:val="15A33173"/>
    <w:rsid w:val="15D11041"/>
    <w:rsid w:val="168243F6"/>
    <w:rsid w:val="16853CBC"/>
    <w:rsid w:val="16BB68B6"/>
    <w:rsid w:val="16DC1F4E"/>
    <w:rsid w:val="16F618C8"/>
    <w:rsid w:val="17280AD5"/>
    <w:rsid w:val="17294A8D"/>
    <w:rsid w:val="175D63CE"/>
    <w:rsid w:val="18B02C42"/>
    <w:rsid w:val="18D17290"/>
    <w:rsid w:val="190B0C14"/>
    <w:rsid w:val="19400401"/>
    <w:rsid w:val="1955632C"/>
    <w:rsid w:val="19ED19A2"/>
    <w:rsid w:val="1A254692"/>
    <w:rsid w:val="1A590CF3"/>
    <w:rsid w:val="1A7A50E4"/>
    <w:rsid w:val="1A815442"/>
    <w:rsid w:val="1B224F13"/>
    <w:rsid w:val="1B2C03C1"/>
    <w:rsid w:val="1B9A4F1D"/>
    <w:rsid w:val="1BF62AD0"/>
    <w:rsid w:val="1BFE4402"/>
    <w:rsid w:val="1C4223A7"/>
    <w:rsid w:val="1C741C39"/>
    <w:rsid w:val="1CCC4A23"/>
    <w:rsid w:val="1CE840D7"/>
    <w:rsid w:val="1CE90C4C"/>
    <w:rsid w:val="1CF677D9"/>
    <w:rsid w:val="1D003E7A"/>
    <w:rsid w:val="1D1E5D27"/>
    <w:rsid w:val="1DAE0D4C"/>
    <w:rsid w:val="1DF46269"/>
    <w:rsid w:val="1E1B09FE"/>
    <w:rsid w:val="1E2360D5"/>
    <w:rsid w:val="1E421866"/>
    <w:rsid w:val="1E4F1C24"/>
    <w:rsid w:val="1EC75428"/>
    <w:rsid w:val="1EE61CD8"/>
    <w:rsid w:val="1F851CDC"/>
    <w:rsid w:val="200269D9"/>
    <w:rsid w:val="200541A4"/>
    <w:rsid w:val="20172629"/>
    <w:rsid w:val="20185421"/>
    <w:rsid w:val="20652999"/>
    <w:rsid w:val="20A84317"/>
    <w:rsid w:val="20B17750"/>
    <w:rsid w:val="20FC79F3"/>
    <w:rsid w:val="212D2077"/>
    <w:rsid w:val="21326F9C"/>
    <w:rsid w:val="2144226A"/>
    <w:rsid w:val="21766EFD"/>
    <w:rsid w:val="218A45BE"/>
    <w:rsid w:val="21F24DC4"/>
    <w:rsid w:val="21F26DF3"/>
    <w:rsid w:val="21F81FEB"/>
    <w:rsid w:val="220E32EA"/>
    <w:rsid w:val="23534012"/>
    <w:rsid w:val="236C3029"/>
    <w:rsid w:val="23A46E78"/>
    <w:rsid w:val="23BA01DD"/>
    <w:rsid w:val="23C2650D"/>
    <w:rsid w:val="23FA70CD"/>
    <w:rsid w:val="24CF51FC"/>
    <w:rsid w:val="25373D81"/>
    <w:rsid w:val="25E26235"/>
    <w:rsid w:val="25FC14F1"/>
    <w:rsid w:val="263D3441"/>
    <w:rsid w:val="26A87928"/>
    <w:rsid w:val="26AB59F9"/>
    <w:rsid w:val="26DC30F2"/>
    <w:rsid w:val="279A1187"/>
    <w:rsid w:val="27A37383"/>
    <w:rsid w:val="27AE61C5"/>
    <w:rsid w:val="27BD0C06"/>
    <w:rsid w:val="27E1439F"/>
    <w:rsid w:val="28963CD5"/>
    <w:rsid w:val="28A770B8"/>
    <w:rsid w:val="28B85568"/>
    <w:rsid w:val="29046A45"/>
    <w:rsid w:val="29395A90"/>
    <w:rsid w:val="294F1DB7"/>
    <w:rsid w:val="29657CAB"/>
    <w:rsid w:val="296D33B6"/>
    <w:rsid w:val="29FF2161"/>
    <w:rsid w:val="2A3267A1"/>
    <w:rsid w:val="2A360097"/>
    <w:rsid w:val="2A6C7B16"/>
    <w:rsid w:val="2A6E0A55"/>
    <w:rsid w:val="2B0853D3"/>
    <w:rsid w:val="2B1E535F"/>
    <w:rsid w:val="2B8E77B5"/>
    <w:rsid w:val="2BD6798D"/>
    <w:rsid w:val="2C135E54"/>
    <w:rsid w:val="2CA51692"/>
    <w:rsid w:val="2D076AD8"/>
    <w:rsid w:val="2D2069E2"/>
    <w:rsid w:val="2D336859"/>
    <w:rsid w:val="2DD15C29"/>
    <w:rsid w:val="2E22243F"/>
    <w:rsid w:val="2E3E3AC1"/>
    <w:rsid w:val="2F3B51F1"/>
    <w:rsid w:val="2F3C29AD"/>
    <w:rsid w:val="2FFA3C38"/>
    <w:rsid w:val="2FFC07FD"/>
    <w:rsid w:val="30675070"/>
    <w:rsid w:val="315B55A3"/>
    <w:rsid w:val="317862D3"/>
    <w:rsid w:val="31A84132"/>
    <w:rsid w:val="31DA487F"/>
    <w:rsid w:val="320C778B"/>
    <w:rsid w:val="320F7C41"/>
    <w:rsid w:val="321651E1"/>
    <w:rsid w:val="328A3677"/>
    <w:rsid w:val="32B25D7E"/>
    <w:rsid w:val="32D56063"/>
    <w:rsid w:val="32E97E86"/>
    <w:rsid w:val="334850B1"/>
    <w:rsid w:val="335E5791"/>
    <w:rsid w:val="338E486A"/>
    <w:rsid w:val="350E3E08"/>
    <w:rsid w:val="3580447D"/>
    <w:rsid w:val="360C729B"/>
    <w:rsid w:val="36357AF1"/>
    <w:rsid w:val="36395094"/>
    <w:rsid w:val="365D458F"/>
    <w:rsid w:val="36A5317B"/>
    <w:rsid w:val="37537A10"/>
    <w:rsid w:val="37A22DC6"/>
    <w:rsid w:val="37D90C20"/>
    <w:rsid w:val="383F3871"/>
    <w:rsid w:val="387770DC"/>
    <w:rsid w:val="38993D91"/>
    <w:rsid w:val="38D04D21"/>
    <w:rsid w:val="39355791"/>
    <w:rsid w:val="396E3C1D"/>
    <w:rsid w:val="39AA49EC"/>
    <w:rsid w:val="3A1A135D"/>
    <w:rsid w:val="3A9D1695"/>
    <w:rsid w:val="3B472D5F"/>
    <w:rsid w:val="3B8B6CE0"/>
    <w:rsid w:val="3BF351C4"/>
    <w:rsid w:val="3C3B641D"/>
    <w:rsid w:val="3C6B0643"/>
    <w:rsid w:val="3D1D5A55"/>
    <w:rsid w:val="3D1E5027"/>
    <w:rsid w:val="3D1F24E3"/>
    <w:rsid w:val="3D4D3386"/>
    <w:rsid w:val="3DBD257B"/>
    <w:rsid w:val="3ED2620F"/>
    <w:rsid w:val="3EEC0241"/>
    <w:rsid w:val="3F1F0D14"/>
    <w:rsid w:val="3F7E5362"/>
    <w:rsid w:val="3F894245"/>
    <w:rsid w:val="3FF02485"/>
    <w:rsid w:val="4004235D"/>
    <w:rsid w:val="40596885"/>
    <w:rsid w:val="40655EB7"/>
    <w:rsid w:val="40775A44"/>
    <w:rsid w:val="408944F0"/>
    <w:rsid w:val="40AB129E"/>
    <w:rsid w:val="40C854E3"/>
    <w:rsid w:val="4151095C"/>
    <w:rsid w:val="41646048"/>
    <w:rsid w:val="41DF6C94"/>
    <w:rsid w:val="41F04489"/>
    <w:rsid w:val="42120EA4"/>
    <w:rsid w:val="428D5F08"/>
    <w:rsid w:val="43026A3E"/>
    <w:rsid w:val="430C05A6"/>
    <w:rsid w:val="431736F9"/>
    <w:rsid w:val="431E2082"/>
    <w:rsid w:val="436101CD"/>
    <w:rsid w:val="4367277B"/>
    <w:rsid w:val="43B72C3E"/>
    <w:rsid w:val="43C25628"/>
    <w:rsid w:val="43D924FC"/>
    <w:rsid w:val="44484909"/>
    <w:rsid w:val="44666900"/>
    <w:rsid w:val="446E0FA7"/>
    <w:rsid w:val="449D70B8"/>
    <w:rsid w:val="44DC35CE"/>
    <w:rsid w:val="44F72C2A"/>
    <w:rsid w:val="45154CDB"/>
    <w:rsid w:val="451B2858"/>
    <w:rsid w:val="452F4E8E"/>
    <w:rsid w:val="4593688A"/>
    <w:rsid w:val="45C01C84"/>
    <w:rsid w:val="45C16553"/>
    <w:rsid w:val="463D6C62"/>
    <w:rsid w:val="46AC3063"/>
    <w:rsid w:val="46E83EDE"/>
    <w:rsid w:val="47924D06"/>
    <w:rsid w:val="47D31C69"/>
    <w:rsid w:val="49325066"/>
    <w:rsid w:val="493D45C7"/>
    <w:rsid w:val="49D51E1D"/>
    <w:rsid w:val="49E82A03"/>
    <w:rsid w:val="4A1E62F3"/>
    <w:rsid w:val="4A3744B1"/>
    <w:rsid w:val="4A517CFF"/>
    <w:rsid w:val="4A837E7C"/>
    <w:rsid w:val="4A933DB1"/>
    <w:rsid w:val="4AC755B4"/>
    <w:rsid w:val="4AD03879"/>
    <w:rsid w:val="4AFD42B4"/>
    <w:rsid w:val="4B145868"/>
    <w:rsid w:val="4B39115B"/>
    <w:rsid w:val="4B3C46CE"/>
    <w:rsid w:val="4B8F1A97"/>
    <w:rsid w:val="4BC8592F"/>
    <w:rsid w:val="4BCD7C9B"/>
    <w:rsid w:val="4BD56DE8"/>
    <w:rsid w:val="4C1D6016"/>
    <w:rsid w:val="4C665F6B"/>
    <w:rsid w:val="4CD72E51"/>
    <w:rsid w:val="4CE909AD"/>
    <w:rsid w:val="4D2F06F9"/>
    <w:rsid w:val="4D405F2E"/>
    <w:rsid w:val="4D75134F"/>
    <w:rsid w:val="4DCE3D18"/>
    <w:rsid w:val="4EA6234B"/>
    <w:rsid w:val="4F19438F"/>
    <w:rsid w:val="4F2F7DC4"/>
    <w:rsid w:val="4F555C9C"/>
    <w:rsid w:val="4F7858FF"/>
    <w:rsid w:val="4F8328FC"/>
    <w:rsid w:val="4FB84607"/>
    <w:rsid w:val="4FCB25D3"/>
    <w:rsid w:val="50231260"/>
    <w:rsid w:val="503D3B3E"/>
    <w:rsid w:val="504C0300"/>
    <w:rsid w:val="50A4502E"/>
    <w:rsid w:val="51380BFA"/>
    <w:rsid w:val="51474EFA"/>
    <w:rsid w:val="51883139"/>
    <w:rsid w:val="518E1C0D"/>
    <w:rsid w:val="51B01A66"/>
    <w:rsid w:val="51D71E83"/>
    <w:rsid w:val="5220036D"/>
    <w:rsid w:val="52510EDC"/>
    <w:rsid w:val="526749A4"/>
    <w:rsid w:val="52765102"/>
    <w:rsid w:val="528F7A42"/>
    <w:rsid w:val="52DB4357"/>
    <w:rsid w:val="52F22192"/>
    <w:rsid w:val="530E7502"/>
    <w:rsid w:val="532C6CE5"/>
    <w:rsid w:val="53656504"/>
    <w:rsid w:val="53DD75D8"/>
    <w:rsid w:val="54F540BE"/>
    <w:rsid w:val="554E39B0"/>
    <w:rsid w:val="557516B3"/>
    <w:rsid w:val="55977130"/>
    <w:rsid w:val="55AB1198"/>
    <w:rsid w:val="560B5493"/>
    <w:rsid w:val="561C2B89"/>
    <w:rsid w:val="563D3CAF"/>
    <w:rsid w:val="56F56D1B"/>
    <w:rsid w:val="5725000D"/>
    <w:rsid w:val="57946F2A"/>
    <w:rsid w:val="57B93036"/>
    <w:rsid w:val="57C77E27"/>
    <w:rsid w:val="57DA2D35"/>
    <w:rsid w:val="57DC22EA"/>
    <w:rsid w:val="582831C6"/>
    <w:rsid w:val="58416A75"/>
    <w:rsid w:val="58685C91"/>
    <w:rsid w:val="58894F88"/>
    <w:rsid w:val="591E4217"/>
    <w:rsid w:val="59A35EFC"/>
    <w:rsid w:val="59FD70D1"/>
    <w:rsid w:val="5A0B365E"/>
    <w:rsid w:val="5ABF349B"/>
    <w:rsid w:val="5B040A81"/>
    <w:rsid w:val="5B0A23F7"/>
    <w:rsid w:val="5B4C2E40"/>
    <w:rsid w:val="5B503120"/>
    <w:rsid w:val="5BA54D40"/>
    <w:rsid w:val="5C0B53B5"/>
    <w:rsid w:val="5C19295B"/>
    <w:rsid w:val="5C24071D"/>
    <w:rsid w:val="5CCC1EE7"/>
    <w:rsid w:val="5CF31E60"/>
    <w:rsid w:val="5D57363A"/>
    <w:rsid w:val="5D626F80"/>
    <w:rsid w:val="5D7A6F08"/>
    <w:rsid w:val="5DFB0449"/>
    <w:rsid w:val="5E9C05F0"/>
    <w:rsid w:val="5EAF7B2E"/>
    <w:rsid w:val="5EBA56BC"/>
    <w:rsid w:val="5EE138B2"/>
    <w:rsid w:val="5EE82109"/>
    <w:rsid w:val="5EF14DDC"/>
    <w:rsid w:val="5F1A2BE0"/>
    <w:rsid w:val="5FB15AA4"/>
    <w:rsid w:val="602041F2"/>
    <w:rsid w:val="604A31E2"/>
    <w:rsid w:val="605A3DFB"/>
    <w:rsid w:val="60D45C0A"/>
    <w:rsid w:val="612151BD"/>
    <w:rsid w:val="61894E8D"/>
    <w:rsid w:val="61BF2897"/>
    <w:rsid w:val="62000F0D"/>
    <w:rsid w:val="62A544C6"/>
    <w:rsid w:val="63100DC5"/>
    <w:rsid w:val="63360583"/>
    <w:rsid w:val="636A3704"/>
    <w:rsid w:val="639F7EDE"/>
    <w:rsid w:val="63F5349D"/>
    <w:rsid w:val="64467BF4"/>
    <w:rsid w:val="64A4666A"/>
    <w:rsid w:val="64B56309"/>
    <w:rsid w:val="64C729B6"/>
    <w:rsid w:val="64FB1881"/>
    <w:rsid w:val="65643CB4"/>
    <w:rsid w:val="65DB742B"/>
    <w:rsid w:val="66291F35"/>
    <w:rsid w:val="666C3FCF"/>
    <w:rsid w:val="66987C18"/>
    <w:rsid w:val="66BD35EF"/>
    <w:rsid w:val="66D13B64"/>
    <w:rsid w:val="674A19A9"/>
    <w:rsid w:val="67B52C35"/>
    <w:rsid w:val="67BD21F6"/>
    <w:rsid w:val="67EA695F"/>
    <w:rsid w:val="68276FC5"/>
    <w:rsid w:val="68605028"/>
    <w:rsid w:val="68CA5790"/>
    <w:rsid w:val="68CD518A"/>
    <w:rsid w:val="68DE74A6"/>
    <w:rsid w:val="68FE2A5B"/>
    <w:rsid w:val="6937642B"/>
    <w:rsid w:val="6949338B"/>
    <w:rsid w:val="697A7847"/>
    <w:rsid w:val="6A1819DE"/>
    <w:rsid w:val="6A490CFA"/>
    <w:rsid w:val="6B471BFA"/>
    <w:rsid w:val="6BEA1DDC"/>
    <w:rsid w:val="6C4523EE"/>
    <w:rsid w:val="6C846BFA"/>
    <w:rsid w:val="6CB2438D"/>
    <w:rsid w:val="6CBE3C92"/>
    <w:rsid w:val="6CC6096B"/>
    <w:rsid w:val="6CF20870"/>
    <w:rsid w:val="6D250740"/>
    <w:rsid w:val="6D2A289D"/>
    <w:rsid w:val="6D872814"/>
    <w:rsid w:val="6E785FD9"/>
    <w:rsid w:val="6E797ADD"/>
    <w:rsid w:val="6EE31F32"/>
    <w:rsid w:val="6EFC45C3"/>
    <w:rsid w:val="6F0542A3"/>
    <w:rsid w:val="6F256308"/>
    <w:rsid w:val="6F470B2C"/>
    <w:rsid w:val="6FAB5B22"/>
    <w:rsid w:val="6FEF5972"/>
    <w:rsid w:val="70333F42"/>
    <w:rsid w:val="70B040B2"/>
    <w:rsid w:val="70E9292C"/>
    <w:rsid w:val="71F43C5D"/>
    <w:rsid w:val="72072DA8"/>
    <w:rsid w:val="72160629"/>
    <w:rsid w:val="725F4FD6"/>
    <w:rsid w:val="72B0701F"/>
    <w:rsid w:val="72D23E00"/>
    <w:rsid w:val="731972D9"/>
    <w:rsid w:val="74770F2A"/>
    <w:rsid w:val="748B2649"/>
    <w:rsid w:val="75360195"/>
    <w:rsid w:val="7584422E"/>
    <w:rsid w:val="75BA75F6"/>
    <w:rsid w:val="75E11848"/>
    <w:rsid w:val="76507F9B"/>
    <w:rsid w:val="7696570F"/>
    <w:rsid w:val="777309A7"/>
    <w:rsid w:val="778A3CB5"/>
    <w:rsid w:val="77B36D42"/>
    <w:rsid w:val="77E16EE6"/>
    <w:rsid w:val="7816129B"/>
    <w:rsid w:val="785F34D6"/>
    <w:rsid w:val="78631E71"/>
    <w:rsid w:val="7924408C"/>
    <w:rsid w:val="7A1B207A"/>
    <w:rsid w:val="7A8747D9"/>
    <w:rsid w:val="7A9F445E"/>
    <w:rsid w:val="7AA44425"/>
    <w:rsid w:val="7AB91105"/>
    <w:rsid w:val="7B025E91"/>
    <w:rsid w:val="7BC067DF"/>
    <w:rsid w:val="7BF024D2"/>
    <w:rsid w:val="7C342D92"/>
    <w:rsid w:val="7C471A39"/>
    <w:rsid w:val="7C6B3DB2"/>
    <w:rsid w:val="7C8417A5"/>
    <w:rsid w:val="7C8424F8"/>
    <w:rsid w:val="7C8465E2"/>
    <w:rsid w:val="7CA01C6D"/>
    <w:rsid w:val="7CBC21C0"/>
    <w:rsid w:val="7CC04CAC"/>
    <w:rsid w:val="7D1C6841"/>
    <w:rsid w:val="7D321EC2"/>
    <w:rsid w:val="7D6F0618"/>
    <w:rsid w:val="7D915244"/>
    <w:rsid w:val="7E8A28A9"/>
    <w:rsid w:val="7EC02964"/>
    <w:rsid w:val="7EC46001"/>
    <w:rsid w:val="7EC75914"/>
    <w:rsid w:val="7F87267D"/>
    <w:rsid w:val="7F8B5499"/>
    <w:rsid w:val="7FF564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0"/>
    <w:qFormat/>
    <w:uiPriority w:val="0"/>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link w:val="60"/>
    <w:qFormat/>
    <w:uiPriority w:val="0"/>
    <w:pPr>
      <w:keepNext/>
      <w:keepLines/>
      <w:spacing w:line="600" w:lineRule="exact"/>
      <w:ind w:firstLine="643" w:firstLineChars="200"/>
      <w:outlineLvl w:val="2"/>
    </w:pPr>
    <w:rPr>
      <w:b/>
      <w:bCs/>
      <w:kern w:val="0"/>
      <w:sz w:val="32"/>
      <w:szCs w:val="32"/>
    </w:rPr>
  </w:style>
  <w:style w:type="paragraph" w:styleId="6">
    <w:name w:val="heading 4"/>
    <w:basedOn w:val="1"/>
    <w:next w:val="1"/>
    <w:link w:val="39"/>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7">
    <w:name w:val="heading 6"/>
    <w:basedOn w:val="1"/>
    <w:next w:val="1"/>
    <w:link w:val="36"/>
    <w:qFormat/>
    <w:uiPriority w:val="9"/>
    <w:pPr>
      <w:keepNext/>
      <w:keepLines/>
      <w:numPr>
        <w:ilvl w:val="5"/>
        <w:numId w:val="1"/>
      </w:numPr>
      <w:spacing w:before="240" w:after="64" w:line="320" w:lineRule="auto"/>
      <w:outlineLvl w:val="5"/>
    </w:pPr>
    <w:rPr>
      <w:rFonts w:ascii="Arial" w:hAnsi="Arial" w:eastAsia="黑体"/>
      <w:b/>
      <w:kern w:val="0"/>
      <w:sz w:val="24"/>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2">
    <w:name w:val="Body Text"/>
    <w:basedOn w:val="1"/>
    <w:link w:val="49"/>
    <w:qFormat/>
    <w:uiPriority w:val="0"/>
    <w:pPr>
      <w:spacing w:after="120"/>
    </w:pPr>
    <w:rPr>
      <w:kern w:val="0"/>
      <w:sz w:val="20"/>
    </w:rPr>
  </w:style>
  <w:style w:type="paragraph" w:styleId="8">
    <w:name w:val="Normal Indent"/>
    <w:basedOn w:val="1"/>
    <w:unhideWhenUsed/>
    <w:qFormat/>
    <w:uiPriority w:val="99"/>
    <w:pPr>
      <w:widowControl/>
      <w:adjustRightInd w:val="0"/>
      <w:snapToGrid w:val="0"/>
      <w:spacing w:after="200"/>
      <w:ind w:firstLine="420" w:firstLineChars="200"/>
      <w:jc w:val="left"/>
    </w:pPr>
    <w:rPr>
      <w:rFonts w:ascii="Tahoma" w:hAnsi="Tahoma" w:eastAsia="微软雅黑"/>
      <w:kern w:val="0"/>
      <w:sz w:val="22"/>
      <w:szCs w:val="20"/>
    </w:rPr>
  </w:style>
  <w:style w:type="paragraph" w:styleId="9">
    <w:name w:val="Document Map"/>
    <w:basedOn w:val="1"/>
    <w:link w:val="61"/>
    <w:qFormat/>
    <w:uiPriority w:val="99"/>
    <w:rPr>
      <w:rFonts w:ascii="宋体"/>
      <w:kern w:val="0"/>
      <w:sz w:val="18"/>
      <w:szCs w:val="18"/>
    </w:rPr>
  </w:style>
  <w:style w:type="paragraph" w:styleId="10">
    <w:name w:val="annotation text"/>
    <w:basedOn w:val="1"/>
    <w:link w:val="43"/>
    <w:qFormat/>
    <w:uiPriority w:val="0"/>
    <w:pPr>
      <w:jc w:val="left"/>
    </w:pPr>
    <w:rPr>
      <w:kern w:val="0"/>
      <w:sz w:val="20"/>
    </w:rPr>
  </w:style>
  <w:style w:type="paragraph" w:styleId="11">
    <w:name w:val="Body Text Indent"/>
    <w:basedOn w:val="1"/>
    <w:next w:val="12"/>
    <w:link w:val="37"/>
    <w:qFormat/>
    <w:uiPriority w:val="0"/>
    <w:pPr>
      <w:spacing w:line="200" w:lineRule="exact"/>
      <w:ind w:firstLine="301"/>
    </w:pPr>
    <w:rPr>
      <w:rFonts w:ascii="宋体" w:hAnsi="Courier New"/>
      <w:spacing w:val="-4"/>
      <w:kern w:val="0"/>
      <w:sz w:val="18"/>
      <w:szCs w:val="20"/>
    </w:rPr>
  </w:style>
  <w:style w:type="paragraph" w:styleId="12">
    <w:name w:val="envelope return"/>
    <w:basedOn w:val="1"/>
    <w:qFormat/>
    <w:uiPriority w:val="0"/>
    <w:rPr>
      <w:rFonts w:ascii="Arial" w:hAnsi="Arial"/>
    </w:rPr>
  </w:style>
  <w:style w:type="paragraph" w:styleId="13">
    <w:name w:val="toc 5"/>
    <w:basedOn w:val="1"/>
    <w:next w:val="1"/>
    <w:qFormat/>
    <w:uiPriority w:val="0"/>
    <w:pPr>
      <w:ind w:left="1680" w:leftChars="800"/>
    </w:pPr>
  </w:style>
  <w:style w:type="paragraph" w:styleId="14">
    <w:name w:val="Plain Text"/>
    <w:basedOn w:val="1"/>
    <w:next w:val="1"/>
    <w:link w:val="70"/>
    <w:qFormat/>
    <w:uiPriority w:val="0"/>
    <w:rPr>
      <w:rFonts w:ascii="宋体" w:hAnsi="Courier New"/>
      <w:kern w:val="0"/>
      <w:sz w:val="20"/>
      <w:szCs w:val="20"/>
    </w:rPr>
  </w:style>
  <w:style w:type="paragraph" w:styleId="15">
    <w:name w:val="Date"/>
    <w:basedOn w:val="1"/>
    <w:next w:val="1"/>
    <w:link w:val="68"/>
    <w:qFormat/>
    <w:uiPriority w:val="0"/>
    <w:pPr>
      <w:ind w:left="100" w:leftChars="2500"/>
    </w:pPr>
    <w:rPr>
      <w:kern w:val="0"/>
      <w:sz w:val="20"/>
    </w:rPr>
  </w:style>
  <w:style w:type="paragraph" w:styleId="16">
    <w:name w:val="Body Text Indent 2"/>
    <w:basedOn w:val="1"/>
    <w:link w:val="35"/>
    <w:qFormat/>
    <w:uiPriority w:val="0"/>
    <w:pPr>
      <w:spacing w:after="120" w:line="480" w:lineRule="auto"/>
      <w:ind w:left="420" w:leftChars="200"/>
    </w:pPr>
    <w:rPr>
      <w:kern w:val="0"/>
      <w:sz w:val="20"/>
    </w:rPr>
  </w:style>
  <w:style w:type="paragraph" w:styleId="17">
    <w:name w:val="Balloon Text"/>
    <w:basedOn w:val="1"/>
    <w:link w:val="58"/>
    <w:qFormat/>
    <w:uiPriority w:val="0"/>
    <w:rPr>
      <w:kern w:val="0"/>
      <w:sz w:val="18"/>
      <w:szCs w:val="18"/>
    </w:rPr>
  </w:style>
  <w:style w:type="paragraph" w:styleId="18">
    <w:name w:val="footer"/>
    <w:basedOn w:val="1"/>
    <w:next w:val="1"/>
    <w:link w:val="57"/>
    <w:qFormat/>
    <w:uiPriority w:val="0"/>
    <w:pPr>
      <w:tabs>
        <w:tab w:val="center" w:pos="4153"/>
        <w:tab w:val="right" w:pos="8306"/>
      </w:tabs>
      <w:snapToGrid w:val="0"/>
      <w:jc w:val="left"/>
    </w:pPr>
    <w:rPr>
      <w:kern w:val="0"/>
      <w:sz w:val="18"/>
      <w:szCs w:val="18"/>
    </w:rPr>
  </w:style>
  <w:style w:type="paragraph" w:styleId="19">
    <w:name w:val="header"/>
    <w:basedOn w:val="1"/>
    <w:link w:val="51"/>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qFormat/>
    <w:uiPriority w:val="0"/>
    <w:pPr>
      <w:spacing w:before="120" w:after="120"/>
      <w:jc w:val="left"/>
    </w:pPr>
    <w:rPr>
      <w:b/>
      <w:bCs/>
      <w:caps/>
      <w:sz w:val="20"/>
      <w:szCs w:val="20"/>
    </w:rPr>
  </w:style>
  <w:style w:type="paragraph" w:styleId="21">
    <w:name w:val="toc 2"/>
    <w:basedOn w:val="1"/>
    <w:next w:val="1"/>
    <w:qFormat/>
    <w:uiPriority w:val="0"/>
    <w:pPr>
      <w:tabs>
        <w:tab w:val="right" w:leader="dot" w:pos="9628"/>
      </w:tabs>
      <w:ind w:left="420" w:firstLine="120"/>
      <w:jc w:val="left"/>
    </w:pPr>
    <w:rPr>
      <w:smallCaps/>
      <w:sz w:val="20"/>
      <w:szCs w:val="20"/>
    </w:rPr>
  </w:style>
  <w:style w:type="paragraph" w:styleId="22">
    <w:name w:val="Normal (Web)"/>
    <w:basedOn w:val="1"/>
    <w:next w:val="1"/>
    <w:qFormat/>
    <w:uiPriority w:val="0"/>
    <w:pPr>
      <w:spacing w:before="100" w:beforeAutospacing="1" w:after="100" w:afterAutospacing="1"/>
      <w:jc w:val="left"/>
    </w:pPr>
    <w:rPr>
      <w:kern w:val="0"/>
      <w:sz w:val="24"/>
    </w:rPr>
  </w:style>
  <w:style w:type="paragraph" w:styleId="23">
    <w:name w:val="Title"/>
    <w:basedOn w:val="1"/>
    <w:qFormat/>
    <w:uiPriority w:val="0"/>
    <w:pPr>
      <w:spacing w:before="240" w:after="60"/>
      <w:jc w:val="center"/>
      <w:outlineLvl w:val="0"/>
    </w:pPr>
    <w:rPr>
      <w:rFonts w:cs="Verdana"/>
      <w:b/>
      <w:bCs/>
      <w:sz w:val="32"/>
      <w:szCs w:val="32"/>
    </w:rPr>
  </w:style>
  <w:style w:type="paragraph" w:styleId="24">
    <w:name w:val="annotation subject"/>
    <w:basedOn w:val="10"/>
    <w:next w:val="10"/>
    <w:link w:val="45"/>
    <w:qFormat/>
    <w:uiPriority w:val="99"/>
    <w:rPr>
      <w:b/>
      <w:bCs/>
    </w:rPr>
  </w:style>
  <w:style w:type="paragraph" w:styleId="25">
    <w:name w:val="Body Text First Indent 2"/>
    <w:basedOn w:val="11"/>
    <w:qFormat/>
    <w:uiPriority w:val="0"/>
    <w:pPr>
      <w:ind w:left="560" w:firstLine="200" w:firstLineChars="200"/>
    </w:pPr>
    <w:rPr>
      <w:rFonts w:ascii="Times New Roman" w:hAnsi="Times New Roman"/>
      <w:sz w:val="20"/>
      <w:lang w:val="ru-RU" w:eastAsia="ru-RU"/>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rPr>
  </w:style>
  <w:style w:type="character" w:styleId="30">
    <w:name w:val="page number"/>
    <w:qFormat/>
    <w:uiPriority w:val="0"/>
    <w:rPr>
      <w:rFonts w:ascii="Times New Roman" w:hAnsi="Times New Roman" w:eastAsia="宋体" w:cs="Times New Roman"/>
    </w:rPr>
  </w:style>
  <w:style w:type="character" w:styleId="31">
    <w:name w:val="FollowedHyperlink"/>
    <w:qFormat/>
    <w:uiPriority w:val="0"/>
    <w:rPr>
      <w:rFonts w:ascii="Times New Roman" w:hAnsi="Times New Roman" w:eastAsia="宋体" w:cs="Times New Roman"/>
      <w:color w:val="800080"/>
      <w:u w:val="single"/>
    </w:rPr>
  </w:style>
  <w:style w:type="character" w:styleId="32">
    <w:name w:val="Hyperlink"/>
    <w:qFormat/>
    <w:uiPriority w:val="0"/>
    <w:rPr>
      <w:rFonts w:ascii="Times New Roman" w:hAnsi="Times New Roman" w:eastAsia="宋体" w:cs="Times New Roman"/>
      <w:color w:val="0000FF"/>
      <w:u w:val="single"/>
    </w:rPr>
  </w:style>
  <w:style w:type="character" w:styleId="33">
    <w:name w:val="annotation reference"/>
    <w:qFormat/>
    <w:uiPriority w:val="0"/>
    <w:rPr>
      <w:rFonts w:ascii="Times New Roman" w:hAnsi="Times New Roman" w:eastAsia="宋体" w:cs="Times New Roman"/>
      <w:sz w:val="21"/>
      <w:szCs w:val="21"/>
    </w:rPr>
  </w:style>
  <w:style w:type="character" w:customStyle="1" w:styleId="34">
    <w:name w:val="页脚 Char2"/>
    <w:qFormat/>
    <w:uiPriority w:val="99"/>
    <w:rPr>
      <w:rFonts w:ascii="Times New Roman" w:hAnsi="Times New Roman" w:eastAsia="宋体" w:cs="Times New Roman"/>
      <w:color w:val="000000"/>
      <w:kern w:val="1"/>
      <w:sz w:val="18"/>
      <w:szCs w:val="18"/>
    </w:rPr>
  </w:style>
  <w:style w:type="character" w:customStyle="1" w:styleId="35">
    <w:name w:val="正文文本缩进 2 Char"/>
    <w:link w:val="16"/>
    <w:qFormat/>
    <w:uiPriority w:val="0"/>
    <w:rPr>
      <w:rFonts w:ascii="Times New Roman" w:hAnsi="Times New Roman" w:eastAsia="宋体" w:cs="Times New Roman"/>
      <w:szCs w:val="24"/>
    </w:rPr>
  </w:style>
  <w:style w:type="character" w:customStyle="1" w:styleId="36">
    <w:name w:val="标题 6 Char"/>
    <w:link w:val="7"/>
    <w:qFormat/>
    <w:uiPriority w:val="9"/>
    <w:rPr>
      <w:rFonts w:ascii="Arial" w:hAnsi="Arial" w:eastAsia="黑体" w:cs="Times New Roman"/>
      <w:b/>
      <w:sz w:val="24"/>
      <w:szCs w:val="24"/>
    </w:rPr>
  </w:style>
  <w:style w:type="character" w:customStyle="1" w:styleId="37">
    <w:name w:val="正文文本缩进 Char"/>
    <w:link w:val="11"/>
    <w:qFormat/>
    <w:uiPriority w:val="0"/>
    <w:rPr>
      <w:rFonts w:ascii="宋体" w:hAnsi="Courier New" w:eastAsia="宋体" w:cs="Times New Roman"/>
      <w:spacing w:val="-4"/>
      <w:sz w:val="18"/>
    </w:rPr>
  </w:style>
  <w:style w:type="character" w:customStyle="1" w:styleId="38">
    <w:name w:val="font51"/>
    <w:qFormat/>
    <w:uiPriority w:val="0"/>
    <w:rPr>
      <w:rFonts w:hint="eastAsia" w:ascii="宋体" w:hAnsi="宋体" w:eastAsia="宋体" w:cs="宋体"/>
      <w:color w:val="000000"/>
      <w:sz w:val="22"/>
      <w:szCs w:val="22"/>
      <w:u w:val="none"/>
    </w:rPr>
  </w:style>
  <w:style w:type="character" w:customStyle="1" w:styleId="39">
    <w:name w:val="标题 4 Char"/>
    <w:link w:val="6"/>
    <w:qFormat/>
    <w:uiPriority w:val="0"/>
    <w:rPr>
      <w:rFonts w:ascii="Arial" w:hAnsi="Times New Roman" w:eastAsia="黑体" w:cs="Times New Roman"/>
      <w:kern w:val="0"/>
      <w:sz w:val="28"/>
      <w:szCs w:val="20"/>
    </w:rPr>
  </w:style>
  <w:style w:type="character" w:customStyle="1" w:styleId="40">
    <w:name w:val="特点标题 Char"/>
    <w:semiHidden/>
    <w:qFormat/>
    <w:uiPriority w:val="0"/>
    <w:rPr>
      <w:rFonts w:ascii="宋体" w:hAnsi="Courier New" w:eastAsia="宋体" w:cs="Times New Roman"/>
      <w:spacing w:val="-4"/>
      <w:kern w:val="2"/>
      <w:sz w:val="18"/>
      <w:lang w:bidi="ar-SA"/>
    </w:rPr>
  </w:style>
  <w:style w:type="character" w:customStyle="1" w:styleId="41">
    <w:name w:val="批注框文本 字符1"/>
    <w:semiHidden/>
    <w:qFormat/>
    <w:uiPriority w:val="99"/>
    <w:rPr>
      <w:rFonts w:ascii="Times New Roman" w:hAnsi="Times New Roman" w:eastAsia="宋体" w:cs="Times New Roman"/>
      <w:sz w:val="18"/>
      <w:szCs w:val="18"/>
    </w:rPr>
  </w:style>
  <w:style w:type="character" w:customStyle="1" w:styleId="42">
    <w:name w:val="font21"/>
    <w:qFormat/>
    <w:uiPriority w:val="0"/>
    <w:rPr>
      <w:rFonts w:hint="eastAsia" w:ascii="宋体" w:hAnsi="宋体" w:eastAsia="宋体" w:cs="宋体"/>
      <w:b/>
      <w:color w:val="000000"/>
      <w:sz w:val="24"/>
      <w:szCs w:val="24"/>
      <w:u w:val="none"/>
    </w:rPr>
  </w:style>
  <w:style w:type="character" w:customStyle="1" w:styleId="43">
    <w:name w:val="批注文字 Char"/>
    <w:link w:val="10"/>
    <w:qFormat/>
    <w:uiPriority w:val="0"/>
    <w:rPr>
      <w:rFonts w:ascii="Times New Roman" w:hAnsi="Times New Roman" w:eastAsia="宋体" w:cs="Times New Roman"/>
      <w:szCs w:val="24"/>
    </w:rPr>
  </w:style>
  <w:style w:type="character" w:customStyle="1" w:styleId="44">
    <w:name w:val="文档结构图 字符1"/>
    <w:semiHidden/>
    <w:qFormat/>
    <w:uiPriority w:val="99"/>
    <w:rPr>
      <w:rFonts w:ascii="宋体" w:hAnsi="Times New Roman" w:eastAsia="宋体" w:cs="Times New Roman"/>
      <w:sz w:val="18"/>
      <w:szCs w:val="18"/>
    </w:rPr>
  </w:style>
  <w:style w:type="character" w:customStyle="1" w:styleId="45">
    <w:name w:val="批注主题 Char"/>
    <w:link w:val="24"/>
    <w:qFormat/>
    <w:uiPriority w:val="99"/>
    <w:rPr>
      <w:rFonts w:ascii="Times New Roman" w:hAnsi="Times New Roman" w:eastAsia="宋体" w:cs="Times New Roman"/>
      <w:b/>
      <w:bCs/>
      <w:szCs w:val="24"/>
    </w:rPr>
  </w:style>
  <w:style w:type="character" w:customStyle="1" w:styleId="46">
    <w:name w:val="font71"/>
    <w:qFormat/>
    <w:uiPriority w:val="0"/>
    <w:rPr>
      <w:rFonts w:hint="eastAsia" w:ascii="宋体" w:hAnsi="宋体" w:eastAsia="宋体" w:cs="宋体"/>
      <w:color w:val="000000"/>
      <w:sz w:val="22"/>
      <w:szCs w:val="22"/>
      <w:u w:val="none"/>
    </w:rPr>
  </w:style>
  <w:style w:type="character" w:customStyle="1" w:styleId="47">
    <w:name w:val="页眉 字符1"/>
    <w:semiHidden/>
    <w:qFormat/>
    <w:uiPriority w:val="99"/>
    <w:rPr>
      <w:rFonts w:ascii="Times New Roman" w:hAnsi="Times New Roman" w:eastAsia="宋体" w:cs="Times New Roman"/>
      <w:sz w:val="18"/>
      <w:szCs w:val="18"/>
    </w:rPr>
  </w:style>
  <w:style w:type="character" w:customStyle="1" w:styleId="48">
    <w:name w:val="正文文本 字符1"/>
    <w:semiHidden/>
    <w:qFormat/>
    <w:uiPriority w:val="99"/>
    <w:rPr>
      <w:rFonts w:ascii="Times New Roman" w:hAnsi="Times New Roman" w:eastAsia="宋体" w:cs="Times New Roman"/>
      <w:szCs w:val="24"/>
    </w:rPr>
  </w:style>
  <w:style w:type="character" w:customStyle="1" w:styleId="49">
    <w:name w:val="正文文本 Char"/>
    <w:link w:val="2"/>
    <w:qFormat/>
    <w:uiPriority w:val="0"/>
    <w:rPr>
      <w:szCs w:val="24"/>
    </w:rPr>
  </w:style>
  <w:style w:type="character" w:customStyle="1" w:styleId="50">
    <w:name w:val="标题 2 Char"/>
    <w:link w:val="4"/>
    <w:qFormat/>
    <w:uiPriority w:val="0"/>
    <w:rPr>
      <w:rFonts w:ascii="Arial" w:hAnsi="Arial" w:eastAsia="黑体" w:cs="Times New Roman"/>
      <w:b/>
      <w:bCs/>
      <w:sz w:val="32"/>
      <w:szCs w:val="32"/>
    </w:rPr>
  </w:style>
  <w:style w:type="character" w:customStyle="1" w:styleId="51">
    <w:name w:val="页眉 Char"/>
    <w:link w:val="19"/>
    <w:qFormat/>
    <w:uiPriority w:val="0"/>
    <w:rPr>
      <w:rFonts w:ascii="Times New Roman" w:hAnsi="Times New Roman" w:eastAsia="宋体" w:cs="Times New Roman"/>
      <w:sz w:val="18"/>
      <w:szCs w:val="18"/>
    </w:rPr>
  </w:style>
  <w:style w:type="character" w:customStyle="1" w:styleId="52">
    <w:name w:val="批注主题 字符1"/>
    <w:semiHidden/>
    <w:qFormat/>
    <w:uiPriority w:val="99"/>
    <w:rPr>
      <w:rFonts w:ascii="Times New Roman" w:hAnsi="Times New Roman" w:eastAsia="宋体" w:cs="Times New Roman"/>
      <w:b/>
      <w:bCs/>
      <w:szCs w:val="24"/>
    </w:rPr>
  </w:style>
  <w:style w:type="character" w:customStyle="1" w:styleId="53">
    <w:name w:val="正文文本缩进 字符1"/>
    <w:semiHidden/>
    <w:qFormat/>
    <w:uiPriority w:val="99"/>
    <w:rPr>
      <w:rFonts w:ascii="Times New Roman" w:hAnsi="Times New Roman" w:eastAsia="宋体" w:cs="Times New Roman"/>
      <w:szCs w:val="24"/>
    </w:rPr>
  </w:style>
  <w:style w:type="character" w:customStyle="1" w:styleId="54">
    <w:name w:val="页脚 字符1"/>
    <w:semiHidden/>
    <w:qFormat/>
    <w:uiPriority w:val="99"/>
    <w:rPr>
      <w:rFonts w:ascii="Times New Roman" w:hAnsi="Times New Roman" w:eastAsia="宋体" w:cs="Times New Roman"/>
      <w:sz w:val="18"/>
      <w:szCs w:val="18"/>
    </w:rPr>
  </w:style>
  <w:style w:type="character" w:customStyle="1" w:styleId="55">
    <w:name w:val="纯文本 Char1"/>
    <w:qFormat/>
    <w:uiPriority w:val="0"/>
    <w:rPr>
      <w:rFonts w:ascii="宋体" w:hAnsi="Courier New" w:eastAsia="宋体" w:cs="Times New Roman"/>
      <w:kern w:val="2"/>
      <w:sz w:val="21"/>
      <w:lang w:val="en-US" w:eastAsia="zh-CN" w:bidi="ar-SA"/>
    </w:rPr>
  </w:style>
  <w:style w:type="character" w:customStyle="1" w:styleId="56">
    <w:name w:val="font11"/>
    <w:qFormat/>
    <w:uiPriority w:val="0"/>
    <w:rPr>
      <w:rFonts w:hint="default" w:ascii="Arial" w:hAnsi="Arial" w:cs="Arial"/>
      <w:color w:val="000000"/>
      <w:sz w:val="22"/>
      <w:szCs w:val="22"/>
      <w:u w:val="none"/>
    </w:rPr>
  </w:style>
  <w:style w:type="character" w:customStyle="1" w:styleId="57">
    <w:name w:val="页脚 Char"/>
    <w:link w:val="18"/>
    <w:qFormat/>
    <w:uiPriority w:val="0"/>
    <w:rPr>
      <w:rFonts w:ascii="Times New Roman" w:hAnsi="Times New Roman" w:eastAsia="宋体" w:cs="Times New Roman"/>
      <w:sz w:val="18"/>
      <w:szCs w:val="18"/>
    </w:rPr>
  </w:style>
  <w:style w:type="character" w:customStyle="1" w:styleId="58">
    <w:name w:val="批注框文本 Char"/>
    <w:link w:val="17"/>
    <w:qFormat/>
    <w:uiPriority w:val="0"/>
    <w:rPr>
      <w:rFonts w:ascii="Times New Roman" w:hAnsi="Times New Roman" w:eastAsia="宋体" w:cs="Times New Roman"/>
      <w:sz w:val="18"/>
      <w:szCs w:val="18"/>
    </w:rPr>
  </w:style>
  <w:style w:type="character" w:customStyle="1" w:styleId="59">
    <w:name w:val="日期 字符1"/>
    <w:semiHidden/>
    <w:qFormat/>
    <w:uiPriority w:val="99"/>
    <w:rPr>
      <w:rFonts w:ascii="Times New Roman" w:hAnsi="Times New Roman" w:eastAsia="宋体" w:cs="Times New Roman"/>
      <w:szCs w:val="24"/>
    </w:rPr>
  </w:style>
  <w:style w:type="character" w:customStyle="1" w:styleId="60">
    <w:name w:val="标题 3 Char"/>
    <w:link w:val="5"/>
    <w:qFormat/>
    <w:uiPriority w:val="0"/>
    <w:rPr>
      <w:rFonts w:ascii="Times New Roman" w:hAnsi="Times New Roman" w:eastAsia="宋体" w:cs="Times New Roman"/>
      <w:b/>
      <w:bCs/>
      <w:sz w:val="32"/>
      <w:szCs w:val="32"/>
    </w:rPr>
  </w:style>
  <w:style w:type="character" w:customStyle="1" w:styleId="61">
    <w:name w:val="文档结构图 Char"/>
    <w:link w:val="9"/>
    <w:qFormat/>
    <w:uiPriority w:val="99"/>
    <w:rPr>
      <w:rFonts w:ascii="宋体" w:hAnsi="Times New Roman" w:eastAsia="宋体" w:cs="Times New Roman"/>
      <w:sz w:val="18"/>
      <w:szCs w:val="18"/>
    </w:rPr>
  </w:style>
  <w:style w:type="character" w:customStyle="1" w:styleId="62">
    <w:name w:val="15"/>
    <w:qFormat/>
    <w:uiPriority w:val="0"/>
    <w:rPr>
      <w:rFonts w:hint="default" w:ascii="Calibri" w:hAnsi="Calibri" w:cs="Calibri"/>
      <w:color w:val="0000FF"/>
      <w:u w:val="single"/>
    </w:rPr>
  </w:style>
  <w:style w:type="character" w:customStyle="1" w:styleId="63">
    <w:name w:val="Body text (2) + Arial Unicode MS1"/>
    <w:qFormat/>
    <w:uiPriority w:val="0"/>
    <w:rPr>
      <w:rFonts w:ascii="Arial Unicode MS" w:eastAsia="Arial Unicode MS" w:cs="Arial Unicode MS"/>
      <w:spacing w:val="29"/>
      <w:sz w:val="19"/>
      <w:szCs w:val="19"/>
      <w:lang w:val="en-US" w:eastAsia="en-US" w:bidi="ar-SA"/>
    </w:rPr>
  </w:style>
  <w:style w:type="character" w:customStyle="1" w:styleId="64">
    <w:name w:val="font41"/>
    <w:qFormat/>
    <w:uiPriority w:val="0"/>
    <w:rPr>
      <w:rFonts w:hint="eastAsia" w:ascii="方正小标宋简体" w:hAnsi="方正小标宋简体" w:eastAsia="方正小标宋简体" w:cs="方正小标宋简体"/>
      <w:color w:val="000000"/>
      <w:sz w:val="40"/>
      <w:szCs w:val="40"/>
      <w:u w:val="none"/>
    </w:rPr>
  </w:style>
  <w:style w:type="character" w:customStyle="1" w:styleId="65">
    <w:name w:val="正文文本缩进 2 字符1"/>
    <w:semiHidden/>
    <w:qFormat/>
    <w:uiPriority w:val="99"/>
    <w:rPr>
      <w:rFonts w:ascii="Times New Roman" w:hAnsi="Times New Roman" w:eastAsia="宋体" w:cs="Times New Roman"/>
      <w:szCs w:val="24"/>
    </w:rPr>
  </w:style>
  <w:style w:type="character" w:customStyle="1" w:styleId="66">
    <w:name w:val="font01"/>
    <w:qFormat/>
    <w:uiPriority w:val="0"/>
    <w:rPr>
      <w:rFonts w:hint="default" w:ascii="font-weight : 400" w:hAnsi="font-weight : 400" w:eastAsia="font-weight : 400" w:cs="font-weight : 400"/>
      <w:color w:val="000000"/>
      <w:sz w:val="22"/>
      <w:szCs w:val="22"/>
      <w:u w:val="none"/>
    </w:rPr>
  </w:style>
  <w:style w:type="character" w:customStyle="1" w:styleId="67">
    <w:name w:val="纯文本 字符1"/>
    <w:semiHidden/>
    <w:qFormat/>
    <w:uiPriority w:val="99"/>
    <w:rPr>
      <w:rFonts w:ascii="等线" w:hAnsi="Courier New" w:cs="Courier New"/>
      <w:szCs w:val="24"/>
    </w:rPr>
  </w:style>
  <w:style w:type="character" w:customStyle="1" w:styleId="68">
    <w:name w:val="日期 Char"/>
    <w:link w:val="15"/>
    <w:qFormat/>
    <w:uiPriority w:val="0"/>
    <w:rPr>
      <w:rFonts w:ascii="Times New Roman" w:hAnsi="Times New Roman" w:eastAsia="宋体" w:cs="Times New Roman"/>
      <w:szCs w:val="24"/>
    </w:rPr>
  </w:style>
  <w:style w:type="character" w:customStyle="1" w:styleId="69">
    <w:name w:val="font31"/>
    <w:qFormat/>
    <w:uiPriority w:val="0"/>
    <w:rPr>
      <w:rFonts w:hint="eastAsia" w:ascii="宋体" w:hAnsi="宋体" w:eastAsia="宋体" w:cs="宋体"/>
      <w:b/>
      <w:color w:val="000000"/>
      <w:sz w:val="36"/>
      <w:szCs w:val="36"/>
      <w:u w:val="none"/>
    </w:rPr>
  </w:style>
  <w:style w:type="character" w:customStyle="1" w:styleId="70">
    <w:name w:val="纯文本 Char"/>
    <w:link w:val="14"/>
    <w:qFormat/>
    <w:uiPriority w:val="0"/>
    <w:rPr>
      <w:rFonts w:ascii="宋体" w:hAnsi="Courier New" w:eastAsia="宋体" w:cs="Times New Roman"/>
    </w:rPr>
  </w:style>
  <w:style w:type="character" w:customStyle="1" w:styleId="71">
    <w:name w:val="页眉 Char2"/>
    <w:qFormat/>
    <w:uiPriority w:val="99"/>
    <w:rPr>
      <w:rFonts w:ascii="Times New Roman" w:hAnsi="Times New Roman" w:eastAsia="宋体" w:cs="Times New Roman"/>
      <w:color w:val="000000"/>
      <w:kern w:val="1"/>
      <w:sz w:val="18"/>
      <w:szCs w:val="18"/>
    </w:rPr>
  </w:style>
  <w:style w:type="character" w:customStyle="1" w:styleId="72">
    <w:name w:val="批注文字 字符1"/>
    <w:semiHidden/>
    <w:qFormat/>
    <w:uiPriority w:val="99"/>
    <w:rPr>
      <w:rFonts w:ascii="Times New Roman" w:hAnsi="Times New Roman" w:eastAsia="宋体" w:cs="Times New Roman"/>
      <w:szCs w:val="24"/>
    </w:rPr>
  </w:style>
  <w:style w:type="character" w:customStyle="1" w:styleId="73">
    <w:name w:val="标题 1 Char"/>
    <w:link w:val="3"/>
    <w:qFormat/>
    <w:uiPriority w:val="0"/>
    <w:rPr>
      <w:rFonts w:ascii="Times New Roman" w:hAnsi="Times New Roman" w:eastAsia="宋体" w:cs="Times New Roman"/>
      <w:b/>
      <w:bCs/>
      <w:kern w:val="44"/>
      <w:sz w:val="44"/>
      <w:szCs w:val="44"/>
    </w:rPr>
  </w:style>
  <w:style w:type="paragraph" w:customStyle="1" w:styleId="74">
    <w:name w:val="样式 标题 2 + 非加粗 首行缩进:  2 字符"/>
    <w:basedOn w:val="4"/>
    <w:qFormat/>
    <w:uiPriority w:val="0"/>
    <w:pPr>
      <w:spacing w:before="0" w:after="0" w:line="600" w:lineRule="exact"/>
      <w:ind w:firstLine="640" w:firstLineChars="200"/>
      <w:jc w:val="left"/>
    </w:pPr>
    <w:rPr>
      <w:rFonts w:cs="宋体"/>
      <w:b w:val="0"/>
      <w:bCs w:val="0"/>
      <w:szCs w:val="20"/>
    </w:rPr>
  </w:style>
  <w:style w:type="paragraph" w:customStyle="1" w:styleId="75">
    <w:name w:val="正文段"/>
    <w:basedOn w:val="1"/>
    <w:qFormat/>
    <w:uiPriority w:val="0"/>
    <w:pPr>
      <w:widowControl/>
      <w:snapToGrid w:val="0"/>
      <w:spacing w:afterLines="50"/>
      <w:ind w:firstLine="200" w:firstLineChars="200"/>
    </w:pPr>
    <w:rPr>
      <w:kern w:val="0"/>
      <w:sz w:val="24"/>
      <w:szCs w:val="20"/>
    </w:rPr>
  </w:style>
  <w:style w:type="paragraph" w:customStyle="1" w:styleId="76">
    <w:name w:val="Char Char Char1 Char Char Char Char Char Char Char"/>
    <w:basedOn w:val="1"/>
    <w:qFormat/>
    <w:uiPriority w:val="0"/>
  </w:style>
  <w:style w:type="paragraph" w:customStyle="1" w:styleId="77">
    <w:name w:val="默认段落字体 Para Char Char Char Char Char Char Char Char Char1 Char Char Char Char"/>
    <w:basedOn w:val="1"/>
    <w:qFormat/>
    <w:uiPriority w:val="0"/>
    <w:rPr>
      <w:rFonts w:ascii="Tahoma" w:hAnsi="Tahoma"/>
      <w:sz w:val="24"/>
      <w:szCs w:val="20"/>
    </w:rPr>
  </w:style>
  <w:style w:type="paragraph" w:customStyle="1" w:styleId="78">
    <w:name w:val="Char Char Char"/>
    <w:basedOn w:val="1"/>
    <w:qFormat/>
    <w:uiPriority w:val="0"/>
    <w:rPr>
      <w:szCs w:val="20"/>
    </w:rPr>
  </w:style>
  <w:style w:type="paragraph" w:customStyle="1" w:styleId="79">
    <w:name w:val="p0"/>
    <w:basedOn w:val="1"/>
    <w:qFormat/>
    <w:uiPriority w:val="0"/>
    <w:pPr>
      <w:widowControl/>
    </w:pPr>
    <w:rPr>
      <w:kern w:val="0"/>
      <w:szCs w:val="21"/>
    </w:rPr>
  </w:style>
  <w:style w:type="paragraph" w:customStyle="1" w:styleId="80">
    <w:name w:val="Char Char Char Char"/>
    <w:basedOn w:val="1"/>
    <w:qFormat/>
    <w:uiPriority w:val="0"/>
    <w:pPr>
      <w:widowControl/>
      <w:spacing w:after="160" w:line="240" w:lineRule="exact"/>
      <w:jc w:val="left"/>
    </w:pPr>
  </w:style>
  <w:style w:type="paragraph" w:customStyle="1" w:styleId="81">
    <w:name w:val="Char Char Char Char Char Char Char Char Char Char Char Char"/>
    <w:basedOn w:val="1"/>
    <w:qFormat/>
    <w:uiPriority w:val="0"/>
    <w:pPr>
      <w:widowControl/>
      <w:spacing w:after="160" w:line="240" w:lineRule="exact"/>
      <w:jc w:val="left"/>
    </w:pPr>
  </w:style>
  <w:style w:type="paragraph" w:customStyle="1" w:styleId="82">
    <w:name w:val="样式 标题 2 + 宋体 五号 行距: 单倍行距"/>
    <w:basedOn w:val="4"/>
    <w:qFormat/>
    <w:uiPriority w:val="0"/>
    <w:pPr>
      <w:spacing w:line="240" w:lineRule="auto"/>
      <w:jc w:val="left"/>
    </w:pPr>
    <w:rPr>
      <w:rFonts w:ascii="宋体" w:hAnsi="宋体" w:eastAsia="宋体" w:cs="黑体"/>
      <w:sz w:val="21"/>
    </w:rPr>
  </w:style>
  <w:style w:type="paragraph" w:customStyle="1" w:styleId="83">
    <w:name w:val="_Style 2"/>
    <w:basedOn w:val="1"/>
    <w:qFormat/>
    <w:uiPriority w:val="34"/>
    <w:pPr>
      <w:widowControl/>
      <w:ind w:firstLine="420" w:firstLineChars="200"/>
      <w:jc w:val="left"/>
    </w:pPr>
    <w:rPr>
      <w:rFonts w:ascii="宋体" w:hAnsi="宋体" w:cs="宋体"/>
      <w:kern w:val="0"/>
      <w:sz w:val="24"/>
    </w:rPr>
  </w:style>
  <w:style w:type="paragraph" w:customStyle="1" w:styleId="84">
    <w:name w:val="样式 标题 1 + 居中 段前: 0 磅 段后: 0 磅 行距: 固定值 30 磅"/>
    <w:basedOn w:val="3"/>
    <w:qFormat/>
    <w:uiPriority w:val="0"/>
    <w:pPr>
      <w:spacing w:before="0" w:after="0" w:line="600" w:lineRule="exact"/>
      <w:jc w:val="center"/>
    </w:pPr>
    <w:rPr>
      <w:rFonts w:cs="宋体"/>
      <w:szCs w:val="20"/>
    </w:rPr>
  </w:style>
  <w:style w:type="paragraph" w:customStyle="1" w:styleId="85">
    <w:name w:val="Char"/>
    <w:basedOn w:val="1"/>
    <w:qFormat/>
    <w:uiPriority w:val="0"/>
  </w:style>
  <w:style w:type="paragraph" w:customStyle="1" w:styleId="86">
    <w:name w:val="Char Char Char Char Char Char Char"/>
    <w:basedOn w:val="1"/>
    <w:qFormat/>
    <w:uiPriority w:val="0"/>
  </w:style>
  <w:style w:type="paragraph" w:customStyle="1" w:styleId="87">
    <w:name w:val="批注框文本1"/>
    <w:basedOn w:val="1"/>
    <w:semiHidden/>
    <w:qFormat/>
    <w:uiPriority w:val="0"/>
    <w:pPr>
      <w:widowControl/>
      <w:jc w:val="left"/>
    </w:pPr>
    <w:rPr>
      <w:sz w:val="18"/>
    </w:rPr>
  </w:style>
  <w:style w:type="paragraph" w:customStyle="1" w:styleId="88">
    <w:name w:val="Char Char Char Char Char Char Char Char Char Char Char Char1"/>
    <w:basedOn w:val="1"/>
    <w:qFormat/>
    <w:uiPriority w:val="0"/>
    <w:pPr>
      <w:widowControl/>
      <w:spacing w:after="160" w:line="240" w:lineRule="exact"/>
      <w:jc w:val="left"/>
    </w:pPr>
  </w:style>
  <w:style w:type="paragraph" w:customStyle="1" w:styleId="8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0">
    <w:name w:val="_Style 1"/>
    <w:basedOn w:val="1"/>
    <w:qFormat/>
    <w:uiPriority w:val="0"/>
    <w:pPr>
      <w:ind w:firstLine="420" w:firstLineChars="200"/>
    </w:pPr>
    <w:rPr>
      <w:rFonts w:ascii="Calibri" w:hAnsi="Calibri"/>
    </w:rPr>
  </w:style>
  <w:style w:type="paragraph" w:customStyle="1" w:styleId="91">
    <w:name w:val="列出段落1"/>
    <w:basedOn w:val="1"/>
    <w:qFormat/>
    <w:uiPriority w:val="0"/>
    <w:pPr>
      <w:widowControl/>
      <w:overflowPunct w:val="0"/>
      <w:autoSpaceDE w:val="0"/>
      <w:autoSpaceDN w:val="0"/>
      <w:adjustRightInd w:val="0"/>
      <w:ind w:firstLine="420" w:firstLineChars="200"/>
      <w:jc w:val="left"/>
    </w:pPr>
    <w:rPr>
      <w:rFonts w:eastAsia="仿宋_GB2312"/>
      <w:kern w:val="0"/>
      <w:sz w:val="28"/>
      <w:szCs w:val="28"/>
    </w:rPr>
  </w:style>
  <w:style w:type="paragraph" w:styleId="92">
    <w:name w:val="List Paragraph"/>
    <w:basedOn w:val="1"/>
    <w:qFormat/>
    <w:uiPriority w:val="34"/>
    <w:pPr>
      <w:ind w:firstLine="420" w:firstLineChars="200"/>
    </w:pPr>
  </w:style>
  <w:style w:type="paragraph" w:customStyle="1" w:styleId="93">
    <w:name w:val="正文1"/>
    <w:qFormat/>
    <w:uiPriority w:val="0"/>
    <w:pPr>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5515E7-D208-42AD-B7AD-1A9769870E7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5920</Words>
  <Characters>33749</Characters>
  <Lines>281</Lines>
  <Paragraphs>79</Paragraphs>
  <TotalTime>7</TotalTime>
  <ScaleCrop>false</ScaleCrop>
  <LinksUpToDate>false</LinksUpToDate>
  <CharactersWithSpaces>39590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2020-08-17T01:39:00Z</dcterms:created>
  <dc:creator>Administrator</dc:creator>
  <cp:lastModifiedBy>Hermes</cp:lastModifiedBy>
  <cp:lastPrinted>2020-10-29T10:41:00Z</cp:lastPrinted>
  <dcterms:modified xsi:type="dcterms:W3CDTF">2020-11-03T09:33:11Z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