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hint="eastAsia" w:ascii="宋体" w:hAnsi="宋体" w:eastAsia="宋体" w:cs="宋体"/>
          <w:b/>
          <w:bCs/>
          <w:color w:val="auto"/>
          <w:kern w:val="0"/>
          <w:sz w:val="36"/>
          <w:szCs w:val="52"/>
          <w:highlight w:val="yellow"/>
          <w:lang w:val="zh-CN"/>
        </w:rPr>
      </w:pPr>
      <w:r>
        <w:rPr>
          <w:rFonts w:hint="eastAsia" w:ascii="宋体" w:hAnsi="宋体" w:eastAsia="宋体" w:cs="宋体"/>
          <w:b/>
          <w:bCs/>
          <w:color w:val="auto"/>
          <w:kern w:val="0"/>
          <w:sz w:val="36"/>
          <w:szCs w:val="52"/>
          <w:highlight w:val="yellow"/>
          <w:lang w:val="zh-CN"/>
        </w:rPr>
        <w:drawing>
          <wp:inline distT="0" distB="0" distL="114300" distR="114300">
            <wp:extent cx="5942330" cy="8409940"/>
            <wp:effectExtent l="0" t="0" r="1270" b="10160"/>
            <wp:docPr id="9" name="图片 9" descr="1625198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25198723(1)"/>
                    <pic:cNvPicPr>
                      <a:picLocks noChangeAspect="1"/>
                    </pic:cNvPicPr>
                  </pic:nvPicPr>
                  <pic:blipFill>
                    <a:blip r:embed="rId8"/>
                    <a:stretch>
                      <a:fillRect/>
                    </a:stretch>
                  </pic:blipFill>
                  <pic:spPr>
                    <a:xfrm>
                      <a:off x="0" y="0"/>
                      <a:ext cx="5942330" cy="8409940"/>
                    </a:xfrm>
                    <a:prstGeom prst="rect">
                      <a:avLst/>
                    </a:prstGeom>
                  </pic:spPr>
                </pic:pic>
              </a:graphicData>
            </a:graphic>
          </wp:inline>
        </w:drawing>
      </w:r>
    </w:p>
    <w:p>
      <w:pPr>
        <w:rPr>
          <w:rFonts w:hint="eastAsia" w:ascii="宋体" w:hAnsi="宋体" w:eastAsia="宋体" w:cs="宋体"/>
          <w:color w:val="auto"/>
          <w:sz w:val="44"/>
          <w:szCs w:val="44"/>
        </w:rPr>
        <w:sectPr>
          <w:pgSz w:w="11850" w:h="16783"/>
          <w:pgMar w:top="1587" w:right="1701" w:bottom="1587" w:left="1701" w:header="851" w:footer="992" w:gutter="0"/>
          <w:cols w:space="720" w:num="1"/>
          <w:docGrid w:linePitch="317" w:charSpace="0"/>
        </w:sectPr>
      </w:pPr>
    </w:p>
    <w:p>
      <w:pPr>
        <w:pStyle w:val="2"/>
        <w:rPr>
          <w:rFonts w:hint="eastAsia" w:ascii="宋体" w:hAnsi="宋体" w:eastAsia="宋体" w:cs="宋体"/>
          <w:color w:val="auto"/>
        </w:rPr>
      </w:pPr>
    </w:p>
    <w:p>
      <w:pPr>
        <w:pStyle w:val="40"/>
        <w:spacing w:line="240" w:lineRule="auto"/>
        <w:ind w:firstLine="880"/>
        <w:jc w:val="center"/>
        <w:rPr>
          <w:rFonts w:hint="eastAsia" w:ascii="宋体" w:hAnsi="宋体" w:eastAsia="宋体" w:cs="宋体"/>
          <w:color w:val="auto"/>
          <w:sz w:val="44"/>
          <w:szCs w:val="44"/>
        </w:rPr>
      </w:pPr>
      <w:r>
        <w:rPr>
          <w:rFonts w:hint="eastAsia" w:ascii="宋体" w:hAnsi="宋体" w:eastAsia="宋体" w:cs="宋体"/>
          <w:color w:val="auto"/>
          <w:sz w:val="44"/>
          <w:szCs w:val="44"/>
        </w:rPr>
        <w:t>目  录</w:t>
      </w:r>
    </w:p>
    <w:p>
      <w:pPr>
        <w:pStyle w:val="40"/>
        <w:spacing w:line="240" w:lineRule="auto"/>
        <w:ind w:firstLine="880"/>
        <w:jc w:val="center"/>
        <w:rPr>
          <w:rFonts w:hint="eastAsia" w:ascii="宋体" w:hAnsi="宋体" w:eastAsia="宋体" w:cs="宋体"/>
          <w:color w:val="auto"/>
          <w:sz w:val="44"/>
          <w:szCs w:val="44"/>
        </w:rPr>
      </w:pPr>
    </w:p>
    <w:p>
      <w:pPr>
        <w:pStyle w:val="16"/>
        <w:tabs>
          <w:tab w:val="right" w:leader="dot" w:pos="8448"/>
        </w:tabs>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TOC \o "1-2" \h \z \u </w:instrText>
      </w:r>
      <w:r>
        <w:rPr>
          <w:rFonts w:hint="eastAsia" w:ascii="宋体" w:hAnsi="宋体" w:eastAsia="宋体" w:cs="宋体"/>
          <w:color w:val="auto"/>
          <w:sz w:val="28"/>
          <w:szCs w:val="28"/>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"_Toc2163" </w:instrText>
      </w:r>
      <w:r>
        <w:rPr>
          <w:rFonts w:hint="eastAsia" w:ascii="宋体" w:hAnsi="宋体" w:eastAsia="宋体" w:cs="宋体"/>
          <w:color w:val="auto"/>
        </w:rPr>
        <w:fldChar w:fldCharType="separate"/>
      </w:r>
      <w:r>
        <w:rPr>
          <w:rFonts w:hint="eastAsia" w:ascii="宋体" w:hAnsi="宋体" w:eastAsia="宋体" w:cs="宋体"/>
          <w:color w:val="auto"/>
          <w:sz w:val="28"/>
          <w:szCs w:val="28"/>
        </w:rPr>
        <w:t>第一章 投标邀请书</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_Toc2163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6"/>
        <w:tabs>
          <w:tab w:val="right" w:leader="dot" w:pos="8448"/>
        </w:tabs>
        <w:spacing w:line="480" w:lineRule="auto"/>
        <w:rPr>
          <w:rFonts w:hint="eastAsia" w:ascii="宋体" w:hAnsi="宋体" w:eastAsia="宋体" w:cs="宋体"/>
          <w:color w:val="auto"/>
          <w:sz w:val="28"/>
          <w:szCs w:val="28"/>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"_Toc32227" </w:instrText>
      </w:r>
      <w:r>
        <w:rPr>
          <w:rFonts w:hint="eastAsia" w:ascii="宋体" w:hAnsi="宋体" w:eastAsia="宋体" w:cs="宋体"/>
          <w:color w:val="auto"/>
        </w:rPr>
        <w:fldChar w:fldCharType="separate"/>
      </w:r>
      <w:r>
        <w:rPr>
          <w:rFonts w:hint="eastAsia" w:ascii="宋体" w:hAnsi="宋体" w:eastAsia="宋体" w:cs="宋体"/>
          <w:color w:val="auto"/>
          <w:sz w:val="28"/>
          <w:szCs w:val="28"/>
        </w:rPr>
        <w:t>第二章 采购需求</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_Toc32227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6</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6"/>
        <w:tabs>
          <w:tab w:val="right" w:leader="dot" w:pos="8448"/>
        </w:tabs>
        <w:spacing w:line="480" w:lineRule="auto"/>
        <w:rPr>
          <w:rFonts w:hint="eastAsia" w:ascii="宋体" w:hAnsi="宋体" w:eastAsia="宋体" w:cs="宋体"/>
          <w:color w:val="auto"/>
          <w:sz w:val="28"/>
          <w:szCs w:val="28"/>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"_Toc16199" </w:instrText>
      </w:r>
      <w:r>
        <w:rPr>
          <w:rFonts w:hint="eastAsia" w:ascii="宋体" w:hAnsi="宋体" w:eastAsia="宋体" w:cs="宋体"/>
          <w:color w:val="auto"/>
        </w:rPr>
        <w:fldChar w:fldCharType="separate"/>
      </w:r>
      <w:r>
        <w:rPr>
          <w:rFonts w:hint="eastAsia" w:ascii="宋体" w:hAnsi="宋体" w:eastAsia="宋体" w:cs="宋体"/>
          <w:color w:val="auto"/>
          <w:sz w:val="28"/>
          <w:szCs w:val="28"/>
        </w:rPr>
        <w:t>第三章 投标人须知</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_Toc16199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28</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6"/>
        <w:tabs>
          <w:tab w:val="right" w:leader="dot" w:pos="8448"/>
        </w:tabs>
        <w:spacing w:line="480" w:lineRule="auto"/>
        <w:rPr>
          <w:rFonts w:hint="eastAsia" w:ascii="宋体" w:hAnsi="宋体" w:eastAsia="宋体" w:cs="宋体"/>
          <w:color w:val="auto"/>
          <w:sz w:val="28"/>
          <w:szCs w:val="28"/>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"_Toc5799" </w:instrText>
      </w:r>
      <w:r>
        <w:rPr>
          <w:rFonts w:hint="eastAsia" w:ascii="宋体" w:hAnsi="宋体" w:eastAsia="宋体" w:cs="宋体"/>
          <w:color w:val="auto"/>
        </w:rPr>
        <w:fldChar w:fldCharType="separate"/>
      </w:r>
      <w:r>
        <w:rPr>
          <w:rFonts w:hint="eastAsia" w:ascii="宋体" w:hAnsi="宋体" w:eastAsia="宋体" w:cs="宋体"/>
          <w:color w:val="auto"/>
          <w:sz w:val="28"/>
          <w:szCs w:val="28"/>
        </w:rPr>
        <w:t>第四章 评标办法</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_Toc5799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48</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6"/>
        <w:tabs>
          <w:tab w:val="right" w:leader="dot" w:pos="8448"/>
        </w:tabs>
        <w:spacing w:line="480" w:lineRule="auto"/>
        <w:rPr>
          <w:rFonts w:hint="eastAsia" w:ascii="宋体" w:hAnsi="宋体" w:eastAsia="宋体" w:cs="宋体"/>
          <w:color w:val="auto"/>
          <w:sz w:val="28"/>
          <w:szCs w:val="28"/>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"_Toc1627" </w:instrText>
      </w:r>
      <w:r>
        <w:rPr>
          <w:rFonts w:hint="eastAsia" w:ascii="宋体" w:hAnsi="宋体" w:eastAsia="宋体" w:cs="宋体"/>
          <w:color w:val="auto"/>
        </w:rPr>
        <w:fldChar w:fldCharType="separate"/>
      </w:r>
      <w:r>
        <w:rPr>
          <w:rFonts w:hint="eastAsia" w:ascii="宋体" w:hAnsi="宋体" w:eastAsia="宋体" w:cs="宋体"/>
          <w:color w:val="auto"/>
          <w:sz w:val="28"/>
          <w:szCs w:val="28"/>
        </w:rPr>
        <w:t>第五章 投标文件格式</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_Toc1627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58</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6"/>
        <w:tabs>
          <w:tab w:val="right" w:leader="dot" w:pos="8448"/>
        </w:tabs>
        <w:spacing w:line="480" w:lineRule="auto"/>
        <w:rPr>
          <w:rFonts w:hint="eastAsia" w:ascii="宋体" w:hAnsi="宋体" w:eastAsia="宋体" w:cs="宋体"/>
          <w:color w:val="auto"/>
          <w:sz w:val="28"/>
          <w:szCs w:val="28"/>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"_Toc23037" </w:instrText>
      </w:r>
      <w:r>
        <w:rPr>
          <w:rFonts w:hint="eastAsia" w:ascii="宋体" w:hAnsi="宋体" w:eastAsia="宋体" w:cs="宋体"/>
          <w:color w:val="auto"/>
        </w:rPr>
        <w:fldChar w:fldCharType="separate"/>
      </w:r>
      <w:r>
        <w:rPr>
          <w:rFonts w:hint="eastAsia" w:ascii="宋体" w:hAnsi="宋体" w:eastAsia="宋体" w:cs="宋体"/>
          <w:color w:val="auto"/>
          <w:sz w:val="28"/>
          <w:szCs w:val="28"/>
        </w:rPr>
        <w:t>附件：</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_Toc23037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70</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6"/>
        <w:tabs>
          <w:tab w:val="right" w:leader="dot" w:pos="8448"/>
        </w:tabs>
        <w:spacing w:line="480" w:lineRule="auto"/>
        <w:rPr>
          <w:rFonts w:hint="eastAsia" w:ascii="宋体" w:hAnsi="宋体" w:eastAsia="宋体" w:cs="宋体"/>
          <w:color w:val="auto"/>
          <w:sz w:val="28"/>
          <w:szCs w:val="28"/>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"_Toc7351" </w:instrText>
      </w:r>
      <w:r>
        <w:rPr>
          <w:rFonts w:hint="eastAsia" w:ascii="宋体" w:hAnsi="宋体" w:eastAsia="宋体" w:cs="宋体"/>
          <w:color w:val="auto"/>
        </w:rPr>
        <w:fldChar w:fldCharType="separate"/>
      </w:r>
      <w:r>
        <w:rPr>
          <w:rFonts w:hint="eastAsia" w:ascii="宋体" w:hAnsi="宋体" w:eastAsia="宋体" w:cs="宋体"/>
          <w:color w:val="auto"/>
          <w:sz w:val="28"/>
          <w:szCs w:val="28"/>
        </w:rPr>
        <w:t>1.南宁市2020年第三批城镇老旧小区改造项目PPP实施方案。</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_Toc7351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70</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6"/>
        <w:tabs>
          <w:tab w:val="right" w:leader="dot" w:pos="8448"/>
        </w:tabs>
        <w:spacing w:line="480" w:lineRule="auto"/>
        <w:rPr>
          <w:rFonts w:hint="eastAsia" w:ascii="宋体" w:hAnsi="宋体" w:eastAsia="宋体" w:cs="宋体"/>
          <w:color w:val="auto"/>
          <w:sz w:val="28"/>
          <w:szCs w:val="28"/>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"_Toc9482" </w:instrText>
      </w:r>
      <w:r>
        <w:rPr>
          <w:rFonts w:hint="eastAsia" w:ascii="宋体" w:hAnsi="宋体" w:eastAsia="宋体" w:cs="宋体"/>
          <w:color w:val="auto"/>
        </w:rPr>
        <w:fldChar w:fldCharType="separate"/>
      </w:r>
      <w:r>
        <w:rPr>
          <w:rFonts w:hint="eastAsia" w:ascii="宋体" w:hAnsi="宋体" w:eastAsia="宋体" w:cs="宋体"/>
          <w:color w:val="auto"/>
          <w:sz w:val="28"/>
          <w:szCs w:val="28"/>
        </w:rPr>
        <w:t>2.南宁市2020年第三批城镇老旧小区改造项目PPP合作协议。</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_Toc9482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70</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6"/>
        <w:tabs>
          <w:tab w:val="right" w:leader="dot" w:pos="8448"/>
        </w:tabs>
        <w:spacing w:line="480" w:lineRule="auto"/>
        <w:rPr>
          <w:rFonts w:hint="eastAsia" w:ascii="宋体" w:hAnsi="宋体" w:eastAsia="宋体" w:cs="宋体"/>
          <w:color w:val="auto"/>
          <w:sz w:val="28"/>
          <w:szCs w:val="28"/>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"_Toc21506" </w:instrText>
      </w:r>
      <w:r>
        <w:rPr>
          <w:rFonts w:hint="eastAsia" w:ascii="宋体" w:hAnsi="宋体" w:eastAsia="宋体" w:cs="宋体"/>
          <w:color w:val="auto"/>
        </w:rPr>
        <w:fldChar w:fldCharType="separate"/>
      </w:r>
      <w:r>
        <w:rPr>
          <w:rFonts w:hint="eastAsia" w:ascii="宋体" w:hAnsi="宋体" w:eastAsia="宋体" w:cs="宋体"/>
          <w:color w:val="auto"/>
          <w:sz w:val="28"/>
          <w:szCs w:val="28"/>
        </w:rPr>
        <w:t>3.南宁市2020年第三批城镇老旧小区改造项目PPP项目合同。</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_Toc21506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70</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6"/>
        <w:tabs>
          <w:tab w:val="right" w:leader="dot" w:pos="8448"/>
        </w:tabs>
        <w:spacing w:line="480" w:lineRule="auto"/>
        <w:rPr>
          <w:rFonts w:hint="eastAsia" w:ascii="宋体" w:hAnsi="宋体" w:eastAsia="宋体" w:cs="宋体"/>
          <w:color w:val="auto"/>
          <w:sz w:val="28"/>
          <w:szCs w:val="28"/>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"_Toc758" </w:instrText>
      </w:r>
      <w:r>
        <w:rPr>
          <w:rFonts w:hint="eastAsia" w:ascii="宋体" w:hAnsi="宋体" w:eastAsia="宋体" w:cs="宋体"/>
          <w:color w:val="auto"/>
        </w:rPr>
        <w:fldChar w:fldCharType="separate"/>
      </w:r>
      <w:r>
        <w:rPr>
          <w:rFonts w:hint="eastAsia" w:ascii="宋体" w:hAnsi="宋体" w:eastAsia="宋体" w:cs="宋体"/>
          <w:color w:val="auto"/>
          <w:sz w:val="28"/>
          <w:szCs w:val="28"/>
        </w:rPr>
        <w:t>4.南宁市2020年第三批城镇老旧小区改造PPP项目工程量清单。</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_Toc758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70</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40"/>
        <w:spacing w:line="480" w:lineRule="auto"/>
        <w:ind w:firstLine="0" w:firstLineChars="0"/>
        <w:rPr>
          <w:rFonts w:hint="eastAsia" w:ascii="宋体" w:hAnsi="宋体" w:eastAsia="宋体" w:cs="宋体"/>
          <w:color w:val="auto"/>
          <w:sz w:val="28"/>
          <w:szCs w:val="28"/>
        </w:rPr>
      </w:pPr>
      <w:r>
        <w:rPr>
          <w:rFonts w:hint="eastAsia" w:ascii="宋体" w:hAnsi="宋体" w:eastAsia="宋体" w:cs="宋体"/>
          <w:color w:val="auto"/>
          <w:sz w:val="28"/>
          <w:szCs w:val="28"/>
        </w:rPr>
        <w:fldChar w:fldCharType="end"/>
      </w:r>
    </w:p>
    <w:p>
      <w:pPr>
        <w:spacing w:line="480" w:lineRule="auto"/>
        <w:rPr>
          <w:rFonts w:hint="eastAsia" w:ascii="宋体" w:hAnsi="宋体" w:eastAsia="宋体" w:cs="宋体"/>
          <w:color w:val="auto"/>
          <w:sz w:val="21"/>
        </w:rPr>
      </w:pPr>
      <w:r>
        <w:rPr>
          <w:rFonts w:hint="eastAsia" w:ascii="宋体" w:hAnsi="宋体" w:eastAsia="宋体" w:cs="宋体"/>
          <w:color w:val="auto"/>
          <w:sz w:val="28"/>
          <w:szCs w:val="28"/>
        </w:rPr>
        <w:br w:type="page"/>
      </w:r>
    </w:p>
    <w:p>
      <w:pPr>
        <w:pStyle w:val="4"/>
        <w:jc w:val="center"/>
        <w:rPr>
          <w:rStyle w:val="39"/>
          <w:rFonts w:hint="eastAsia" w:ascii="宋体" w:hAnsi="宋体" w:eastAsia="宋体" w:cs="宋体"/>
          <w:color w:val="auto"/>
          <w:sz w:val="36"/>
          <w:szCs w:val="36"/>
        </w:rPr>
      </w:pPr>
      <w:bookmarkStart w:id="0" w:name="_Toc2163"/>
      <w:bookmarkStart w:id="358" w:name="_GoBack"/>
      <w:bookmarkEnd w:id="358"/>
      <w:r>
        <w:rPr>
          <w:rStyle w:val="39"/>
          <w:rFonts w:hint="eastAsia" w:ascii="宋体" w:hAnsi="宋体" w:eastAsia="宋体" w:cs="宋体"/>
          <w:color w:val="auto"/>
          <w:sz w:val="36"/>
          <w:szCs w:val="36"/>
        </w:rPr>
        <w:t>第一章   投标邀请书</w:t>
      </w:r>
      <w:bookmarkEnd w:id="0"/>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各通过资格预审的社会资本方：</w:t>
      </w:r>
    </w:p>
    <w:p>
      <w:pPr>
        <w:pStyle w:val="41"/>
        <w:ind w:firstLine="480"/>
        <w:rPr>
          <w:rStyle w:val="39"/>
          <w:rFonts w:hint="eastAsia" w:ascii="宋体" w:hAnsi="宋体" w:eastAsia="宋体" w:cs="宋体"/>
          <w:color w:val="auto"/>
          <w:sz w:val="24"/>
          <w:szCs w:val="24"/>
        </w:rPr>
      </w:pPr>
      <w:r>
        <w:rPr>
          <w:rStyle w:val="39"/>
          <w:rFonts w:hint="eastAsia" w:ascii="宋体" w:hAnsi="宋体" w:eastAsia="宋体" w:cs="宋体"/>
          <w:b w:val="0"/>
          <w:bCs w:val="0"/>
          <w:color w:val="auto"/>
          <w:sz w:val="24"/>
          <w:szCs w:val="24"/>
        </w:rPr>
        <w:t>你单位于</w:t>
      </w:r>
      <w:r>
        <w:rPr>
          <w:rStyle w:val="39"/>
          <w:rFonts w:hint="eastAsia" w:ascii="宋体" w:hAnsi="宋体" w:eastAsia="宋体" w:cs="宋体"/>
          <w:b w:val="0"/>
          <w:bCs w:val="0"/>
          <w:color w:val="auto"/>
          <w:sz w:val="24"/>
          <w:szCs w:val="24"/>
          <w:highlight w:val="yellow"/>
          <w:u w:val="thick"/>
        </w:rPr>
        <w:t>2021年</w:t>
      </w:r>
      <w:r>
        <w:rPr>
          <w:rStyle w:val="39"/>
          <w:rFonts w:hint="eastAsia" w:ascii="宋体" w:hAnsi="宋体" w:eastAsia="宋体" w:cs="宋体"/>
          <w:b w:val="0"/>
          <w:bCs w:val="0"/>
          <w:color w:val="auto"/>
          <w:sz w:val="24"/>
          <w:szCs w:val="24"/>
          <w:highlight w:val="yellow"/>
          <w:u w:val="thick"/>
          <w:lang w:val="en-US" w:eastAsia="zh-CN"/>
        </w:rPr>
        <w:t>7</w:t>
      </w:r>
      <w:r>
        <w:rPr>
          <w:rStyle w:val="39"/>
          <w:rFonts w:hint="eastAsia" w:ascii="宋体" w:hAnsi="宋体" w:eastAsia="宋体" w:cs="宋体"/>
          <w:b w:val="0"/>
          <w:bCs w:val="0"/>
          <w:color w:val="auto"/>
          <w:sz w:val="24"/>
          <w:szCs w:val="24"/>
          <w:highlight w:val="yellow"/>
          <w:u w:val="thick"/>
        </w:rPr>
        <w:t xml:space="preserve"> 月</w:t>
      </w:r>
      <w:r>
        <w:rPr>
          <w:rStyle w:val="39"/>
          <w:rFonts w:hint="eastAsia" w:ascii="宋体" w:hAnsi="宋体" w:eastAsia="宋体" w:cs="宋体"/>
          <w:b w:val="0"/>
          <w:bCs w:val="0"/>
          <w:color w:val="auto"/>
          <w:sz w:val="24"/>
          <w:szCs w:val="24"/>
          <w:highlight w:val="yellow"/>
          <w:u w:val="thick"/>
          <w:lang w:val="en-US" w:eastAsia="zh-CN"/>
        </w:rPr>
        <w:t>20</w:t>
      </w:r>
      <w:r>
        <w:rPr>
          <w:rStyle w:val="39"/>
          <w:rFonts w:hint="eastAsia" w:ascii="宋体" w:hAnsi="宋体" w:eastAsia="宋体" w:cs="宋体"/>
          <w:b w:val="0"/>
          <w:bCs w:val="0"/>
          <w:color w:val="auto"/>
          <w:sz w:val="24"/>
          <w:szCs w:val="24"/>
          <w:highlight w:val="yellow"/>
          <w:u w:val="thick"/>
        </w:rPr>
        <w:t>日（以本项目资格预审公告的时间为准）</w:t>
      </w:r>
      <w:r>
        <w:rPr>
          <w:rStyle w:val="39"/>
          <w:rFonts w:hint="eastAsia" w:ascii="宋体" w:hAnsi="宋体" w:eastAsia="宋体" w:cs="宋体"/>
          <w:b w:val="0"/>
          <w:bCs w:val="0"/>
          <w:color w:val="auto"/>
          <w:sz w:val="24"/>
          <w:szCs w:val="24"/>
        </w:rPr>
        <w:t>参加</w:t>
      </w:r>
      <w:r>
        <w:rPr>
          <w:rStyle w:val="39"/>
          <w:rFonts w:hint="eastAsia" w:ascii="宋体" w:hAnsi="宋体" w:eastAsia="宋体" w:cs="宋体"/>
          <w:b w:val="0"/>
          <w:bCs w:val="0"/>
          <w:color w:val="auto"/>
          <w:sz w:val="24"/>
          <w:szCs w:val="24"/>
          <w:u w:val="thick"/>
        </w:rPr>
        <w:t>南宁市2020年第三批城镇老旧小区改造PPP项目社会资本方采购</w:t>
      </w:r>
      <w:r>
        <w:rPr>
          <w:rStyle w:val="39"/>
          <w:rFonts w:hint="eastAsia" w:ascii="宋体" w:hAnsi="宋体" w:eastAsia="宋体" w:cs="宋体"/>
          <w:b w:val="0"/>
          <w:bCs w:val="0"/>
          <w:color w:val="auto"/>
          <w:sz w:val="24"/>
          <w:szCs w:val="24"/>
        </w:rPr>
        <w:t>项目</w:t>
      </w:r>
      <w:r>
        <w:rPr>
          <w:rStyle w:val="39"/>
          <w:rFonts w:hint="eastAsia" w:ascii="宋体" w:hAnsi="宋体" w:eastAsia="宋体" w:cs="宋体"/>
          <w:color w:val="auto"/>
          <w:sz w:val="24"/>
          <w:szCs w:val="24"/>
        </w:rPr>
        <w:t>的资格预审招标，已通过资格预审，现邀请你单位参加本项目的投标。</w:t>
      </w:r>
    </w:p>
    <w:p>
      <w:pPr>
        <w:pStyle w:val="41"/>
        <w:ind w:left="0" w:leftChars="0" w:firstLine="0" w:firstLineChars="0"/>
        <w:rPr>
          <w:rStyle w:val="39"/>
          <w:rFonts w:hint="eastAsia" w:ascii="宋体" w:hAnsi="宋体" w:eastAsia="宋体" w:cs="宋体"/>
          <w:b/>
          <w:color w:val="auto"/>
          <w:kern w:val="2"/>
          <w:sz w:val="24"/>
          <w:szCs w:val="24"/>
          <w:lang w:val="en-US" w:eastAsia="zh-CN" w:bidi="ar-SA"/>
        </w:rPr>
      </w:pPr>
      <w:r>
        <w:rPr>
          <w:rStyle w:val="39"/>
          <w:rFonts w:hint="eastAsia" w:ascii="宋体" w:hAnsi="宋体" w:eastAsia="宋体" w:cs="宋体"/>
          <w:b/>
          <w:color w:val="auto"/>
          <w:kern w:val="2"/>
          <w:sz w:val="24"/>
          <w:szCs w:val="24"/>
          <w:lang w:val="en-US" w:eastAsia="zh-CN" w:bidi="ar-SA"/>
        </w:rPr>
        <w:t>一、项目基本情况</w:t>
      </w:r>
    </w:p>
    <w:p>
      <w:pPr>
        <w:snapToGrid w:val="0"/>
        <w:spacing w:before="120" w:after="120" w:line="360" w:lineRule="auto"/>
        <w:rPr>
          <w:rStyle w:val="39"/>
          <w:rFonts w:hint="eastAsia" w:ascii="宋体" w:hAnsi="宋体" w:eastAsia="宋体" w:cs="宋体"/>
          <w:b/>
          <w:color w:val="auto"/>
          <w:spacing w:val="-10"/>
          <w:sz w:val="24"/>
        </w:rPr>
      </w:pPr>
      <w:r>
        <w:rPr>
          <w:rStyle w:val="39"/>
          <w:rFonts w:hint="eastAsia" w:ascii="宋体" w:hAnsi="宋体" w:eastAsia="宋体" w:cs="宋体"/>
          <w:b/>
          <w:color w:val="auto"/>
          <w:sz w:val="24"/>
          <w:lang w:val="en-US" w:eastAsia="zh-CN"/>
        </w:rPr>
        <w:t>1</w:t>
      </w:r>
      <w:r>
        <w:rPr>
          <w:rStyle w:val="39"/>
          <w:rFonts w:hint="eastAsia" w:ascii="宋体" w:hAnsi="宋体" w:eastAsia="宋体" w:cs="宋体"/>
          <w:b/>
          <w:color w:val="auto"/>
          <w:sz w:val="24"/>
        </w:rPr>
        <w:t>、项目名称：</w:t>
      </w:r>
      <w:r>
        <w:rPr>
          <w:rStyle w:val="39"/>
          <w:rFonts w:hint="eastAsia" w:ascii="宋体" w:hAnsi="宋体" w:eastAsia="宋体" w:cs="宋体"/>
          <w:b/>
          <w:color w:val="auto"/>
          <w:spacing w:val="-10"/>
          <w:sz w:val="24"/>
        </w:rPr>
        <w:t>南宁市2020年第三批城镇老旧小区改造PPP项目社会资本方采购</w:t>
      </w:r>
    </w:p>
    <w:p>
      <w:pPr>
        <w:adjustRightInd w:val="0"/>
        <w:spacing w:line="480" w:lineRule="auto"/>
        <w:jc w:val="left"/>
        <w:rPr>
          <w:rStyle w:val="39"/>
          <w:rFonts w:hint="eastAsia" w:ascii="宋体" w:hAnsi="宋体" w:eastAsia="宋体" w:cs="宋体"/>
          <w:b/>
          <w:color w:val="auto"/>
          <w:sz w:val="24"/>
          <w:lang w:eastAsia="zh-CN"/>
        </w:rPr>
      </w:pPr>
      <w:r>
        <w:rPr>
          <w:rStyle w:val="39"/>
          <w:rFonts w:hint="eastAsia" w:ascii="宋体" w:hAnsi="宋体" w:eastAsia="宋体" w:cs="宋体"/>
          <w:b/>
          <w:color w:val="auto"/>
          <w:sz w:val="24"/>
          <w:highlight w:val="yellow"/>
          <w:lang w:val="en-US" w:eastAsia="zh-CN"/>
        </w:rPr>
        <w:t>2</w:t>
      </w:r>
      <w:r>
        <w:rPr>
          <w:rStyle w:val="39"/>
          <w:rFonts w:hint="eastAsia" w:ascii="宋体" w:hAnsi="宋体" w:eastAsia="宋体" w:cs="宋体"/>
          <w:b/>
          <w:color w:val="auto"/>
          <w:sz w:val="24"/>
          <w:highlight w:val="yellow"/>
        </w:rPr>
        <w:t>、项目编号：</w:t>
      </w:r>
      <w:r>
        <w:rPr>
          <w:rStyle w:val="39"/>
          <w:rFonts w:hint="eastAsia" w:ascii="宋体" w:hAnsi="宋体" w:cs="宋体"/>
          <w:b/>
          <w:color w:val="auto"/>
          <w:sz w:val="24"/>
          <w:highlight w:val="yellow"/>
          <w:lang w:eastAsia="zh-CN"/>
        </w:rPr>
        <w:t>NNZC2021-G3-990602-GXJZ-1</w:t>
      </w:r>
    </w:p>
    <w:p>
      <w:pPr>
        <w:adjustRightInd w:val="0"/>
        <w:spacing w:line="480" w:lineRule="auto"/>
        <w:jc w:val="left"/>
        <w:rPr>
          <w:rStyle w:val="39"/>
          <w:rFonts w:hint="eastAsia" w:ascii="宋体" w:hAnsi="宋体" w:eastAsia="宋体" w:cs="宋体"/>
          <w:b w:val="0"/>
          <w:bCs/>
          <w:color w:val="auto"/>
          <w:sz w:val="24"/>
          <w:lang w:val="en-US" w:eastAsia="zh-CN"/>
        </w:rPr>
      </w:pPr>
      <w:r>
        <w:rPr>
          <w:rStyle w:val="39"/>
          <w:rFonts w:hint="eastAsia" w:ascii="宋体" w:hAnsi="宋体" w:eastAsia="宋体" w:cs="宋体"/>
          <w:b/>
          <w:color w:val="auto"/>
          <w:sz w:val="24"/>
          <w:lang w:val="en-US" w:eastAsia="zh-CN"/>
        </w:rPr>
        <w:t>3</w:t>
      </w:r>
      <w:r>
        <w:rPr>
          <w:rStyle w:val="39"/>
          <w:rFonts w:hint="eastAsia" w:ascii="宋体" w:hAnsi="宋体" w:eastAsia="宋体" w:cs="宋体"/>
          <w:b/>
          <w:color w:val="auto"/>
          <w:sz w:val="24"/>
        </w:rPr>
        <w:t>、采购内容：</w:t>
      </w:r>
      <w:r>
        <w:rPr>
          <w:rStyle w:val="39"/>
          <w:rFonts w:hint="eastAsia" w:ascii="宋体" w:hAnsi="宋体" w:eastAsia="宋体" w:cs="宋体"/>
          <w:bCs/>
          <w:color w:val="auto"/>
          <w:sz w:val="24"/>
        </w:rPr>
        <w:t>拟采购本项目社会资本，社会资本方全额出资成立项目公司，项目公司在授权范围内负责项目的设计优化、投融资、建设、运营和维护；政府方授权实施机构对本项目进行监督和绩效考核，合同期满后，项目公司将项目资产及相</w:t>
      </w:r>
      <w:r>
        <w:rPr>
          <w:rStyle w:val="39"/>
          <w:rFonts w:hint="eastAsia" w:ascii="宋体" w:hAnsi="宋体" w:eastAsia="宋体" w:cs="宋体"/>
          <w:b w:val="0"/>
          <w:bCs/>
          <w:color w:val="auto"/>
          <w:sz w:val="24"/>
          <w:lang w:val="en-US" w:eastAsia="zh-CN"/>
        </w:rPr>
        <w:t>关权利等无偿移交给政府。</w:t>
      </w:r>
    </w:p>
    <w:p>
      <w:pPr>
        <w:adjustRightInd w:val="0"/>
        <w:spacing w:line="480" w:lineRule="auto"/>
        <w:jc w:val="left"/>
        <w:rPr>
          <w:rStyle w:val="39"/>
          <w:rFonts w:hint="eastAsia" w:ascii="宋体" w:hAnsi="宋体" w:eastAsia="宋体" w:cs="宋体"/>
          <w:b w:val="0"/>
          <w:bCs/>
          <w:color w:val="auto"/>
          <w:sz w:val="24"/>
          <w:lang w:val="en-US" w:eastAsia="zh-CN"/>
        </w:rPr>
      </w:pPr>
      <w:r>
        <w:rPr>
          <w:rStyle w:val="39"/>
          <w:rFonts w:hint="eastAsia" w:ascii="宋体" w:hAnsi="宋体" w:cs="宋体"/>
          <w:b/>
          <w:bCs w:val="0"/>
          <w:color w:val="auto"/>
          <w:sz w:val="24"/>
          <w:lang w:val="en-US" w:eastAsia="zh-CN"/>
        </w:rPr>
        <w:t>4</w:t>
      </w:r>
      <w:r>
        <w:rPr>
          <w:rStyle w:val="39"/>
          <w:rFonts w:hint="eastAsia" w:ascii="宋体" w:hAnsi="宋体" w:eastAsia="宋体" w:cs="宋体"/>
          <w:b/>
          <w:bCs w:val="0"/>
          <w:color w:val="auto"/>
          <w:sz w:val="24"/>
          <w:lang w:val="en-US" w:eastAsia="zh-CN"/>
        </w:rPr>
        <w:t>、合同履行期限</w:t>
      </w:r>
      <w:r>
        <w:rPr>
          <w:rStyle w:val="39"/>
          <w:rFonts w:hint="eastAsia" w:ascii="宋体" w:hAnsi="宋体" w:eastAsia="宋体" w:cs="宋体"/>
          <w:b w:val="0"/>
          <w:bCs/>
          <w:color w:val="auto"/>
          <w:sz w:val="24"/>
          <w:lang w:val="en-US" w:eastAsia="zh-CN"/>
        </w:rPr>
        <w:t>：本项目合作期为20年6个月，自PPP项目合同生效之日起算。其中，建设期计划为6个月，运营期为20年。</w:t>
      </w:r>
    </w:p>
    <w:p>
      <w:pPr>
        <w:adjustRightInd w:val="0"/>
        <w:spacing w:line="480" w:lineRule="auto"/>
        <w:jc w:val="left"/>
        <w:rPr>
          <w:rStyle w:val="39"/>
          <w:rFonts w:hint="eastAsia" w:ascii="宋体" w:hAnsi="宋体" w:eastAsia="宋体" w:cs="宋体"/>
          <w:b/>
          <w:bCs w:val="0"/>
          <w:color w:val="auto"/>
          <w:sz w:val="24"/>
          <w:lang w:val="en-US" w:eastAsia="zh-CN"/>
        </w:rPr>
      </w:pPr>
      <w:r>
        <w:rPr>
          <w:rStyle w:val="39"/>
          <w:rFonts w:hint="eastAsia" w:ascii="宋体" w:hAnsi="宋体" w:cs="宋体"/>
          <w:b/>
          <w:bCs w:val="0"/>
          <w:color w:val="auto"/>
          <w:sz w:val="24"/>
          <w:lang w:val="en-US" w:eastAsia="zh-CN"/>
        </w:rPr>
        <w:t>5</w:t>
      </w:r>
      <w:r>
        <w:rPr>
          <w:rStyle w:val="39"/>
          <w:rFonts w:hint="eastAsia" w:ascii="宋体" w:hAnsi="宋体" w:eastAsia="宋体" w:cs="宋体"/>
          <w:b/>
          <w:bCs w:val="0"/>
          <w:color w:val="auto"/>
          <w:sz w:val="24"/>
          <w:lang w:val="en-US" w:eastAsia="zh-CN"/>
        </w:rPr>
        <w:t>、本项目接受联合体投标。</w:t>
      </w:r>
    </w:p>
    <w:p>
      <w:pPr>
        <w:pStyle w:val="41"/>
        <w:ind w:left="0" w:leftChars="0" w:firstLine="0" w:firstLineChars="0"/>
        <w:rPr>
          <w:rStyle w:val="39"/>
          <w:rFonts w:hint="eastAsia" w:ascii="宋体" w:hAnsi="宋体" w:eastAsia="宋体" w:cs="宋体"/>
          <w:b/>
          <w:color w:val="auto"/>
          <w:kern w:val="2"/>
          <w:sz w:val="24"/>
          <w:szCs w:val="24"/>
          <w:lang w:val="en-US" w:eastAsia="zh-CN" w:bidi="ar-SA"/>
        </w:rPr>
      </w:pPr>
      <w:bookmarkStart w:id="1" w:name="_Toc35393622"/>
      <w:bookmarkStart w:id="2" w:name="_Toc2942"/>
      <w:bookmarkStart w:id="3" w:name="_Toc28359080"/>
      <w:bookmarkStart w:id="4" w:name="_Toc35393791"/>
      <w:bookmarkStart w:id="5" w:name="_Toc15619"/>
      <w:bookmarkStart w:id="6" w:name="_Toc28359003"/>
      <w:r>
        <w:rPr>
          <w:rStyle w:val="39"/>
          <w:rFonts w:hint="eastAsia" w:ascii="宋体" w:hAnsi="宋体" w:eastAsia="宋体" w:cs="宋体"/>
          <w:b/>
          <w:color w:val="auto"/>
          <w:kern w:val="2"/>
          <w:sz w:val="24"/>
          <w:szCs w:val="24"/>
          <w:lang w:val="en-US" w:eastAsia="zh-CN" w:bidi="ar-SA"/>
        </w:rPr>
        <w:t>二、申请人的资格要求</w:t>
      </w:r>
      <w:bookmarkEnd w:id="1"/>
      <w:bookmarkEnd w:id="2"/>
      <w:bookmarkEnd w:id="3"/>
      <w:bookmarkEnd w:id="4"/>
      <w:bookmarkEnd w:id="5"/>
      <w:bookmarkEnd w:id="6"/>
    </w:p>
    <w:p>
      <w:pPr>
        <w:pStyle w:val="41"/>
        <w:ind w:left="0" w:leftChars="0" w:firstLine="0" w:firstLineChars="0"/>
        <w:rPr>
          <w:rStyle w:val="39"/>
          <w:rFonts w:hint="eastAsia" w:ascii="宋体" w:hAnsi="宋体" w:eastAsia="宋体" w:cs="宋体"/>
          <w:b/>
          <w:bCs w:val="0"/>
          <w:color w:val="auto"/>
          <w:kern w:val="2"/>
          <w:sz w:val="24"/>
          <w:szCs w:val="24"/>
          <w:lang w:val="en-US" w:eastAsia="zh-CN" w:bidi="ar-SA"/>
        </w:rPr>
      </w:pPr>
      <w:r>
        <w:rPr>
          <w:rStyle w:val="39"/>
          <w:rFonts w:hint="eastAsia" w:ascii="宋体" w:hAnsi="宋体" w:eastAsia="宋体" w:cs="宋体"/>
          <w:b/>
          <w:bCs w:val="0"/>
          <w:color w:val="auto"/>
          <w:kern w:val="2"/>
          <w:sz w:val="24"/>
          <w:szCs w:val="24"/>
          <w:lang w:val="en-US" w:eastAsia="zh-CN" w:bidi="ar-SA"/>
        </w:rPr>
        <w:t>1、投标人仅限通过资格预审的单位，不允许未参加资格预审的投标人参与投标。</w:t>
      </w:r>
    </w:p>
    <w:p>
      <w:pPr>
        <w:pStyle w:val="41"/>
        <w:ind w:left="0" w:leftChars="0" w:firstLine="0" w:firstLineChars="0"/>
        <w:rPr>
          <w:rStyle w:val="39"/>
          <w:rFonts w:hint="eastAsia" w:ascii="宋体" w:hAnsi="宋体" w:eastAsia="宋体" w:cs="宋体"/>
          <w:b w:val="0"/>
          <w:bCs/>
          <w:color w:val="auto"/>
          <w:kern w:val="2"/>
          <w:sz w:val="24"/>
          <w:szCs w:val="24"/>
          <w:lang w:val="en-US" w:eastAsia="zh-CN" w:bidi="ar-SA"/>
        </w:rPr>
      </w:pPr>
      <w:r>
        <w:rPr>
          <w:rStyle w:val="39"/>
          <w:rFonts w:hint="eastAsia" w:ascii="宋体" w:hAnsi="宋体" w:eastAsia="宋体" w:cs="宋体"/>
          <w:b w:val="0"/>
          <w:bCs/>
          <w:color w:val="auto"/>
          <w:kern w:val="2"/>
          <w:sz w:val="24"/>
          <w:szCs w:val="24"/>
          <w:lang w:val="en-US" w:eastAsia="zh-CN" w:bidi="ar-SA"/>
        </w:rPr>
        <w:t>2、投标人在提交投标文件之后，如果发生任何实质性变化，影响其管理、技术、财务或法律状况，不能满足招标文件要求的，将失去竞争资格，由此产生的一切责任由投标人自行承担。</w:t>
      </w:r>
    </w:p>
    <w:p>
      <w:pPr>
        <w:pStyle w:val="41"/>
        <w:ind w:left="0" w:leftChars="0" w:firstLine="0" w:firstLineChars="0"/>
        <w:rPr>
          <w:rStyle w:val="39"/>
          <w:rFonts w:hint="eastAsia" w:ascii="宋体" w:hAnsi="宋体" w:eastAsia="宋体" w:cs="宋体"/>
          <w:b w:val="0"/>
          <w:bCs/>
          <w:color w:val="auto"/>
          <w:kern w:val="2"/>
          <w:sz w:val="24"/>
          <w:szCs w:val="24"/>
          <w:lang w:val="en-US" w:eastAsia="zh-CN" w:bidi="ar-SA"/>
        </w:rPr>
      </w:pPr>
      <w:r>
        <w:rPr>
          <w:rStyle w:val="39"/>
          <w:rFonts w:hint="eastAsia" w:ascii="宋体" w:hAnsi="宋体" w:eastAsia="宋体" w:cs="宋体"/>
          <w:b w:val="0"/>
          <w:bCs/>
          <w:color w:val="auto"/>
          <w:kern w:val="2"/>
          <w:sz w:val="24"/>
          <w:szCs w:val="24"/>
          <w:lang w:val="en-US" w:eastAsia="zh-CN" w:bidi="ar-SA"/>
        </w:rPr>
        <w:t>3、投标人提供虚假、重大不完整材料或隐瞒可能会影响其技术、财务或法律状况的实质性变化情形的，采购人可在核实后取消该投标人参加投标的资格。</w:t>
      </w:r>
    </w:p>
    <w:p>
      <w:pPr>
        <w:pStyle w:val="41"/>
        <w:ind w:left="0" w:leftChars="0" w:firstLine="0" w:firstLineChars="0"/>
        <w:rPr>
          <w:rStyle w:val="39"/>
          <w:rFonts w:hint="eastAsia" w:ascii="宋体" w:hAnsi="宋体" w:eastAsia="宋体" w:cs="宋体"/>
          <w:b w:val="0"/>
          <w:bCs/>
          <w:color w:val="auto"/>
          <w:kern w:val="2"/>
          <w:sz w:val="24"/>
          <w:szCs w:val="24"/>
          <w:lang w:val="en-US" w:eastAsia="zh-CN" w:bidi="ar-SA"/>
        </w:rPr>
      </w:pPr>
      <w:r>
        <w:rPr>
          <w:rStyle w:val="39"/>
          <w:rFonts w:hint="eastAsia" w:ascii="宋体" w:hAnsi="宋体" w:eastAsia="宋体" w:cs="宋体"/>
          <w:b w:val="0"/>
          <w:bCs/>
          <w:color w:val="auto"/>
          <w:kern w:val="2"/>
          <w:sz w:val="24"/>
          <w:szCs w:val="24"/>
          <w:lang w:val="en-US" w:eastAsia="zh-CN" w:bidi="ar-SA"/>
        </w:rPr>
        <w:t>4、投标人不得直接或间接地与为本次采购的项目内容进行设计、编制规范和其他文件的咨询公司、采购人、采购代理机构或其附属机构有任何关联。</w:t>
      </w:r>
    </w:p>
    <w:p>
      <w:pPr>
        <w:snapToGrid w:val="0"/>
        <w:spacing w:before="120" w:after="120" w:line="360" w:lineRule="auto"/>
        <w:rPr>
          <w:rStyle w:val="39"/>
          <w:rFonts w:hint="eastAsia" w:ascii="宋体" w:hAnsi="宋体" w:eastAsia="宋体" w:cs="宋体"/>
          <w:b/>
          <w:color w:val="auto"/>
          <w:sz w:val="24"/>
        </w:rPr>
      </w:pPr>
      <w:bookmarkStart w:id="7" w:name="_Toc482173658"/>
      <w:bookmarkStart w:id="8" w:name="_Toc24082"/>
      <w:r>
        <w:rPr>
          <w:rStyle w:val="39"/>
          <w:rFonts w:hint="eastAsia" w:ascii="宋体" w:hAnsi="宋体" w:eastAsia="宋体" w:cs="宋体"/>
          <w:b/>
          <w:color w:val="auto"/>
          <w:sz w:val="24"/>
          <w:lang w:val="en-US" w:eastAsia="zh-CN"/>
        </w:rPr>
        <w:t>三</w:t>
      </w:r>
      <w:r>
        <w:rPr>
          <w:rStyle w:val="39"/>
          <w:rFonts w:hint="eastAsia" w:ascii="宋体" w:hAnsi="宋体" w:eastAsia="宋体" w:cs="宋体"/>
          <w:b/>
          <w:color w:val="auto"/>
          <w:sz w:val="24"/>
        </w:rPr>
        <w:t>、招标文件的获取</w:t>
      </w:r>
    </w:p>
    <w:p>
      <w:pPr>
        <w:pStyle w:val="9"/>
        <w:rPr>
          <w:rFonts w:hint="eastAsia" w:ascii="宋体" w:hAnsi="宋体" w:eastAsia="宋体" w:cs="宋体"/>
          <w:color w:val="auto"/>
        </w:rPr>
      </w:pPr>
      <w:r>
        <w:rPr>
          <w:rStyle w:val="39"/>
          <w:rFonts w:hint="eastAsia" w:ascii="宋体" w:hAnsi="宋体" w:eastAsia="宋体" w:cs="宋体"/>
          <w:b/>
          <w:bCs/>
          <w:color w:val="auto"/>
          <w:sz w:val="24"/>
        </w:rPr>
        <w:t>1.时间：</w:t>
      </w:r>
      <w:r>
        <w:rPr>
          <w:rFonts w:hint="eastAsia" w:ascii="宋体" w:hAnsi="宋体" w:eastAsia="宋体" w:cs="宋体"/>
          <w:b/>
          <w:color w:val="auto"/>
          <w:sz w:val="24"/>
          <w:highlight w:val="yellow"/>
          <w:u w:val="single"/>
          <w:lang w:val="zh-CN"/>
        </w:rPr>
        <w:t>2021年</w:t>
      </w:r>
      <w:r>
        <w:rPr>
          <w:rFonts w:hint="eastAsia" w:ascii="宋体" w:hAnsi="宋体" w:cs="宋体"/>
          <w:b/>
          <w:color w:val="auto"/>
          <w:sz w:val="24"/>
          <w:highlight w:val="yellow"/>
          <w:u w:val="single"/>
          <w:lang w:val="en-US" w:eastAsia="zh-CN"/>
        </w:rPr>
        <w:t>07</w:t>
      </w:r>
      <w:r>
        <w:rPr>
          <w:rFonts w:hint="eastAsia" w:ascii="宋体" w:hAnsi="宋体" w:eastAsia="宋体" w:cs="宋体"/>
          <w:b/>
          <w:color w:val="auto"/>
          <w:sz w:val="24"/>
          <w:highlight w:val="yellow"/>
          <w:u w:val="single"/>
          <w:lang w:val="zh-CN"/>
        </w:rPr>
        <w:t>月</w:t>
      </w:r>
      <w:r>
        <w:rPr>
          <w:rFonts w:hint="eastAsia" w:ascii="宋体" w:hAnsi="宋体" w:cs="宋体"/>
          <w:b/>
          <w:color w:val="auto"/>
          <w:sz w:val="24"/>
          <w:highlight w:val="yellow"/>
          <w:u w:val="single"/>
          <w:lang w:val="en-US" w:eastAsia="zh-CN"/>
        </w:rPr>
        <w:t>02</w:t>
      </w:r>
      <w:r>
        <w:rPr>
          <w:rFonts w:hint="eastAsia" w:ascii="宋体" w:hAnsi="宋体" w:eastAsia="宋体" w:cs="宋体"/>
          <w:b/>
          <w:color w:val="auto"/>
          <w:sz w:val="24"/>
          <w:highlight w:val="yellow"/>
          <w:u w:val="single"/>
        </w:rPr>
        <w:t xml:space="preserve"> </w:t>
      </w:r>
      <w:r>
        <w:rPr>
          <w:rFonts w:hint="eastAsia" w:ascii="宋体" w:hAnsi="宋体" w:eastAsia="宋体" w:cs="宋体"/>
          <w:b/>
          <w:color w:val="auto"/>
          <w:sz w:val="24"/>
          <w:highlight w:val="yellow"/>
          <w:u w:val="single"/>
          <w:lang w:val="zh-CN"/>
        </w:rPr>
        <w:t>日0时00分</w:t>
      </w:r>
      <w:r>
        <w:rPr>
          <w:rFonts w:hint="eastAsia" w:ascii="宋体" w:hAnsi="宋体" w:eastAsia="宋体" w:cs="宋体"/>
          <w:b/>
          <w:color w:val="auto"/>
          <w:sz w:val="24"/>
          <w:highlight w:val="yellow"/>
          <w:lang w:val="zh-CN"/>
        </w:rPr>
        <w:t>至</w:t>
      </w:r>
      <w:r>
        <w:rPr>
          <w:rFonts w:hint="eastAsia" w:ascii="宋体" w:hAnsi="宋体" w:eastAsia="宋体" w:cs="宋体"/>
          <w:b/>
          <w:color w:val="auto"/>
          <w:sz w:val="24"/>
          <w:highlight w:val="yellow"/>
          <w:u w:val="single"/>
          <w:lang w:val="zh-CN"/>
        </w:rPr>
        <w:t>2021年</w:t>
      </w:r>
      <w:r>
        <w:rPr>
          <w:rFonts w:hint="eastAsia" w:ascii="宋体" w:hAnsi="宋体" w:cs="宋体"/>
          <w:b/>
          <w:color w:val="auto"/>
          <w:sz w:val="24"/>
          <w:highlight w:val="yellow"/>
          <w:u w:val="single"/>
          <w:lang w:val="en-US" w:eastAsia="zh-CN"/>
        </w:rPr>
        <w:t>07</w:t>
      </w:r>
      <w:r>
        <w:rPr>
          <w:rFonts w:hint="eastAsia" w:ascii="宋体" w:hAnsi="宋体" w:eastAsia="宋体" w:cs="宋体"/>
          <w:b/>
          <w:color w:val="auto"/>
          <w:sz w:val="24"/>
          <w:highlight w:val="yellow"/>
          <w:u w:val="single"/>
          <w:lang w:val="zh-CN"/>
        </w:rPr>
        <w:t>月</w:t>
      </w:r>
      <w:r>
        <w:rPr>
          <w:rFonts w:hint="eastAsia" w:ascii="宋体" w:hAnsi="宋体" w:cs="宋体"/>
          <w:b/>
          <w:color w:val="auto"/>
          <w:sz w:val="24"/>
          <w:highlight w:val="yellow"/>
          <w:u w:val="single"/>
          <w:lang w:val="en-US" w:eastAsia="zh-CN"/>
        </w:rPr>
        <w:t>23</w:t>
      </w:r>
      <w:r>
        <w:rPr>
          <w:rFonts w:hint="eastAsia" w:ascii="宋体" w:hAnsi="宋体" w:eastAsia="宋体" w:cs="宋体"/>
          <w:b/>
          <w:color w:val="auto"/>
          <w:sz w:val="24"/>
          <w:highlight w:val="yellow"/>
          <w:u w:val="single"/>
        </w:rPr>
        <w:t xml:space="preserve"> </w:t>
      </w:r>
      <w:r>
        <w:rPr>
          <w:rFonts w:hint="eastAsia" w:ascii="宋体" w:hAnsi="宋体" w:eastAsia="宋体" w:cs="宋体"/>
          <w:b/>
          <w:color w:val="auto"/>
          <w:sz w:val="24"/>
          <w:highlight w:val="yellow"/>
          <w:u w:val="single"/>
          <w:lang w:val="zh-CN"/>
        </w:rPr>
        <w:t xml:space="preserve">日 </w:t>
      </w:r>
      <w:r>
        <w:rPr>
          <w:rFonts w:hint="eastAsia" w:ascii="宋体" w:hAnsi="宋体" w:cs="宋体"/>
          <w:b/>
          <w:color w:val="auto"/>
          <w:sz w:val="24"/>
          <w:highlight w:val="yellow"/>
          <w:u w:val="single"/>
          <w:lang w:val="en-US" w:eastAsia="zh-CN"/>
        </w:rPr>
        <w:t>13</w:t>
      </w:r>
      <w:r>
        <w:rPr>
          <w:rFonts w:hint="eastAsia" w:ascii="宋体" w:hAnsi="宋体" w:eastAsia="宋体" w:cs="宋体"/>
          <w:b/>
          <w:color w:val="auto"/>
          <w:sz w:val="24"/>
          <w:highlight w:val="yellow"/>
          <w:u w:val="single"/>
          <w:lang w:val="zh-CN"/>
        </w:rPr>
        <w:t>时</w:t>
      </w:r>
      <w:r>
        <w:rPr>
          <w:rFonts w:hint="eastAsia" w:ascii="宋体" w:hAnsi="宋体" w:cs="宋体"/>
          <w:b/>
          <w:color w:val="auto"/>
          <w:sz w:val="24"/>
          <w:highlight w:val="yellow"/>
          <w:u w:val="single"/>
          <w:lang w:val="en-US" w:eastAsia="zh-CN"/>
        </w:rPr>
        <w:t>0</w:t>
      </w:r>
      <w:r>
        <w:rPr>
          <w:rFonts w:hint="eastAsia" w:ascii="宋体" w:hAnsi="宋体" w:eastAsia="宋体" w:cs="宋体"/>
          <w:b/>
          <w:color w:val="auto"/>
          <w:sz w:val="24"/>
          <w:highlight w:val="yellow"/>
          <w:u w:val="single"/>
          <w:lang w:val="zh-CN"/>
        </w:rPr>
        <w:t>0分</w:t>
      </w:r>
    </w:p>
    <w:p>
      <w:pPr>
        <w:snapToGrid w:val="0"/>
        <w:spacing w:before="120" w:after="120" w:line="360" w:lineRule="auto"/>
        <w:rPr>
          <w:rStyle w:val="39"/>
          <w:rFonts w:hint="eastAsia" w:ascii="宋体" w:hAnsi="宋体" w:eastAsia="宋体" w:cs="宋体"/>
          <w:color w:val="auto"/>
          <w:sz w:val="24"/>
        </w:rPr>
      </w:pPr>
      <w:r>
        <w:rPr>
          <w:rStyle w:val="39"/>
          <w:rFonts w:hint="eastAsia" w:ascii="宋体" w:hAnsi="宋体" w:eastAsia="宋体" w:cs="宋体"/>
          <w:b/>
          <w:bCs/>
          <w:color w:val="auto"/>
          <w:sz w:val="24"/>
        </w:rPr>
        <w:t>2.地点：</w:t>
      </w:r>
      <w:r>
        <w:rPr>
          <w:rStyle w:val="39"/>
          <w:rFonts w:hint="eastAsia" w:ascii="宋体" w:hAnsi="宋体" w:eastAsia="宋体" w:cs="宋体"/>
          <w:color w:val="auto"/>
          <w:sz w:val="24"/>
        </w:rPr>
        <w:t>南宁市公共资源交易平台(www.nnggzy.org.cn)的信息公告处。</w:t>
      </w:r>
    </w:p>
    <w:p>
      <w:pPr>
        <w:snapToGrid w:val="0"/>
        <w:spacing w:before="120" w:after="120" w:line="360" w:lineRule="auto"/>
        <w:rPr>
          <w:rStyle w:val="39"/>
          <w:rFonts w:hint="eastAsia" w:ascii="宋体" w:hAnsi="宋体" w:eastAsia="宋体" w:cs="宋体"/>
          <w:color w:val="auto"/>
          <w:sz w:val="24"/>
        </w:rPr>
      </w:pPr>
      <w:r>
        <w:rPr>
          <w:rStyle w:val="39"/>
          <w:rFonts w:hint="eastAsia" w:ascii="宋体" w:hAnsi="宋体" w:eastAsia="宋体" w:cs="宋体"/>
          <w:b/>
          <w:bCs/>
          <w:color w:val="auto"/>
          <w:sz w:val="24"/>
        </w:rPr>
        <w:t>3.获取方式：</w:t>
      </w:r>
      <w:r>
        <w:rPr>
          <w:rStyle w:val="39"/>
          <w:rFonts w:hint="eastAsia" w:ascii="宋体" w:hAnsi="宋体" w:eastAsia="宋体" w:cs="宋体"/>
          <w:color w:val="auto"/>
          <w:sz w:val="24"/>
        </w:rPr>
        <w:t>网上下载。本项目不发放纸质版文件，投标人自行在南宁市公共资源交易平台(www.nnggzy.org.cn)的信息公告处下载采购文件。</w:t>
      </w:r>
    </w:p>
    <w:p>
      <w:pPr>
        <w:pStyle w:val="30"/>
        <w:rPr>
          <w:rStyle w:val="39"/>
          <w:rFonts w:hint="eastAsia" w:ascii="宋体" w:hAnsi="宋体" w:eastAsia="宋体" w:cs="宋体"/>
          <w:color w:val="auto"/>
        </w:rPr>
      </w:pPr>
      <w:r>
        <w:rPr>
          <w:rStyle w:val="39"/>
          <w:rFonts w:hint="eastAsia" w:ascii="宋体" w:hAnsi="宋体" w:eastAsia="宋体" w:cs="宋体"/>
          <w:b/>
          <w:bCs w:val="0"/>
          <w:color w:val="auto"/>
        </w:rPr>
        <w:t>4.售价：</w:t>
      </w:r>
      <w:r>
        <w:rPr>
          <w:rStyle w:val="39"/>
          <w:rFonts w:hint="eastAsia" w:ascii="宋体" w:hAnsi="宋体" w:eastAsia="宋体" w:cs="宋体"/>
          <w:color w:val="auto"/>
        </w:rPr>
        <w:t>招标文件不收取费用。</w:t>
      </w:r>
    </w:p>
    <w:p>
      <w:pPr>
        <w:pStyle w:val="30"/>
        <w:rPr>
          <w:rStyle w:val="39"/>
          <w:rFonts w:hint="eastAsia" w:ascii="宋体" w:hAnsi="宋体" w:eastAsia="宋体" w:cs="宋体"/>
          <w:color w:val="auto"/>
        </w:rPr>
      </w:pPr>
    </w:p>
    <w:p>
      <w:pPr>
        <w:snapToGrid w:val="0"/>
        <w:spacing w:before="120" w:after="120" w:line="360" w:lineRule="auto"/>
        <w:rPr>
          <w:rStyle w:val="39"/>
          <w:rFonts w:hint="eastAsia" w:ascii="宋体" w:hAnsi="宋体" w:eastAsia="宋体" w:cs="宋体"/>
          <w:b/>
          <w:color w:val="auto"/>
          <w:sz w:val="24"/>
        </w:rPr>
      </w:pPr>
      <w:r>
        <w:rPr>
          <w:rStyle w:val="39"/>
          <w:rFonts w:hint="eastAsia" w:ascii="宋体" w:hAnsi="宋体" w:eastAsia="宋体" w:cs="宋体"/>
          <w:b/>
          <w:color w:val="auto"/>
          <w:sz w:val="24"/>
          <w:lang w:val="en-US" w:eastAsia="zh-CN"/>
        </w:rPr>
        <w:t>四</w:t>
      </w:r>
      <w:r>
        <w:rPr>
          <w:rStyle w:val="39"/>
          <w:rFonts w:hint="eastAsia" w:ascii="宋体" w:hAnsi="宋体" w:eastAsia="宋体" w:cs="宋体"/>
          <w:b/>
          <w:color w:val="auto"/>
          <w:sz w:val="24"/>
        </w:rPr>
        <w:t>、提交投标文件截止时间、开标时间和地点</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1.提交投标文件截止时间：2021年</w:t>
      </w:r>
      <w:r>
        <w:rPr>
          <w:rStyle w:val="39"/>
          <w:rFonts w:hint="eastAsia" w:ascii="宋体" w:hAnsi="宋体" w:cs="宋体"/>
          <w:color w:val="auto"/>
          <w:sz w:val="24"/>
          <w:lang w:val="en-US" w:eastAsia="zh-CN"/>
        </w:rPr>
        <w:t>07</w:t>
      </w:r>
      <w:r>
        <w:rPr>
          <w:rStyle w:val="39"/>
          <w:rFonts w:hint="eastAsia" w:ascii="宋体" w:hAnsi="宋体" w:eastAsia="宋体" w:cs="宋体"/>
          <w:color w:val="auto"/>
          <w:sz w:val="24"/>
        </w:rPr>
        <w:t>月</w:t>
      </w:r>
      <w:r>
        <w:rPr>
          <w:rStyle w:val="39"/>
          <w:rFonts w:hint="eastAsia" w:ascii="宋体" w:hAnsi="宋体" w:cs="宋体"/>
          <w:color w:val="auto"/>
          <w:sz w:val="24"/>
          <w:lang w:val="en-US" w:eastAsia="zh-CN"/>
        </w:rPr>
        <w:t>23</w:t>
      </w:r>
      <w:r>
        <w:rPr>
          <w:rStyle w:val="39"/>
          <w:rFonts w:hint="eastAsia" w:ascii="宋体" w:hAnsi="宋体" w:eastAsia="宋体" w:cs="宋体"/>
          <w:color w:val="auto"/>
          <w:sz w:val="24"/>
        </w:rPr>
        <w:t>日</w:t>
      </w:r>
      <w:r>
        <w:rPr>
          <w:rStyle w:val="39"/>
          <w:rFonts w:hint="eastAsia" w:ascii="宋体" w:hAnsi="宋体" w:cs="宋体"/>
          <w:color w:val="auto"/>
          <w:sz w:val="24"/>
          <w:lang w:val="en-US" w:eastAsia="zh-CN"/>
        </w:rPr>
        <w:t>13</w:t>
      </w:r>
      <w:r>
        <w:rPr>
          <w:rStyle w:val="39"/>
          <w:rFonts w:hint="eastAsia" w:ascii="宋体" w:hAnsi="宋体" w:eastAsia="宋体" w:cs="宋体"/>
          <w:color w:val="auto"/>
          <w:sz w:val="24"/>
        </w:rPr>
        <w:t>时</w:t>
      </w:r>
      <w:r>
        <w:rPr>
          <w:rStyle w:val="39"/>
          <w:rFonts w:hint="eastAsia" w:ascii="宋体" w:hAnsi="宋体" w:cs="宋体"/>
          <w:color w:val="auto"/>
          <w:sz w:val="24"/>
          <w:lang w:val="en-US" w:eastAsia="zh-CN"/>
        </w:rPr>
        <w:t>0</w:t>
      </w:r>
      <w:r>
        <w:rPr>
          <w:rStyle w:val="39"/>
          <w:rFonts w:hint="eastAsia" w:ascii="宋体" w:hAnsi="宋体" w:eastAsia="宋体" w:cs="宋体"/>
          <w:color w:val="auto"/>
          <w:sz w:val="24"/>
        </w:rPr>
        <w:t>0分（北京时间）</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2.提交投标文件地点：南宁市良庆区玉洞大道33号（青少年活动中心旁）南宁市市民中心9楼南宁市公共资源交易中心（详见9楼电子显示屏场地安排）</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3.开标时间：2021年</w:t>
      </w:r>
      <w:r>
        <w:rPr>
          <w:rStyle w:val="39"/>
          <w:rFonts w:hint="eastAsia" w:ascii="宋体" w:hAnsi="宋体" w:cs="宋体"/>
          <w:color w:val="auto"/>
          <w:sz w:val="24"/>
          <w:lang w:val="en-US" w:eastAsia="zh-CN"/>
        </w:rPr>
        <w:t>07</w:t>
      </w:r>
      <w:r>
        <w:rPr>
          <w:rStyle w:val="39"/>
          <w:rFonts w:hint="eastAsia" w:ascii="宋体" w:hAnsi="宋体" w:eastAsia="宋体" w:cs="宋体"/>
          <w:color w:val="auto"/>
          <w:sz w:val="24"/>
        </w:rPr>
        <w:t>月</w:t>
      </w:r>
      <w:r>
        <w:rPr>
          <w:rStyle w:val="39"/>
          <w:rFonts w:hint="eastAsia" w:ascii="宋体" w:hAnsi="宋体" w:cs="宋体"/>
          <w:color w:val="auto"/>
          <w:sz w:val="24"/>
          <w:lang w:val="en-US" w:eastAsia="zh-CN"/>
        </w:rPr>
        <w:t>23</w:t>
      </w:r>
      <w:r>
        <w:rPr>
          <w:rStyle w:val="39"/>
          <w:rFonts w:hint="eastAsia" w:ascii="宋体" w:hAnsi="宋体" w:eastAsia="宋体" w:cs="宋体"/>
          <w:color w:val="auto"/>
          <w:sz w:val="24"/>
        </w:rPr>
        <w:t>日</w:t>
      </w:r>
      <w:r>
        <w:rPr>
          <w:rStyle w:val="39"/>
          <w:rFonts w:hint="eastAsia" w:ascii="宋体" w:hAnsi="宋体" w:cs="宋体"/>
          <w:color w:val="auto"/>
          <w:sz w:val="24"/>
          <w:lang w:val="en-US" w:eastAsia="zh-CN"/>
        </w:rPr>
        <w:t>13</w:t>
      </w:r>
      <w:r>
        <w:rPr>
          <w:rStyle w:val="39"/>
          <w:rFonts w:hint="eastAsia" w:ascii="宋体" w:hAnsi="宋体" w:eastAsia="宋体" w:cs="宋体"/>
          <w:color w:val="auto"/>
          <w:sz w:val="24"/>
        </w:rPr>
        <w:t>时</w:t>
      </w:r>
      <w:r>
        <w:rPr>
          <w:rStyle w:val="39"/>
          <w:rFonts w:hint="eastAsia" w:ascii="宋体" w:hAnsi="宋体" w:cs="宋体"/>
          <w:color w:val="auto"/>
          <w:sz w:val="24"/>
          <w:lang w:val="en-US" w:eastAsia="zh-CN"/>
        </w:rPr>
        <w:t>0</w:t>
      </w:r>
      <w:r>
        <w:rPr>
          <w:rStyle w:val="39"/>
          <w:rFonts w:hint="eastAsia" w:ascii="宋体" w:hAnsi="宋体" w:eastAsia="宋体" w:cs="宋体"/>
          <w:color w:val="auto"/>
          <w:sz w:val="24"/>
        </w:rPr>
        <w:t>0分</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4.开标地点：南宁市良庆区玉洞大道33号（青少年活动中心旁）南宁市市民中心9楼南宁市公共资源交易中心（详见9楼电子显示屏场地安排）</w:t>
      </w:r>
    </w:p>
    <w:p>
      <w:pPr>
        <w:snapToGrid w:val="0"/>
        <w:spacing w:before="120" w:after="120" w:line="360" w:lineRule="auto"/>
        <w:rPr>
          <w:rStyle w:val="39"/>
          <w:rFonts w:hint="eastAsia" w:ascii="宋体" w:hAnsi="宋体" w:eastAsia="宋体" w:cs="宋体"/>
          <w:b/>
          <w:color w:val="auto"/>
          <w:sz w:val="24"/>
          <w:lang w:val="en-US" w:eastAsia="zh-CN"/>
        </w:rPr>
      </w:pPr>
      <w:bookmarkStart w:id="9" w:name="_Toc13270"/>
      <w:bookmarkStart w:id="10" w:name="_Toc1616"/>
      <w:r>
        <w:rPr>
          <w:rStyle w:val="39"/>
          <w:rFonts w:hint="eastAsia" w:ascii="宋体" w:hAnsi="宋体" w:eastAsia="宋体" w:cs="宋体"/>
          <w:b/>
          <w:color w:val="auto"/>
          <w:sz w:val="24"/>
          <w:lang w:val="en-US" w:eastAsia="zh-CN"/>
        </w:rPr>
        <w:t>五、公告期限</w:t>
      </w:r>
      <w:bookmarkEnd w:id="9"/>
      <w:bookmarkEnd w:id="10"/>
    </w:p>
    <w:p>
      <w:pPr>
        <w:snapToGrid w:val="0"/>
        <w:spacing w:before="120" w:after="120" w:line="360" w:lineRule="auto"/>
        <w:ind w:firstLine="480" w:firstLineChars="200"/>
        <w:rPr>
          <w:rStyle w:val="39"/>
          <w:rFonts w:hint="eastAsia" w:ascii="宋体" w:hAnsi="宋体" w:eastAsia="宋体" w:cs="宋体"/>
          <w:b/>
          <w:color w:val="auto"/>
          <w:sz w:val="24"/>
          <w:lang w:val="en-US" w:eastAsia="zh-CN"/>
        </w:rPr>
      </w:pPr>
      <w:r>
        <w:rPr>
          <w:rStyle w:val="39"/>
          <w:rFonts w:hint="eastAsia" w:ascii="宋体" w:hAnsi="宋体" w:eastAsia="宋体" w:cs="宋体"/>
          <w:b w:val="0"/>
          <w:bCs/>
          <w:color w:val="auto"/>
          <w:sz w:val="24"/>
          <w:lang w:val="en-US" w:eastAsia="zh-CN"/>
        </w:rPr>
        <w:t>自本项目公告发布之日起5个工作日。</w:t>
      </w:r>
    </w:p>
    <w:p>
      <w:pPr>
        <w:snapToGrid w:val="0"/>
        <w:spacing w:before="120" w:after="120" w:line="360" w:lineRule="auto"/>
        <w:rPr>
          <w:rStyle w:val="39"/>
          <w:rFonts w:hint="eastAsia" w:ascii="宋体" w:hAnsi="宋体" w:eastAsia="宋体" w:cs="宋体"/>
          <w:b/>
          <w:color w:val="auto"/>
          <w:sz w:val="24"/>
        </w:rPr>
      </w:pPr>
      <w:r>
        <w:rPr>
          <w:rStyle w:val="39"/>
          <w:rFonts w:hint="eastAsia" w:ascii="宋体" w:hAnsi="宋体" w:eastAsia="宋体" w:cs="宋体"/>
          <w:b/>
          <w:color w:val="auto"/>
          <w:sz w:val="24"/>
          <w:lang w:val="en-US" w:eastAsia="zh-CN"/>
        </w:rPr>
        <w:t>六</w:t>
      </w:r>
      <w:r>
        <w:rPr>
          <w:rStyle w:val="39"/>
          <w:rFonts w:hint="eastAsia" w:ascii="宋体" w:hAnsi="宋体" w:eastAsia="宋体" w:cs="宋体"/>
          <w:b/>
          <w:color w:val="auto"/>
          <w:sz w:val="24"/>
        </w:rPr>
        <w:t>、</w:t>
      </w:r>
      <w:bookmarkStart w:id="11" w:name="_Toc35393615"/>
      <w:bookmarkStart w:id="12" w:name="_Toc35393784"/>
      <w:r>
        <w:rPr>
          <w:rStyle w:val="39"/>
          <w:rFonts w:hint="eastAsia" w:ascii="宋体" w:hAnsi="宋体" w:eastAsia="宋体" w:cs="宋体"/>
          <w:b/>
          <w:color w:val="auto"/>
          <w:sz w:val="24"/>
        </w:rPr>
        <w:t>其他补充事宜</w:t>
      </w:r>
      <w:bookmarkEnd w:id="11"/>
      <w:bookmarkEnd w:id="12"/>
    </w:p>
    <w:p>
      <w:pPr>
        <w:spacing w:line="400" w:lineRule="exact"/>
        <w:ind w:firstLine="420"/>
        <w:rPr>
          <w:rFonts w:hint="eastAsia" w:ascii="宋体" w:hAnsi="宋体" w:eastAsia="宋体" w:cs="宋体"/>
          <w:color w:val="auto"/>
          <w:sz w:val="24"/>
        </w:rPr>
      </w:pPr>
      <w:r>
        <w:rPr>
          <w:rFonts w:hint="eastAsia" w:ascii="宋体" w:hAnsi="宋体" w:eastAsia="宋体" w:cs="宋体"/>
          <w:color w:val="auto"/>
          <w:sz w:val="24"/>
        </w:rPr>
        <w:t>1.投标保证金：根据《南宁市财政局关于推进政府采购“放管服”工作和深化改革有关内容的通知》（南财采[2019]27号）规定，本项目不需要缴纳投标保证金。</w:t>
      </w:r>
    </w:p>
    <w:p>
      <w:pPr>
        <w:spacing w:line="400" w:lineRule="exact"/>
        <w:ind w:firstLine="420"/>
        <w:rPr>
          <w:rFonts w:hint="eastAsia" w:ascii="宋体" w:hAnsi="宋体" w:eastAsia="宋体" w:cs="宋体"/>
          <w:color w:val="auto"/>
          <w:sz w:val="24"/>
        </w:rPr>
      </w:pPr>
      <w:r>
        <w:rPr>
          <w:rFonts w:hint="eastAsia" w:ascii="宋体" w:hAnsi="宋体" w:eastAsia="宋体" w:cs="宋体"/>
          <w:color w:val="auto"/>
          <w:sz w:val="24"/>
        </w:rPr>
        <w:t>2.投标文件的有关要求：</w:t>
      </w:r>
    </w:p>
    <w:p>
      <w:pPr>
        <w:spacing w:line="400" w:lineRule="exact"/>
        <w:ind w:firstLine="420"/>
        <w:rPr>
          <w:rFonts w:hint="eastAsia" w:ascii="宋体" w:hAnsi="宋体" w:eastAsia="宋体" w:cs="宋体"/>
          <w:color w:val="auto"/>
          <w:sz w:val="24"/>
        </w:rPr>
      </w:pPr>
      <w:r>
        <w:rPr>
          <w:rFonts w:hint="eastAsia" w:ascii="宋体" w:hAnsi="宋体" w:eastAsia="宋体" w:cs="宋体"/>
          <w:color w:val="auto"/>
          <w:sz w:val="24"/>
        </w:rPr>
        <w:t>根据《南宁市机关事务管理局关于恢复非全流程电子招标采购项目现场递交投标（响应）文件模式的通知》南机事函【2021】71号文规定，自2021年4月1日起，凡进入南宁市公共资源统一交易平台（含各县区分支机构）招标采购的非全流程电子化（纸质标）项目，投标人可自行选择到现场递交投标文件或通过邮寄方式寄送，自行决定是否安排授权代表（限1人）现场参加项目的开标活动，并对投标文件作出澄清、说明或补正（如评标评审过程中需要）。</w:t>
      </w:r>
    </w:p>
    <w:p>
      <w:pPr>
        <w:spacing w:line="400" w:lineRule="exact"/>
        <w:ind w:firstLine="420"/>
        <w:rPr>
          <w:rFonts w:hint="eastAsia" w:ascii="宋体" w:hAnsi="宋体" w:eastAsia="宋体" w:cs="宋体"/>
          <w:color w:val="auto"/>
          <w:sz w:val="24"/>
        </w:rPr>
      </w:pPr>
      <w:r>
        <w:rPr>
          <w:rFonts w:hint="eastAsia" w:ascii="宋体" w:hAnsi="宋体" w:eastAsia="宋体" w:cs="宋体"/>
          <w:color w:val="auto"/>
          <w:sz w:val="24"/>
        </w:rPr>
        <w:t xml:space="preserve">（1）现场递交投标文件的，投标人应于投标截止时间前，将投标文件密封提交到南宁市良庆区玉洞大道33号（青少年活动中心旁）南宁市民中心9楼南宁市公共资源交易中心交易厅（详见9楼电子显示屏场地安排），逾期送达的将予以拒收。(注：现场递交投标文件的每家投标人代表仅限1人参加，并严格按照交易中心现场疫情防控各项要求，各自做好相关防护工作，若因投标人代表不符合交易中心现场疫情防控各项要求而无法就进入交易中心，导致无法按时投标的，后果由投标人自行负责) </w:t>
      </w:r>
    </w:p>
    <w:p>
      <w:pPr>
        <w:spacing w:line="400" w:lineRule="exact"/>
        <w:ind w:firstLine="420"/>
        <w:rPr>
          <w:rFonts w:hint="eastAsia" w:ascii="宋体" w:hAnsi="宋体" w:eastAsia="宋体" w:cs="宋体"/>
          <w:color w:val="auto"/>
          <w:sz w:val="24"/>
        </w:rPr>
      </w:pPr>
      <w:r>
        <w:rPr>
          <w:rFonts w:hint="eastAsia" w:ascii="宋体" w:hAnsi="宋体" w:eastAsia="宋体" w:cs="宋体"/>
          <w:color w:val="auto"/>
          <w:sz w:val="24"/>
        </w:rPr>
        <w:t>（2）投标文件通过邮寄快递的方式送达的按以下要求：①投标文件邮寄地址：南宁市盘歌路6号富雅•国际生活广场1号楼五层509号房 ；收件人：黄国明 ；联系电话：0771-2833331  ②接收邮寄包裹的时间为工作日9：00～17：00。投标文件必须在投标截止时间前送达，且须交由采购代理机构当面签收。采购代理机构签收邮寄包裹的时间即为投标人投标文件的送达时间，逾期送达的投标文件无效，后果由投标人自行承担。 ③采购代理机构将在投标文件递交截止时间前一个半小时</w:t>
      </w:r>
      <w:r>
        <w:rPr>
          <w:rFonts w:hint="eastAsia" w:ascii="宋体" w:hAnsi="宋体" w:eastAsia="宋体" w:cs="宋体"/>
          <w:color w:val="auto"/>
          <w:sz w:val="24"/>
          <w:highlight w:val="yellow"/>
        </w:rPr>
        <w:t>（即8时00分）</w:t>
      </w:r>
      <w:r>
        <w:rPr>
          <w:rFonts w:hint="eastAsia" w:ascii="宋体" w:hAnsi="宋体" w:eastAsia="宋体" w:cs="宋体"/>
          <w:color w:val="auto"/>
          <w:sz w:val="24"/>
        </w:rPr>
        <w:t>统一将收到的投标文件运送至南宁市公共资源交易中心，以确保本项目能在投标文件递交截止（开标）时间准时截标。投标人应充分预留投标文件邮寄、送达所需要的时间。为确保疫情防控期间邮寄包裹能及时送达，应选择邮寄运送时间有保障的快递公司寄送投标文件，并确保在投标截止日期1日前送达。 ④投标人在按照招标文件的要求装订、密封好投标文件后，应使用不透明、防水的邮寄袋或箱子再次包裹已密封好的投标文件，并在邮寄袋或箱子上粘牢注明项目名称、项目编号、项目开标日期、有效的电子邮箱、投标人名称、联系人及联系方式等内容的纸质表格。如采购人或采购代理机构收到的邮寄包裹未按上述要求进行标识，造成无法将投标文件提交至该项目截标评审环节的，由此产生的后果由投标人自行承担。</w:t>
      </w:r>
    </w:p>
    <w:p>
      <w:pPr>
        <w:spacing w:line="400" w:lineRule="exact"/>
        <w:ind w:firstLine="420"/>
        <w:rPr>
          <w:rFonts w:hint="eastAsia" w:ascii="宋体" w:hAnsi="宋体" w:eastAsia="宋体" w:cs="宋体"/>
          <w:color w:val="auto"/>
          <w:sz w:val="24"/>
        </w:rPr>
      </w:pPr>
      <w:r>
        <w:rPr>
          <w:rFonts w:hint="eastAsia" w:ascii="宋体" w:hAnsi="宋体" w:eastAsia="宋体" w:cs="宋体"/>
          <w:color w:val="auto"/>
          <w:sz w:val="24"/>
        </w:rPr>
        <w:t>3.关于投标文件澄清的有关要求:</w:t>
      </w:r>
    </w:p>
    <w:p>
      <w:pPr>
        <w:spacing w:line="400" w:lineRule="exact"/>
        <w:ind w:firstLine="420"/>
        <w:rPr>
          <w:rFonts w:hint="eastAsia" w:ascii="宋体" w:hAnsi="宋体" w:eastAsia="宋体" w:cs="宋体"/>
          <w:color w:val="auto"/>
          <w:sz w:val="24"/>
        </w:rPr>
      </w:pPr>
      <w:r>
        <w:rPr>
          <w:rFonts w:hint="eastAsia" w:ascii="宋体" w:hAnsi="宋体" w:eastAsia="宋体" w:cs="宋体"/>
          <w:color w:val="auto"/>
          <w:sz w:val="24"/>
        </w:rPr>
        <w:t>（1）为便于采购代理机构或评标委员会在项目评标期间与投标人取得联系，做好评标过程中投标人对投标文件的澄清、说明或者补正等工作，投标人务必做到：第五章“投标文件格式”中“投标函（格式）”落款处的“电话”务必填写法定代表人或委托代理人的电话联系方式。</w:t>
      </w:r>
    </w:p>
    <w:p>
      <w:pPr>
        <w:spacing w:line="400" w:lineRule="exact"/>
        <w:ind w:firstLine="420"/>
        <w:rPr>
          <w:rFonts w:hint="eastAsia" w:ascii="宋体" w:hAnsi="宋体" w:eastAsia="宋体" w:cs="宋体"/>
          <w:color w:val="auto"/>
          <w:sz w:val="24"/>
        </w:rPr>
      </w:pPr>
      <w:r>
        <w:rPr>
          <w:rFonts w:hint="eastAsia" w:ascii="宋体" w:hAnsi="宋体" w:eastAsia="宋体" w:cs="宋体"/>
          <w:color w:val="auto"/>
          <w:sz w:val="24"/>
        </w:rPr>
        <w:t>（2）开标当天投标人务必保持电话畅通。如果评标过程中需要投标人对投标文件作出澄清、说明或者补正的，评标委员会会通知投标人在规定的时间内通过电子邮件、传真等方式提交。投标人所提交的澄清、说明或者补正等材料必须加盖投标人的公章确认。</w:t>
      </w:r>
    </w:p>
    <w:p>
      <w:pPr>
        <w:spacing w:line="400" w:lineRule="exact"/>
        <w:ind w:firstLine="420"/>
        <w:rPr>
          <w:rFonts w:hint="eastAsia" w:ascii="宋体" w:hAnsi="宋体" w:eastAsia="宋体" w:cs="宋体"/>
          <w:color w:val="auto"/>
          <w:sz w:val="24"/>
        </w:rPr>
      </w:pPr>
      <w:r>
        <w:rPr>
          <w:rFonts w:hint="eastAsia" w:ascii="宋体" w:hAnsi="宋体" w:eastAsia="宋体" w:cs="宋体"/>
          <w:color w:val="auto"/>
          <w:sz w:val="24"/>
        </w:rPr>
        <w:t>（3）如投标人未按上述要求提供联系方式，致使采购代理机构或评标委员会在项目评标期间无法与投标人取得联系的，或因自身原因未能保持电话畅通或未按评标委员会要求提交澄清、说明或者补正的，后果由投标人自行承担。</w:t>
      </w:r>
    </w:p>
    <w:p>
      <w:pPr>
        <w:spacing w:line="400" w:lineRule="exact"/>
        <w:ind w:firstLine="420"/>
        <w:rPr>
          <w:rFonts w:hint="eastAsia" w:ascii="宋体" w:hAnsi="宋体" w:eastAsia="宋体" w:cs="宋体"/>
          <w:color w:val="auto"/>
          <w:sz w:val="24"/>
          <w:lang w:val="zh-CN"/>
        </w:rPr>
      </w:pPr>
      <w:r>
        <w:rPr>
          <w:rFonts w:hint="eastAsia" w:ascii="宋体" w:hAnsi="宋体" w:eastAsia="宋体" w:cs="宋体"/>
          <w:color w:val="auto"/>
          <w:sz w:val="24"/>
          <w:lang w:val="en-US" w:eastAsia="zh-CN"/>
        </w:rPr>
        <w:t>4.</w:t>
      </w:r>
      <w:r>
        <w:rPr>
          <w:rFonts w:hint="eastAsia" w:ascii="宋体" w:hAnsi="宋体" w:eastAsia="宋体" w:cs="宋体"/>
          <w:color w:val="auto"/>
          <w:sz w:val="24"/>
          <w:lang w:val="zh-CN"/>
        </w:rPr>
        <w:t>本次招标公告在以下媒体发布：</w:t>
      </w:r>
    </w:p>
    <w:p>
      <w:pPr>
        <w:spacing w:line="400" w:lineRule="exact"/>
        <w:ind w:firstLine="420"/>
        <w:rPr>
          <w:rFonts w:hint="eastAsia" w:ascii="宋体" w:hAnsi="宋体" w:eastAsia="宋体" w:cs="宋体"/>
          <w:color w:val="auto"/>
          <w:sz w:val="24"/>
          <w:lang w:val="zh-CN"/>
        </w:rPr>
      </w:pPr>
      <w:r>
        <w:rPr>
          <w:rFonts w:hint="eastAsia" w:ascii="宋体" w:hAnsi="宋体" w:eastAsia="宋体" w:cs="宋体"/>
          <w:color w:val="auto"/>
          <w:sz w:val="24"/>
          <w:lang w:val="zh-CN"/>
        </w:rPr>
        <w:t>（1）中国政府采购网：http://www.ccgp.gov.cn/</w:t>
      </w:r>
    </w:p>
    <w:p>
      <w:pPr>
        <w:spacing w:line="400" w:lineRule="exact"/>
        <w:ind w:firstLine="420"/>
        <w:rPr>
          <w:rFonts w:hint="eastAsia" w:ascii="宋体" w:hAnsi="宋体" w:eastAsia="宋体" w:cs="宋体"/>
          <w:color w:val="auto"/>
          <w:sz w:val="24"/>
          <w:lang w:val="zh-CN"/>
        </w:rPr>
      </w:pPr>
      <w:r>
        <w:rPr>
          <w:rFonts w:hint="eastAsia" w:ascii="宋体" w:hAnsi="宋体" w:eastAsia="宋体" w:cs="宋体"/>
          <w:color w:val="auto"/>
          <w:sz w:val="24"/>
          <w:lang w:val="zh-CN"/>
        </w:rPr>
        <w:t xml:space="preserve">（2）广西壮族自治区政府采购网：http://zfcg.gxzf.gov.cn </w:t>
      </w:r>
    </w:p>
    <w:p>
      <w:pPr>
        <w:spacing w:line="400" w:lineRule="exact"/>
        <w:ind w:firstLine="420"/>
        <w:rPr>
          <w:rFonts w:hint="eastAsia" w:ascii="宋体" w:hAnsi="宋体" w:eastAsia="宋体" w:cs="宋体"/>
          <w:color w:val="auto"/>
          <w:sz w:val="24"/>
          <w:lang w:val="zh-CN"/>
        </w:rPr>
      </w:pPr>
      <w:r>
        <w:rPr>
          <w:rFonts w:hint="eastAsia" w:ascii="宋体" w:hAnsi="宋体" w:eastAsia="宋体" w:cs="宋体"/>
          <w:color w:val="auto"/>
          <w:sz w:val="24"/>
          <w:lang w:val="zh-CN"/>
        </w:rPr>
        <w:t>（</w:t>
      </w:r>
      <w:r>
        <w:rPr>
          <w:rFonts w:hint="eastAsia" w:ascii="宋体" w:hAnsi="宋体" w:eastAsia="宋体" w:cs="宋体"/>
          <w:color w:val="auto"/>
          <w:sz w:val="24"/>
        </w:rPr>
        <w:t>3</w:t>
      </w:r>
      <w:r>
        <w:rPr>
          <w:rFonts w:hint="eastAsia" w:ascii="宋体" w:hAnsi="宋体" w:eastAsia="宋体" w:cs="宋体"/>
          <w:color w:val="auto"/>
          <w:sz w:val="24"/>
          <w:lang w:val="zh-CN"/>
        </w:rPr>
        <w:t>）南宁市公共资源交易中心网：https://www.nnggzy.org.cn/gxnnzbw/</w:t>
      </w:r>
    </w:p>
    <w:p>
      <w:pPr>
        <w:spacing w:line="400" w:lineRule="exact"/>
        <w:ind w:firstLine="420"/>
        <w:rPr>
          <w:rFonts w:hint="eastAsia" w:ascii="宋体" w:hAnsi="宋体" w:eastAsia="宋体" w:cs="宋体"/>
          <w:color w:val="auto"/>
          <w:sz w:val="24"/>
          <w:lang w:val="zh-CN"/>
        </w:rPr>
      </w:pPr>
      <w:r>
        <w:rPr>
          <w:rFonts w:hint="eastAsia" w:ascii="宋体" w:hAnsi="宋体" w:eastAsia="宋体" w:cs="宋体"/>
          <w:color w:val="auto"/>
          <w:sz w:val="24"/>
          <w:lang w:val="zh-CN"/>
        </w:rPr>
        <w:t>采购人</w:t>
      </w:r>
      <w:r>
        <w:rPr>
          <w:rFonts w:hint="eastAsia" w:ascii="宋体" w:hAnsi="宋体" w:eastAsia="宋体" w:cs="宋体"/>
          <w:color w:val="auto"/>
          <w:sz w:val="24"/>
        </w:rPr>
        <w:t>可能对本招标公告进行修改，若有修改，将会在上述媒体发布更改通</w:t>
      </w:r>
      <w:r>
        <w:rPr>
          <w:rFonts w:hint="eastAsia" w:ascii="宋体" w:hAnsi="宋体" w:eastAsia="宋体" w:cs="宋体"/>
          <w:color w:val="auto"/>
          <w:sz w:val="24"/>
          <w:lang w:val="zh-CN"/>
        </w:rPr>
        <w:t>知公告。</w:t>
      </w:r>
    </w:p>
    <w:p>
      <w:pPr>
        <w:spacing w:line="400" w:lineRule="exact"/>
        <w:ind w:firstLine="420"/>
        <w:rPr>
          <w:rFonts w:hint="eastAsia" w:ascii="宋体" w:hAnsi="宋体" w:eastAsia="宋体" w:cs="宋体"/>
          <w:color w:val="auto"/>
          <w:sz w:val="24"/>
          <w:lang w:val="zh-CN"/>
        </w:rPr>
      </w:pPr>
      <w:r>
        <w:rPr>
          <w:rFonts w:hint="eastAsia" w:ascii="宋体" w:hAnsi="宋体" w:eastAsia="宋体" w:cs="宋体"/>
          <w:color w:val="auto"/>
          <w:sz w:val="24"/>
          <w:lang w:val="zh-CN"/>
        </w:rPr>
        <w:t>5、为配合采购人进行政府采购项目执行和备案，未在政采云注册的社会资本方可在获取采购文件后登录政采云进行注册，如在操作过程中遇到问题或者需要技术支持，请致电政采云客服热线：400-881-7190。</w:t>
      </w:r>
    </w:p>
    <w:p>
      <w:pPr>
        <w:pStyle w:val="8"/>
        <w:ind w:left="0" w:leftChars="0" w:firstLine="0" w:firstLineChars="0"/>
        <w:rPr>
          <w:rFonts w:hint="eastAsia"/>
          <w:color w:val="auto"/>
        </w:rPr>
      </w:pPr>
    </w:p>
    <w:bookmarkEnd w:id="7"/>
    <w:bookmarkEnd w:id="8"/>
    <w:p>
      <w:pPr>
        <w:snapToGrid w:val="0"/>
        <w:spacing w:before="120" w:after="120" w:line="360" w:lineRule="auto"/>
        <w:rPr>
          <w:rStyle w:val="39"/>
          <w:rFonts w:hint="eastAsia" w:ascii="宋体" w:hAnsi="宋体" w:eastAsia="宋体" w:cs="宋体"/>
          <w:b/>
          <w:color w:val="auto"/>
          <w:sz w:val="24"/>
        </w:rPr>
      </w:pPr>
      <w:r>
        <w:rPr>
          <w:rStyle w:val="39"/>
          <w:rFonts w:hint="eastAsia" w:ascii="宋体" w:hAnsi="宋体" w:eastAsia="宋体" w:cs="宋体"/>
          <w:b/>
          <w:color w:val="auto"/>
          <w:sz w:val="24"/>
          <w:lang w:val="en-US" w:eastAsia="zh-CN"/>
        </w:rPr>
        <w:t>七</w:t>
      </w:r>
      <w:r>
        <w:rPr>
          <w:rStyle w:val="39"/>
          <w:rFonts w:hint="eastAsia" w:ascii="宋体" w:hAnsi="宋体" w:eastAsia="宋体" w:cs="宋体"/>
          <w:b/>
          <w:color w:val="auto"/>
          <w:sz w:val="24"/>
        </w:rPr>
        <w:t>、联系方式</w:t>
      </w:r>
    </w:p>
    <w:p>
      <w:pPr>
        <w:widowControl/>
        <w:shd w:val="clear"/>
        <w:spacing w:line="360" w:lineRule="auto"/>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人信息</w:t>
      </w:r>
    </w:p>
    <w:p>
      <w:pPr>
        <w:shd w:val="clear"/>
        <w:spacing w:line="360" w:lineRule="auto"/>
        <w:ind w:firstLine="240" w:firstLineChars="100"/>
        <w:jc w:val="left"/>
        <w:rPr>
          <w:rFonts w:hint="eastAsia" w:ascii="宋体" w:hAnsi="宋体" w:eastAsia="宋体" w:cs="宋体"/>
          <w:color w:val="auto"/>
          <w:sz w:val="24"/>
          <w:szCs w:val="24"/>
          <w:highlight w:val="none"/>
          <w:u w:val="none"/>
          <w:lang w:eastAsia="zh-CN"/>
        </w:rPr>
      </w:pPr>
      <w:bookmarkStart w:id="13" w:name="_Toc28359009"/>
      <w:bookmarkStart w:id="14" w:name="_Toc28359086"/>
      <w:r>
        <w:rPr>
          <w:rFonts w:hint="eastAsia" w:ascii="宋体" w:hAnsi="宋体" w:eastAsia="宋体" w:cs="宋体"/>
          <w:color w:val="auto"/>
          <w:sz w:val="24"/>
          <w:szCs w:val="24"/>
          <w:highlight w:val="none"/>
          <w:u w:val="none"/>
          <w:lang w:val="en-US" w:eastAsia="zh-CN"/>
        </w:rPr>
        <w:t>名称：南宁市保障住房建设管理服务中心</w:t>
      </w:r>
    </w:p>
    <w:p>
      <w:pPr>
        <w:shd w:val="clear"/>
        <w:spacing w:line="360" w:lineRule="auto"/>
        <w:ind w:firstLine="240" w:firstLineChars="100"/>
        <w:jc w:val="left"/>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rPr>
        <w:t>地址：南宁市园湖北路3</w:t>
      </w:r>
      <w:r>
        <w:rPr>
          <w:rFonts w:hint="eastAsia" w:ascii="宋体" w:hAnsi="宋体" w:eastAsia="宋体" w:cs="宋体"/>
          <w:color w:val="auto"/>
          <w:sz w:val="24"/>
          <w:szCs w:val="24"/>
          <w:highlight w:val="none"/>
          <w:u w:val="none"/>
          <w:lang w:val="en-US" w:eastAsia="zh-CN"/>
        </w:rPr>
        <w:t>7</w:t>
      </w:r>
      <w:r>
        <w:rPr>
          <w:rFonts w:hint="eastAsia" w:ascii="宋体" w:hAnsi="宋体" w:eastAsia="宋体" w:cs="宋体"/>
          <w:color w:val="auto"/>
          <w:sz w:val="24"/>
          <w:szCs w:val="24"/>
          <w:highlight w:val="none"/>
          <w:u w:val="none"/>
        </w:rPr>
        <w:t>号</w:t>
      </w:r>
      <w:r>
        <w:rPr>
          <w:rFonts w:hint="eastAsia" w:ascii="宋体" w:hAnsi="宋体" w:eastAsia="宋体" w:cs="宋体"/>
          <w:color w:val="auto"/>
          <w:sz w:val="24"/>
          <w:szCs w:val="24"/>
          <w:highlight w:val="none"/>
          <w:u w:val="none"/>
          <w:lang w:val="en-US" w:eastAsia="zh-CN"/>
        </w:rPr>
        <w:t xml:space="preserve">  </w:t>
      </w:r>
    </w:p>
    <w:p>
      <w:pPr>
        <w:shd w:val="clear"/>
        <w:spacing w:line="360" w:lineRule="auto"/>
        <w:ind w:firstLine="240" w:firstLineChars="100"/>
        <w:jc w:val="left"/>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rPr>
        <w:t>联系方式：0771</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u w:val="none"/>
        </w:rPr>
        <w:t>2817503 </w:t>
      </w:r>
    </w:p>
    <w:p>
      <w:pPr>
        <w:shd w:val="clear"/>
        <w:spacing w:line="360" w:lineRule="auto"/>
        <w:ind w:firstLine="240" w:firstLineChars="100"/>
        <w:jc w:val="left"/>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7.2</w:t>
      </w:r>
      <w:r>
        <w:rPr>
          <w:rFonts w:hint="eastAsia" w:ascii="宋体" w:hAnsi="宋体" w:eastAsia="宋体" w:cs="宋体"/>
          <w:color w:val="auto"/>
          <w:sz w:val="24"/>
          <w:szCs w:val="24"/>
          <w:highlight w:val="none"/>
          <w:u w:val="none"/>
          <w:lang w:eastAsia="zh-CN"/>
        </w:rPr>
        <w:t>招标</w:t>
      </w:r>
      <w:r>
        <w:rPr>
          <w:rFonts w:hint="eastAsia" w:ascii="宋体" w:hAnsi="宋体" w:eastAsia="宋体" w:cs="宋体"/>
          <w:color w:val="auto"/>
          <w:sz w:val="24"/>
          <w:szCs w:val="24"/>
          <w:highlight w:val="none"/>
          <w:u w:val="none"/>
        </w:rPr>
        <w:t>代理机构信息</w:t>
      </w:r>
      <w:bookmarkEnd w:id="13"/>
      <w:bookmarkEnd w:id="14"/>
    </w:p>
    <w:p>
      <w:pPr>
        <w:shd w:val="clear"/>
        <w:spacing w:line="360" w:lineRule="auto"/>
        <w:ind w:firstLine="240" w:firstLineChars="10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名称：广西景钲工程咨询有限公司</w:t>
      </w:r>
    </w:p>
    <w:p>
      <w:pPr>
        <w:shd w:val="clear"/>
        <w:spacing w:line="360" w:lineRule="auto"/>
        <w:ind w:firstLine="240" w:firstLineChars="10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地址：南宁市良庆区盘歌路6号富雅·国际生活广场</w:t>
      </w:r>
      <w:r>
        <w:rPr>
          <w:rFonts w:hint="eastAsia" w:ascii="宋体" w:hAnsi="宋体" w:eastAsia="宋体" w:cs="宋体"/>
          <w:color w:val="auto"/>
          <w:sz w:val="24"/>
          <w:szCs w:val="24"/>
          <w:highlight w:val="none"/>
          <w:u w:val="none"/>
          <w:lang w:val="en-US" w:eastAsia="zh-CN"/>
        </w:rPr>
        <w:t>A座</w:t>
      </w:r>
      <w:r>
        <w:rPr>
          <w:rFonts w:hint="eastAsia" w:ascii="宋体" w:hAnsi="宋体" w:eastAsia="宋体" w:cs="宋体"/>
          <w:color w:val="auto"/>
          <w:sz w:val="24"/>
          <w:szCs w:val="24"/>
          <w:highlight w:val="none"/>
          <w:u w:val="none"/>
        </w:rPr>
        <w:t>五层509号房</w:t>
      </w:r>
    </w:p>
    <w:p>
      <w:pPr>
        <w:shd w:val="clear"/>
        <w:spacing w:line="360" w:lineRule="auto"/>
        <w:ind w:firstLine="240" w:firstLineChars="10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联系方式：</w:t>
      </w:r>
      <w:bookmarkStart w:id="15" w:name="_Toc28359010"/>
      <w:bookmarkStart w:id="16" w:name="_Toc28359087"/>
      <w:r>
        <w:rPr>
          <w:rFonts w:hint="eastAsia" w:ascii="宋体" w:hAnsi="宋体" w:eastAsia="宋体" w:cs="宋体"/>
          <w:color w:val="auto"/>
          <w:sz w:val="24"/>
          <w:szCs w:val="24"/>
          <w:highlight w:val="none"/>
          <w:u w:val="none"/>
          <w:lang w:val="en-US" w:eastAsia="zh-CN"/>
        </w:rPr>
        <w:t>0771-2833331</w:t>
      </w:r>
    </w:p>
    <w:bookmarkEnd w:id="15"/>
    <w:bookmarkEnd w:id="16"/>
    <w:p>
      <w:pPr>
        <w:shd w:val="clear"/>
        <w:spacing w:line="360" w:lineRule="auto"/>
        <w:ind w:firstLine="240" w:firstLineChars="10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lang w:val="en-US" w:eastAsia="zh-CN"/>
        </w:rPr>
        <w:t>7.</w:t>
      </w:r>
      <w:r>
        <w:rPr>
          <w:rFonts w:hint="eastAsia" w:ascii="宋体" w:hAnsi="宋体" w:cs="宋体"/>
          <w:color w:val="auto"/>
          <w:sz w:val="24"/>
          <w:szCs w:val="24"/>
          <w:highlight w:val="none"/>
          <w:u w:val="none"/>
          <w:lang w:val="en-US" w:eastAsia="zh-CN"/>
        </w:rPr>
        <w:t>3</w:t>
      </w:r>
      <w:r>
        <w:rPr>
          <w:rFonts w:hint="eastAsia" w:ascii="宋体" w:hAnsi="宋体" w:eastAsia="宋体" w:cs="宋体"/>
          <w:color w:val="auto"/>
          <w:sz w:val="24"/>
          <w:szCs w:val="24"/>
          <w:highlight w:val="none"/>
          <w:u w:val="none"/>
        </w:rPr>
        <w:t>监督部门</w:t>
      </w:r>
    </w:p>
    <w:p>
      <w:pPr>
        <w:shd w:val="clear"/>
        <w:spacing w:line="360" w:lineRule="auto"/>
        <w:ind w:firstLine="240" w:firstLineChars="10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名</w:t>
      </w:r>
      <w:r>
        <w:rPr>
          <w:rFonts w:hint="eastAsia" w:ascii="宋体" w:hAnsi="宋体" w:eastAsia="宋体" w:cs="宋体"/>
          <w:color w:val="auto"/>
          <w:sz w:val="24"/>
          <w:szCs w:val="24"/>
          <w:highlight w:val="none"/>
          <w:u w:val="none"/>
        </w:rPr>
        <w:tab/>
      </w:r>
      <w:r>
        <w:rPr>
          <w:rFonts w:hint="eastAsia" w:ascii="宋体" w:hAnsi="宋体" w:eastAsia="宋体" w:cs="宋体"/>
          <w:color w:val="auto"/>
          <w:sz w:val="24"/>
          <w:szCs w:val="24"/>
          <w:highlight w:val="none"/>
          <w:u w:val="none"/>
        </w:rPr>
        <w:t xml:space="preserve">称：南宁市财政局政府采购监督管理办公室 </w:t>
      </w:r>
    </w:p>
    <w:p>
      <w:pPr>
        <w:shd w:val="clear"/>
        <w:spacing w:line="360" w:lineRule="auto"/>
        <w:ind w:firstLine="240" w:firstLineChars="10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地址：南宁市东葛路129号</w:t>
      </w:r>
    </w:p>
    <w:p>
      <w:pPr>
        <w:shd w:val="clear"/>
        <w:spacing w:line="360" w:lineRule="auto"/>
        <w:ind w:firstLine="240" w:firstLineChars="10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电</w:t>
      </w:r>
      <w:r>
        <w:rPr>
          <w:rFonts w:hint="eastAsia" w:ascii="宋体" w:hAnsi="宋体" w:eastAsia="宋体" w:cs="宋体"/>
          <w:color w:val="auto"/>
          <w:sz w:val="24"/>
          <w:szCs w:val="24"/>
          <w:highlight w:val="none"/>
          <w:u w:val="none"/>
        </w:rPr>
        <w:tab/>
      </w:r>
      <w:r>
        <w:rPr>
          <w:rFonts w:hint="eastAsia" w:ascii="宋体" w:hAnsi="宋体" w:eastAsia="宋体" w:cs="宋体"/>
          <w:color w:val="auto"/>
          <w:sz w:val="24"/>
          <w:szCs w:val="24"/>
          <w:highlight w:val="none"/>
          <w:u w:val="none"/>
        </w:rPr>
        <w:t xml:space="preserve">话：0771-2189091 </w:t>
      </w:r>
    </w:p>
    <w:p>
      <w:pPr>
        <w:pStyle w:val="2"/>
        <w:jc w:val="right"/>
        <w:rPr>
          <w:rFonts w:hint="eastAsia" w:ascii="宋体" w:hAnsi="宋体" w:eastAsia="宋体" w:cs="宋体"/>
          <w:color w:val="auto"/>
        </w:rPr>
      </w:pPr>
      <w:r>
        <w:rPr>
          <w:rFonts w:hint="eastAsia" w:ascii="宋体" w:hAnsi="宋体" w:eastAsia="宋体" w:cs="宋体"/>
          <w:color w:val="auto"/>
        </w:rPr>
        <w:t>采购人：南宁市保障住房建设管理服务中心</w:t>
      </w:r>
    </w:p>
    <w:p>
      <w:pPr>
        <w:pStyle w:val="2"/>
        <w:jc w:val="right"/>
        <w:rPr>
          <w:rFonts w:hint="eastAsia" w:ascii="宋体" w:hAnsi="宋体" w:eastAsia="宋体" w:cs="宋体"/>
          <w:color w:val="auto"/>
        </w:rPr>
      </w:pPr>
    </w:p>
    <w:p>
      <w:pPr>
        <w:pStyle w:val="2"/>
        <w:jc w:val="right"/>
        <w:rPr>
          <w:rFonts w:hint="eastAsia" w:ascii="宋体" w:hAnsi="宋体" w:eastAsia="宋体" w:cs="宋体"/>
          <w:color w:val="auto"/>
        </w:rPr>
      </w:pPr>
      <w:r>
        <w:rPr>
          <w:rFonts w:hint="eastAsia" w:ascii="宋体" w:hAnsi="宋体" w:eastAsia="宋体" w:cs="宋体"/>
          <w:color w:val="auto"/>
        </w:rPr>
        <w:t>采购代理机构：</w:t>
      </w:r>
      <w:r>
        <w:rPr>
          <w:rFonts w:hint="eastAsia" w:ascii="宋体" w:hAnsi="宋体" w:eastAsia="宋体" w:cs="宋体"/>
          <w:color w:val="auto"/>
          <w:sz w:val="24"/>
          <w:szCs w:val="24"/>
          <w:highlight w:val="none"/>
          <w:u w:val="none"/>
        </w:rPr>
        <w:t>广西景钲工程咨询有限公司</w:t>
      </w:r>
    </w:p>
    <w:p>
      <w:pPr>
        <w:jc w:val="right"/>
        <w:rPr>
          <w:rFonts w:hint="eastAsia" w:ascii="宋体" w:hAnsi="宋体" w:eastAsia="宋体" w:cs="宋体"/>
          <w:color w:val="auto"/>
        </w:rPr>
      </w:pPr>
    </w:p>
    <w:p>
      <w:pPr>
        <w:spacing w:line="400" w:lineRule="exact"/>
        <w:ind w:firstLine="5040" w:firstLineChars="2100"/>
        <w:rPr>
          <w:rFonts w:hint="eastAsia" w:ascii="宋体" w:hAnsi="宋体" w:eastAsia="宋体" w:cs="宋体"/>
          <w:color w:val="auto"/>
          <w:sz w:val="24"/>
        </w:rPr>
      </w:pPr>
      <w:r>
        <w:rPr>
          <w:rFonts w:hint="eastAsia" w:ascii="宋体" w:hAnsi="宋体" w:eastAsia="宋体" w:cs="宋体"/>
          <w:color w:val="auto"/>
          <w:sz w:val="24"/>
          <w:highlight w:val="yellow"/>
        </w:rPr>
        <w:t>2021 年</w:t>
      </w:r>
      <w:r>
        <w:rPr>
          <w:rFonts w:hint="eastAsia" w:ascii="宋体" w:hAnsi="宋体" w:cs="宋体"/>
          <w:color w:val="auto"/>
          <w:sz w:val="24"/>
          <w:highlight w:val="yellow"/>
          <w:lang w:val="en-US" w:eastAsia="zh-CN"/>
        </w:rPr>
        <w:t>07</w:t>
      </w:r>
      <w:r>
        <w:rPr>
          <w:rFonts w:hint="eastAsia" w:ascii="宋体" w:hAnsi="宋体" w:eastAsia="宋体" w:cs="宋体"/>
          <w:color w:val="auto"/>
          <w:sz w:val="24"/>
          <w:highlight w:val="yellow"/>
        </w:rPr>
        <w:t xml:space="preserve"> 月 </w:t>
      </w:r>
      <w:r>
        <w:rPr>
          <w:rFonts w:hint="eastAsia" w:ascii="宋体" w:hAnsi="宋体" w:cs="宋体"/>
          <w:color w:val="auto"/>
          <w:sz w:val="24"/>
          <w:highlight w:val="yellow"/>
          <w:lang w:val="en-US" w:eastAsia="zh-CN"/>
        </w:rPr>
        <w:t>02</w:t>
      </w:r>
      <w:r>
        <w:rPr>
          <w:rFonts w:hint="eastAsia" w:ascii="宋体" w:hAnsi="宋体" w:eastAsia="宋体" w:cs="宋体"/>
          <w:color w:val="auto"/>
          <w:sz w:val="24"/>
          <w:highlight w:val="yellow"/>
        </w:rPr>
        <w:t xml:space="preserve">  日</w:t>
      </w:r>
    </w:p>
    <w:p>
      <w:pPr>
        <w:pStyle w:val="4"/>
        <w:jc w:val="center"/>
        <w:rPr>
          <w:rStyle w:val="39"/>
          <w:rFonts w:hint="eastAsia" w:ascii="宋体" w:hAnsi="宋体" w:eastAsia="宋体" w:cs="宋体"/>
          <w:color w:val="auto"/>
          <w:sz w:val="36"/>
          <w:szCs w:val="36"/>
        </w:rPr>
      </w:pPr>
      <w:bookmarkStart w:id="17" w:name="_Toc51540409"/>
      <w:r>
        <w:rPr>
          <w:rFonts w:hint="eastAsia" w:ascii="宋体" w:hAnsi="宋体" w:eastAsia="宋体" w:cs="宋体"/>
          <w:color w:val="auto"/>
        </w:rPr>
        <w:br w:type="page"/>
      </w:r>
      <w:bookmarkStart w:id="18" w:name="_Toc32227"/>
      <w:r>
        <w:rPr>
          <w:rStyle w:val="39"/>
          <w:rFonts w:hint="eastAsia" w:ascii="宋体" w:hAnsi="宋体" w:eastAsia="宋体" w:cs="宋体"/>
          <w:color w:val="auto"/>
          <w:sz w:val="36"/>
          <w:szCs w:val="36"/>
        </w:rPr>
        <w:t>第二章 采购需求</w:t>
      </w:r>
      <w:bookmarkEnd w:id="18"/>
    </w:p>
    <w:p>
      <w:pPr>
        <w:pStyle w:val="5"/>
        <w:keepNext/>
        <w:keepLines/>
        <w:spacing w:line="360" w:lineRule="auto"/>
        <w:ind w:left="0" w:right="0"/>
        <w:jc w:val="left"/>
        <w:rPr>
          <w:rFonts w:hint="eastAsia" w:ascii="宋体" w:hAnsi="宋体" w:eastAsia="宋体" w:cs="宋体"/>
          <w:color w:val="auto"/>
          <w:sz w:val="24"/>
          <w:szCs w:val="24"/>
        </w:rPr>
      </w:pPr>
      <w:bookmarkStart w:id="19" w:name="_Toc9530"/>
      <w:bookmarkStart w:id="20" w:name="_Toc2358"/>
      <w:bookmarkStart w:id="21" w:name="_Toc10963"/>
      <w:bookmarkStart w:id="22" w:name="_Toc32628"/>
      <w:bookmarkStart w:id="23" w:name="_Toc24820"/>
      <w:bookmarkStart w:id="24" w:name="_Toc20419"/>
      <w:bookmarkStart w:id="25" w:name="_Toc17775"/>
      <w:bookmarkStart w:id="26" w:name="_Toc16073"/>
      <w:bookmarkStart w:id="27" w:name="_Toc18650"/>
      <w:bookmarkStart w:id="28" w:name="_Toc29660"/>
      <w:bookmarkStart w:id="29" w:name="_Toc12539"/>
      <w:bookmarkStart w:id="30" w:name="_Toc23964"/>
      <w:bookmarkStart w:id="31" w:name="_Toc10366"/>
      <w:bookmarkStart w:id="32" w:name="_Toc18285"/>
      <w:bookmarkStart w:id="33" w:name="_Toc8736"/>
      <w:bookmarkStart w:id="34" w:name="_Toc32018"/>
      <w:bookmarkStart w:id="35" w:name="_Toc16031"/>
      <w:bookmarkStart w:id="36" w:name="_Toc25554"/>
      <w:bookmarkStart w:id="37" w:name="_Toc13152"/>
      <w:bookmarkStart w:id="38" w:name="_Toc31061"/>
      <w:bookmarkStart w:id="39" w:name="_Toc2081"/>
      <w:bookmarkStart w:id="40" w:name="_Toc25991"/>
      <w:r>
        <w:rPr>
          <w:rFonts w:hint="eastAsia" w:ascii="宋体" w:hAnsi="宋体" w:eastAsia="宋体" w:cs="宋体"/>
          <w:color w:val="auto"/>
          <w:sz w:val="24"/>
          <w:szCs w:val="24"/>
        </w:rPr>
        <w:t>一、项目概况</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pPr>
        <w:pStyle w:val="6"/>
        <w:keepNext w:val="0"/>
        <w:keepLines w:val="0"/>
        <w:spacing w:line="360" w:lineRule="auto"/>
        <w:rPr>
          <w:rFonts w:hint="eastAsia" w:ascii="宋体" w:hAnsi="宋体" w:eastAsia="宋体" w:cs="宋体"/>
          <w:color w:val="auto"/>
          <w:sz w:val="24"/>
          <w:szCs w:val="24"/>
        </w:rPr>
      </w:pPr>
      <w:bookmarkStart w:id="41" w:name="_Toc11738"/>
      <w:bookmarkStart w:id="42" w:name="_Toc32202"/>
      <w:bookmarkStart w:id="43" w:name="_Toc670"/>
      <w:bookmarkStart w:id="44" w:name="_Toc29631"/>
      <w:bookmarkStart w:id="45" w:name="_Toc27795"/>
      <w:bookmarkStart w:id="46" w:name="_Toc23288"/>
      <w:bookmarkStart w:id="47" w:name="_Toc8540"/>
      <w:bookmarkStart w:id="48" w:name="_Toc7926"/>
      <w:bookmarkStart w:id="49" w:name="_Toc25553"/>
      <w:bookmarkStart w:id="50" w:name="_Toc6306"/>
      <w:bookmarkStart w:id="51" w:name="_Toc8925"/>
      <w:bookmarkStart w:id="52" w:name="_Toc2069"/>
      <w:bookmarkStart w:id="53" w:name="_Toc24227"/>
      <w:bookmarkStart w:id="54" w:name="_Toc4615"/>
      <w:bookmarkStart w:id="55" w:name="_Toc14229"/>
      <w:bookmarkStart w:id="56" w:name="_Toc4115"/>
      <w:bookmarkStart w:id="57" w:name="_Toc30932"/>
      <w:bookmarkStart w:id="58" w:name="_Toc12679"/>
      <w:bookmarkStart w:id="59" w:name="_Toc9991"/>
      <w:bookmarkStart w:id="60" w:name="_Toc2621"/>
      <w:bookmarkStart w:id="61" w:name="_Toc15877"/>
      <w:r>
        <w:rPr>
          <w:rFonts w:hint="eastAsia" w:ascii="宋体" w:hAnsi="宋体" w:eastAsia="宋体" w:cs="宋体"/>
          <w:color w:val="auto"/>
          <w:sz w:val="24"/>
          <w:szCs w:val="24"/>
        </w:rPr>
        <w:t>（一）项目基本情况</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pPr>
        <w:pStyle w:val="7"/>
        <w:spacing w:before="0" w:after="0" w:line="360" w:lineRule="auto"/>
        <w:ind w:firstLine="482"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1.项目名称</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南宁市2020年第三批城镇老旧小区改造PPP项目社会资本方采购（以下简称“本项目”）</w:t>
      </w:r>
    </w:p>
    <w:p>
      <w:pPr>
        <w:pStyle w:val="7"/>
        <w:spacing w:before="0" w:after="0" w:line="360" w:lineRule="auto"/>
        <w:ind w:firstLine="482"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2.实施机构</w:t>
      </w:r>
    </w:p>
    <w:p>
      <w:pPr>
        <w:pStyle w:val="42"/>
        <w:snapToGrid w:val="0"/>
        <w:spacing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根据《南宁市推进政府和社会资本合作（PPP）工作领导小组办公室关于印发&lt;2021年度南宁市市本级PPP项目开发计划&gt;的通知》（南政社合作办〔2021〕12号），南宁市2020年第三批城镇老旧小区改造PPP项目已列入2021年度南宁市市本级PPP项目开发计划，实施机构为南宁市保障住房建设管理服务中心。实施机构在授权范围内负责项目的准备、采购、监管和移交等工作。</w:t>
      </w:r>
    </w:p>
    <w:bookmarkEnd w:id="61"/>
    <w:p>
      <w:pPr>
        <w:pStyle w:val="7"/>
        <w:spacing w:before="0" w:after="0" w:line="360" w:lineRule="auto"/>
        <w:ind w:firstLine="482"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3.建设地点</w:t>
      </w:r>
    </w:p>
    <w:p>
      <w:pPr>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本项目建设地点位于南宁市江南区、青秀区、西乡塘区、兴宁区。项目位置详见下图：</w:t>
      </w:r>
    </w:p>
    <w:p>
      <w:pPr>
        <w:spacing w:line="360" w:lineRule="auto"/>
        <w:ind w:firstLine="482" w:firstLineChars="200"/>
        <w:jc w:val="center"/>
        <w:rPr>
          <w:rFonts w:hint="eastAsia" w:ascii="宋体" w:hAnsi="宋体" w:eastAsia="宋体" w:cs="宋体"/>
          <w:b/>
          <w:bCs/>
          <w:color w:val="auto"/>
          <w:sz w:val="24"/>
        </w:rPr>
      </w:pPr>
      <w:r>
        <w:rPr>
          <w:rFonts w:hint="eastAsia" w:ascii="宋体" w:hAnsi="宋体" w:eastAsia="宋体" w:cs="宋体"/>
          <w:b/>
          <w:bCs/>
          <w:color w:val="auto"/>
          <w:sz w:val="24"/>
        </w:rPr>
        <w:drawing>
          <wp:anchor distT="0" distB="0" distL="114300" distR="114300" simplePos="0" relativeHeight="251659264" behindDoc="0" locked="0" layoutInCell="1" allowOverlap="1">
            <wp:simplePos x="0" y="0"/>
            <wp:positionH relativeFrom="column">
              <wp:posOffset>-17145</wp:posOffset>
            </wp:positionH>
            <wp:positionV relativeFrom="paragraph">
              <wp:posOffset>29210</wp:posOffset>
            </wp:positionV>
            <wp:extent cx="5037455" cy="3150870"/>
            <wp:effectExtent l="9525" t="9525" r="20320" b="20955"/>
            <wp:wrapTopAndBottom/>
            <wp:docPr id="1" name="图片 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22"/>
                    <pic:cNvPicPr>
                      <a:picLocks noChangeAspect="1"/>
                    </pic:cNvPicPr>
                  </pic:nvPicPr>
                  <pic:blipFill>
                    <a:blip r:embed="rId9"/>
                    <a:stretch>
                      <a:fillRect/>
                    </a:stretch>
                  </pic:blipFill>
                  <pic:spPr>
                    <a:xfrm>
                      <a:off x="0" y="0"/>
                      <a:ext cx="5037455" cy="315087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宋体" w:hAnsi="宋体" w:eastAsia="宋体" w:cs="宋体"/>
          <w:b/>
          <w:bCs/>
          <w:color w:val="auto"/>
          <w:sz w:val="24"/>
        </w:rPr>
        <w:t>图1江南区第七片区项目位置示意图</w:t>
      </w:r>
    </w:p>
    <w:p>
      <w:pPr>
        <w:jc w:val="center"/>
        <w:rPr>
          <w:rFonts w:hint="eastAsia" w:ascii="宋体" w:hAnsi="宋体" w:eastAsia="宋体" w:cs="宋体"/>
          <w:b/>
          <w:bCs/>
          <w:color w:val="auto"/>
          <w:sz w:val="24"/>
        </w:rPr>
      </w:pPr>
      <w:r>
        <w:rPr>
          <w:rFonts w:hint="eastAsia" w:ascii="宋体" w:hAnsi="宋体" w:eastAsia="宋体" w:cs="宋体"/>
          <w:b/>
          <w:bCs/>
          <w:color w:val="auto"/>
          <w:sz w:val="24"/>
        </w:rPr>
        <w:drawing>
          <wp:anchor distT="0" distB="0" distL="114300" distR="114300" simplePos="0" relativeHeight="251660288" behindDoc="0" locked="0" layoutInCell="1" allowOverlap="1">
            <wp:simplePos x="0" y="0"/>
            <wp:positionH relativeFrom="column">
              <wp:posOffset>41275</wp:posOffset>
            </wp:positionH>
            <wp:positionV relativeFrom="paragraph">
              <wp:posOffset>109855</wp:posOffset>
            </wp:positionV>
            <wp:extent cx="5237480" cy="3545840"/>
            <wp:effectExtent l="9525" t="9525" r="10795" b="26035"/>
            <wp:wrapTopAndBottom/>
            <wp:docPr id="3" name="图片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
                    <pic:cNvPicPr>
                      <a:picLocks noChangeAspect="1"/>
                    </pic:cNvPicPr>
                  </pic:nvPicPr>
                  <pic:blipFill>
                    <a:blip r:embed="rId10"/>
                    <a:srcRect r="5507"/>
                    <a:stretch>
                      <a:fillRect/>
                    </a:stretch>
                  </pic:blipFill>
                  <pic:spPr>
                    <a:xfrm>
                      <a:off x="0" y="0"/>
                      <a:ext cx="5237480" cy="354584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宋体" w:hAnsi="宋体" w:eastAsia="宋体" w:cs="宋体"/>
          <w:b/>
          <w:bCs/>
          <w:color w:val="auto"/>
          <w:sz w:val="24"/>
        </w:rPr>
        <w:t>图2 江南区第八片区项目位置示意图</w:t>
      </w:r>
    </w:p>
    <w:p>
      <w:pPr>
        <w:spacing w:line="360" w:lineRule="auto"/>
        <w:jc w:val="center"/>
        <w:rPr>
          <w:rFonts w:hint="eastAsia" w:ascii="宋体" w:hAnsi="宋体" w:eastAsia="宋体" w:cs="宋体"/>
          <w:b/>
          <w:bCs/>
          <w:color w:val="auto"/>
          <w:sz w:val="24"/>
        </w:rPr>
      </w:pPr>
    </w:p>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drawing>
          <wp:anchor distT="0" distB="0" distL="114300" distR="114300" simplePos="0" relativeHeight="251661312" behindDoc="0" locked="0" layoutInCell="1" allowOverlap="1">
            <wp:simplePos x="0" y="0"/>
            <wp:positionH relativeFrom="column">
              <wp:posOffset>-33655</wp:posOffset>
            </wp:positionH>
            <wp:positionV relativeFrom="paragraph">
              <wp:posOffset>111125</wp:posOffset>
            </wp:positionV>
            <wp:extent cx="5349875" cy="3170555"/>
            <wp:effectExtent l="9525" t="9525" r="12700" b="20320"/>
            <wp:wrapTopAndBottom/>
            <wp:docPr id="2" name="图片 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33"/>
                    <pic:cNvPicPr>
                      <a:picLocks noChangeAspect="1"/>
                    </pic:cNvPicPr>
                  </pic:nvPicPr>
                  <pic:blipFill>
                    <a:blip r:embed="rId11"/>
                    <a:stretch>
                      <a:fillRect/>
                    </a:stretch>
                  </pic:blipFill>
                  <pic:spPr>
                    <a:xfrm>
                      <a:off x="0" y="0"/>
                      <a:ext cx="5349875" cy="3170555"/>
                    </a:xfrm>
                    <a:prstGeom prst="rect">
                      <a:avLst/>
                    </a:prstGeom>
                    <a:noFill/>
                    <a:ln w="9525" cap="flat" cmpd="sng">
                      <a:solidFill>
                        <a:srgbClr val="000000"/>
                      </a:solidFill>
                      <a:prstDash val="solid"/>
                      <a:miter/>
                      <a:headEnd type="none" w="med" len="med"/>
                      <a:tailEnd type="none" w="med" len="med"/>
                    </a:ln>
                  </pic:spPr>
                </pic:pic>
              </a:graphicData>
            </a:graphic>
          </wp:anchor>
        </w:drawing>
      </w:r>
    </w:p>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图3 西乡塘区第二片区项目位置示意图</w:t>
      </w:r>
    </w:p>
    <w:p>
      <w:pPr>
        <w:pStyle w:val="2"/>
        <w:jc w:val="center"/>
        <w:rPr>
          <w:rFonts w:hint="eastAsia" w:ascii="宋体" w:hAnsi="宋体" w:eastAsia="宋体" w:cs="宋体"/>
          <w:b/>
          <w:bCs/>
          <w:color w:val="auto"/>
        </w:rPr>
      </w:pPr>
    </w:p>
    <w:p>
      <w:pPr>
        <w:pStyle w:val="2"/>
        <w:jc w:val="center"/>
        <w:rPr>
          <w:rFonts w:hint="eastAsia" w:ascii="宋体" w:hAnsi="宋体" w:eastAsia="宋体" w:cs="宋体"/>
          <w:b/>
          <w:bCs/>
          <w:color w:val="auto"/>
        </w:rPr>
      </w:pPr>
      <w:r>
        <w:rPr>
          <w:rFonts w:hint="eastAsia" w:ascii="宋体" w:hAnsi="宋体" w:eastAsia="宋体" w:cs="宋体"/>
          <w:b/>
          <w:bCs/>
          <w:color w:val="auto"/>
        </w:rPr>
        <w:drawing>
          <wp:anchor distT="0" distB="0" distL="114300" distR="114300" simplePos="0" relativeHeight="251662336" behindDoc="0" locked="0" layoutInCell="1" allowOverlap="1">
            <wp:simplePos x="0" y="0"/>
            <wp:positionH relativeFrom="column">
              <wp:posOffset>9525</wp:posOffset>
            </wp:positionH>
            <wp:positionV relativeFrom="paragraph">
              <wp:posOffset>106680</wp:posOffset>
            </wp:positionV>
            <wp:extent cx="5364480" cy="3063240"/>
            <wp:effectExtent l="9525" t="9525" r="17145" b="13335"/>
            <wp:wrapTopAndBottom/>
            <wp:docPr id="5" name="图片 5"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4"/>
                    <pic:cNvPicPr>
                      <a:picLocks noChangeAspect="1"/>
                    </pic:cNvPicPr>
                  </pic:nvPicPr>
                  <pic:blipFill>
                    <a:blip r:embed="rId12"/>
                    <a:stretch>
                      <a:fillRect/>
                    </a:stretch>
                  </pic:blipFill>
                  <pic:spPr>
                    <a:xfrm>
                      <a:off x="0" y="0"/>
                      <a:ext cx="5364480" cy="306324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宋体" w:hAnsi="宋体" w:eastAsia="宋体" w:cs="宋体"/>
          <w:b/>
          <w:bCs/>
          <w:color w:val="auto"/>
        </w:rPr>
        <w:t>图4 兴宁区第二片区项目位置示意图</w:t>
      </w:r>
    </w:p>
    <w:p>
      <w:pPr>
        <w:pStyle w:val="2"/>
        <w:jc w:val="center"/>
        <w:rPr>
          <w:rFonts w:hint="eastAsia" w:ascii="宋体" w:hAnsi="宋体" w:eastAsia="宋体" w:cs="宋体"/>
          <w:b/>
          <w:bCs/>
          <w:color w:val="auto"/>
        </w:rPr>
      </w:pPr>
      <w:r>
        <w:rPr>
          <w:rFonts w:hint="eastAsia" w:ascii="宋体" w:hAnsi="宋体" w:eastAsia="宋体" w:cs="宋体"/>
          <w:b/>
          <w:bCs/>
          <w:color w:val="auto"/>
        </w:rPr>
        <w:drawing>
          <wp:anchor distT="0" distB="0" distL="114300" distR="114300" simplePos="0" relativeHeight="251663360" behindDoc="0" locked="0" layoutInCell="1" allowOverlap="1">
            <wp:simplePos x="0" y="0"/>
            <wp:positionH relativeFrom="column">
              <wp:posOffset>-3175</wp:posOffset>
            </wp:positionH>
            <wp:positionV relativeFrom="paragraph">
              <wp:posOffset>133985</wp:posOffset>
            </wp:positionV>
            <wp:extent cx="5450840" cy="3144520"/>
            <wp:effectExtent l="9525" t="9525" r="26035" b="27305"/>
            <wp:wrapTopAndBottom/>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450840" cy="314452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宋体" w:hAnsi="宋体" w:eastAsia="宋体" w:cs="宋体"/>
          <w:b/>
          <w:bCs/>
          <w:color w:val="auto"/>
        </w:rPr>
        <w:t>图5 青秀区第一片区项目位置示意图</w:t>
      </w:r>
    </w:p>
    <w:p>
      <w:pPr>
        <w:pStyle w:val="2"/>
        <w:jc w:val="center"/>
        <w:rPr>
          <w:rFonts w:hint="eastAsia" w:ascii="宋体" w:hAnsi="宋体" w:eastAsia="宋体" w:cs="宋体"/>
          <w:b/>
          <w:bCs/>
          <w:color w:val="auto"/>
        </w:rPr>
      </w:pPr>
      <w:r>
        <w:rPr>
          <w:rFonts w:hint="eastAsia" w:ascii="宋体" w:hAnsi="宋体" w:eastAsia="宋体" w:cs="宋体"/>
          <w:color w:val="auto"/>
        </w:rPr>
        <w:drawing>
          <wp:anchor distT="0" distB="0" distL="114300" distR="114300" simplePos="0" relativeHeight="251664384" behindDoc="0" locked="0" layoutInCell="1" allowOverlap="1">
            <wp:simplePos x="0" y="0"/>
            <wp:positionH relativeFrom="column">
              <wp:posOffset>-197485</wp:posOffset>
            </wp:positionH>
            <wp:positionV relativeFrom="paragraph">
              <wp:posOffset>149225</wp:posOffset>
            </wp:positionV>
            <wp:extent cx="5615940" cy="3202305"/>
            <wp:effectExtent l="9525" t="9525" r="13335" b="26670"/>
            <wp:wrapTopAndBottom/>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4"/>
                    <a:stretch>
                      <a:fillRect/>
                    </a:stretch>
                  </pic:blipFill>
                  <pic:spPr>
                    <a:xfrm>
                      <a:off x="0" y="0"/>
                      <a:ext cx="5615940" cy="320230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宋体" w:hAnsi="宋体" w:eastAsia="宋体" w:cs="宋体"/>
          <w:b/>
          <w:bCs/>
          <w:color w:val="auto"/>
        </w:rPr>
        <w:t>图6 青秀区第二片区项目位置示意图</w:t>
      </w:r>
    </w:p>
    <w:p>
      <w:pPr>
        <w:rPr>
          <w:rFonts w:hint="eastAsia" w:ascii="宋体" w:hAnsi="宋体" w:eastAsia="宋体" w:cs="宋体"/>
          <w:color w:val="auto"/>
          <w:sz w:val="24"/>
        </w:rPr>
      </w:pPr>
    </w:p>
    <w:p>
      <w:pPr>
        <w:rPr>
          <w:rFonts w:hint="eastAsia" w:ascii="宋体" w:hAnsi="宋体" w:eastAsia="宋体" w:cs="宋体"/>
          <w:b/>
          <w:bCs/>
          <w:color w:val="auto"/>
          <w:sz w:val="24"/>
        </w:rPr>
      </w:pPr>
    </w:p>
    <w:p>
      <w:pPr>
        <w:pStyle w:val="2"/>
        <w:jc w:val="center"/>
        <w:rPr>
          <w:rFonts w:hint="eastAsia" w:ascii="宋体" w:hAnsi="宋体" w:eastAsia="宋体" w:cs="宋体"/>
          <w:b/>
          <w:bCs/>
          <w:color w:val="auto"/>
        </w:rPr>
      </w:pPr>
      <w:r>
        <w:rPr>
          <w:rFonts w:hint="eastAsia" w:ascii="宋体" w:hAnsi="宋体" w:eastAsia="宋体" w:cs="宋体"/>
          <w:b/>
          <w:bCs/>
          <w:color w:val="auto"/>
        </w:rPr>
        <w:drawing>
          <wp:anchor distT="0" distB="0" distL="114300" distR="114300" simplePos="0" relativeHeight="251665408" behindDoc="0" locked="0" layoutInCell="1" allowOverlap="1">
            <wp:simplePos x="0" y="0"/>
            <wp:positionH relativeFrom="column">
              <wp:posOffset>25400</wp:posOffset>
            </wp:positionH>
            <wp:positionV relativeFrom="paragraph">
              <wp:posOffset>154305</wp:posOffset>
            </wp:positionV>
            <wp:extent cx="5351145" cy="3495040"/>
            <wp:effectExtent l="9525" t="9525" r="11430" b="19685"/>
            <wp:wrapTopAndBottom/>
            <wp:docPr id="8" name="图片 8"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5"/>
                    <pic:cNvPicPr>
                      <a:picLocks noChangeAspect="1"/>
                    </pic:cNvPicPr>
                  </pic:nvPicPr>
                  <pic:blipFill>
                    <a:blip r:embed="rId15"/>
                    <a:stretch>
                      <a:fillRect/>
                    </a:stretch>
                  </pic:blipFill>
                  <pic:spPr>
                    <a:xfrm>
                      <a:off x="0" y="0"/>
                      <a:ext cx="5351145" cy="349504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宋体" w:hAnsi="宋体" w:eastAsia="宋体" w:cs="宋体"/>
          <w:b/>
          <w:bCs/>
          <w:color w:val="auto"/>
        </w:rPr>
        <w:t>图7 2020年南宁市城镇老旧小区改造工程（三期）项目位置示意图</w:t>
      </w:r>
    </w:p>
    <w:p>
      <w:pPr>
        <w:rPr>
          <w:rFonts w:hint="eastAsia" w:ascii="宋体" w:hAnsi="宋体" w:eastAsia="宋体" w:cs="宋体"/>
          <w:b/>
          <w:bCs/>
          <w:color w:val="auto"/>
          <w:sz w:val="24"/>
        </w:rPr>
      </w:pPr>
    </w:p>
    <w:p>
      <w:pPr>
        <w:pStyle w:val="2"/>
        <w:rPr>
          <w:rFonts w:hint="eastAsia" w:ascii="宋体" w:hAnsi="宋体" w:eastAsia="宋体" w:cs="宋体"/>
          <w:color w:val="auto"/>
        </w:rPr>
      </w:pPr>
    </w:p>
    <w:p>
      <w:pPr>
        <w:pStyle w:val="6"/>
        <w:keepNext w:val="0"/>
        <w:keepLines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（二）建设内容及规模</w:t>
      </w:r>
    </w:p>
    <w:p>
      <w:pPr>
        <w:widowControl/>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南宁市2020年第三批城镇老旧小区改造项目包含江南区第七片区、江南区第八片区、西乡塘区第二片区、兴宁区第二片区、青秀区第一片区、青秀区第二片区、南宁市城镇老旧小区改造（三期）共7个子项。</w:t>
      </w:r>
    </w:p>
    <w:p>
      <w:pPr>
        <w:widowControl/>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根据该7个项目的初步设计批复，南宁市2020年第三批城镇老旧小区改造项目涉及改造小区108个，总户数16550户，楼栋数472栋，总建筑面积1494436.08平方米。</w:t>
      </w:r>
      <w:r>
        <w:rPr>
          <w:rFonts w:hint="eastAsia" w:ascii="宋体" w:hAnsi="宋体" w:eastAsia="宋体" w:cs="宋体"/>
          <w:color w:val="auto"/>
          <w:sz w:val="24"/>
          <w:lang w:bidi="ar"/>
        </w:rPr>
        <w:t>改造内容包括楼栋主体改造和小区内公共基础设施改造，其中楼栋主体改造包括小区内的楼栋设施、建筑修缮、房屋建筑提升等；小区内公共基础设施改造包括服务设施、小区道路、市政设施、公共环境、公共空间、公共设施提升等。</w:t>
      </w:r>
      <w:r>
        <w:rPr>
          <w:rFonts w:hint="eastAsia" w:ascii="宋体" w:hAnsi="宋体" w:eastAsia="宋体" w:cs="宋体"/>
          <w:color w:val="auto"/>
          <w:sz w:val="24"/>
        </w:rPr>
        <w:t>项目主要建设内容及规模如下：</w:t>
      </w:r>
    </w:p>
    <w:p>
      <w:pPr>
        <w:pStyle w:val="22"/>
        <w:spacing w:line="360" w:lineRule="auto"/>
        <w:ind w:firstLine="0" w:firstLineChars="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表1-2-1 本项目建设内容一览表</w:t>
      </w:r>
    </w:p>
    <w:tbl>
      <w:tblPr>
        <w:tblStyle w:val="23"/>
        <w:tblW w:w="4998" w:type="pct"/>
        <w:tblInd w:w="0" w:type="dxa"/>
        <w:tblLayout w:type="autofit"/>
        <w:tblCellMar>
          <w:top w:w="0" w:type="dxa"/>
          <w:left w:w="0" w:type="dxa"/>
          <w:bottom w:w="0" w:type="dxa"/>
          <w:right w:w="0" w:type="dxa"/>
        </w:tblCellMar>
      </w:tblPr>
      <w:tblGrid>
        <w:gridCol w:w="580"/>
        <w:gridCol w:w="1573"/>
        <w:gridCol w:w="5535"/>
        <w:gridCol w:w="787"/>
      </w:tblGrid>
      <w:tr>
        <w:tblPrEx>
          <w:tblCellMar>
            <w:top w:w="0" w:type="dxa"/>
            <w:left w:w="0" w:type="dxa"/>
            <w:bottom w:w="0" w:type="dxa"/>
            <w:right w:w="0" w:type="dxa"/>
          </w:tblCellMar>
        </w:tblPrEx>
        <w:trPr>
          <w:trHeight w:val="640" w:hRule="atLeast"/>
          <w:tblHeader/>
        </w:trPr>
        <w:tc>
          <w:tcPr>
            <w:tcW w:w="34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b/>
                <w:color w:val="auto"/>
                <w:sz w:val="24"/>
              </w:rPr>
            </w:pPr>
            <w:r>
              <w:rPr>
                <w:rFonts w:hint="eastAsia" w:ascii="宋体" w:hAnsi="宋体" w:eastAsia="宋体" w:cs="宋体"/>
                <w:b/>
                <w:color w:val="auto"/>
                <w:kern w:val="0"/>
                <w:sz w:val="24"/>
                <w:lang w:bidi="ar"/>
              </w:rPr>
              <w:t>序号</w:t>
            </w:r>
          </w:p>
        </w:tc>
        <w:tc>
          <w:tcPr>
            <w:tcW w:w="92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b/>
                <w:color w:val="auto"/>
                <w:sz w:val="24"/>
              </w:rPr>
            </w:pPr>
            <w:r>
              <w:rPr>
                <w:rFonts w:hint="eastAsia" w:ascii="宋体" w:hAnsi="宋体" w:eastAsia="宋体" w:cs="宋体"/>
                <w:b/>
                <w:color w:val="auto"/>
                <w:kern w:val="0"/>
                <w:sz w:val="24"/>
                <w:lang w:bidi="ar"/>
              </w:rPr>
              <w:t>项目名称</w:t>
            </w:r>
          </w:p>
        </w:tc>
        <w:tc>
          <w:tcPr>
            <w:tcW w:w="326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b/>
                <w:color w:val="auto"/>
                <w:sz w:val="24"/>
              </w:rPr>
            </w:pPr>
            <w:r>
              <w:rPr>
                <w:rFonts w:hint="eastAsia" w:ascii="宋体" w:hAnsi="宋体" w:eastAsia="宋体" w:cs="宋体"/>
                <w:b/>
                <w:color w:val="auto"/>
                <w:kern w:val="0"/>
                <w:sz w:val="24"/>
                <w:lang w:bidi="ar"/>
              </w:rPr>
              <w:t>建设内容及规模</w:t>
            </w:r>
          </w:p>
        </w:tc>
        <w:tc>
          <w:tcPr>
            <w:tcW w:w="464"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b/>
                <w:color w:val="auto"/>
                <w:sz w:val="24"/>
              </w:rPr>
            </w:pPr>
            <w:r>
              <w:rPr>
                <w:rFonts w:hint="eastAsia" w:ascii="宋体" w:hAnsi="宋体" w:eastAsia="宋体" w:cs="宋体"/>
                <w:b/>
                <w:color w:val="auto"/>
                <w:sz w:val="24"/>
              </w:rPr>
              <w:t>备注</w:t>
            </w:r>
          </w:p>
        </w:tc>
      </w:tr>
      <w:tr>
        <w:tblPrEx>
          <w:tblCellMar>
            <w:top w:w="0" w:type="dxa"/>
            <w:left w:w="0" w:type="dxa"/>
            <w:bottom w:w="0" w:type="dxa"/>
            <w:right w:w="0" w:type="dxa"/>
          </w:tblCellMar>
        </w:tblPrEx>
        <w:trPr>
          <w:trHeight w:val="1300" w:hRule="atLeast"/>
        </w:trPr>
        <w:tc>
          <w:tcPr>
            <w:tcW w:w="342" w:type="pc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w:t>
            </w:r>
          </w:p>
        </w:tc>
        <w:tc>
          <w:tcPr>
            <w:tcW w:w="928" w:type="pc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4"/>
                <w:lang w:bidi="ar"/>
              </w:rPr>
            </w:pPr>
            <w:r>
              <w:rPr>
                <w:rFonts w:hint="eastAsia" w:ascii="宋体" w:hAnsi="宋体" w:eastAsia="宋体" w:cs="宋体"/>
                <w:color w:val="auto"/>
                <w:kern w:val="0"/>
                <w:sz w:val="24"/>
                <w:lang w:bidi="ar"/>
              </w:rPr>
              <w:t>2020年南宁市城镇老旧小区改造工程江南区第七片区</w:t>
            </w:r>
          </w:p>
        </w:tc>
        <w:tc>
          <w:tcPr>
            <w:tcW w:w="3265"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ind w:firstLine="480" w:firstLineChars="200"/>
              <w:jc w:val="left"/>
              <w:textAlignment w:val="center"/>
              <w:rPr>
                <w:rFonts w:hint="eastAsia" w:ascii="宋体" w:hAnsi="宋体" w:eastAsia="宋体" w:cs="宋体"/>
                <w:color w:val="auto"/>
                <w:sz w:val="24"/>
                <w:lang w:bidi="ar"/>
              </w:rPr>
            </w:pPr>
            <w:r>
              <w:rPr>
                <w:rFonts w:hint="eastAsia" w:ascii="宋体" w:hAnsi="宋体" w:eastAsia="宋体" w:cs="宋体"/>
                <w:color w:val="auto"/>
                <w:sz w:val="24"/>
              </w:rPr>
              <w:t>拟对生化所宿舍、银宇小区、武警生活区、南糖铁路工区生活区、新福花园、福利五金厂宿舍、石柱岭一路17号模具生活区、外经贸宿舍、南宁市建行生活区等9个老旧小区进行改造，涉及总户数992户，楼栋数27栋，总建筑面积约61851.36平方米。</w:t>
            </w:r>
          </w:p>
        </w:tc>
        <w:tc>
          <w:tcPr>
            <w:tcW w:w="464" w:type="pc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p>
        </w:tc>
      </w:tr>
      <w:tr>
        <w:tblPrEx>
          <w:tblCellMar>
            <w:top w:w="0" w:type="dxa"/>
            <w:left w:w="0" w:type="dxa"/>
            <w:bottom w:w="0" w:type="dxa"/>
            <w:right w:w="0" w:type="dxa"/>
          </w:tblCellMar>
        </w:tblPrEx>
        <w:trPr>
          <w:trHeight w:val="1300" w:hRule="atLeast"/>
        </w:trPr>
        <w:tc>
          <w:tcPr>
            <w:tcW w:w="342" w:type="pc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w:t>
            </w:r>
          </w:p>
        </w:tc>
        <w:tc>
          <w:tcPr>
            <w:tcW w:w="1573"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2020年南宁市城镇老旧小区改造工程江南区第八片区</w:t>
            </w:r>
          </w:p>
        </w:tc>
        <w:tc>
          <w:tcPr>
            <w:tcW w:w="5535"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ind w:firstLine="480" w:firstLineChars="200"/>
              <w:jc w:val="left"/>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拟对江南区南宁市丽江村小区，皮件厂生活区等2个老旧小区进行改造，涉及总户数1572户，楼栋数29栋，总建筑面积约133040.85平方米。</w:t>
            </w:r>
          </w:p>
        </w:tc>
        <w:tc>
          <w:tcPr>
            <w:tcW w:w="464" w:type="pc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p>
        </w:tc>
      </w:tr>
      <w:tr>
        <w:tblPrEx>
          <w:tblCellMar>
            <w:top w:w="0" w:type="dxa"/>
            <w:left w:w="0" w:type="dxa"/>
            <w:bottom w:w="0" w:type="dxa"/>
            <w:right w:w="0" w:type="dxa"/>
          </w:tblCellMar>
        </w:tblPrEx>
        <w:trPr>
          <w:trHeight w:val="387" w:hRule="atLeast"/>
        </w:trPr>
        <w:tc>
          <w:tcPr>
            <w:tcW w:w="3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3</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2020年南宁市城镇老旧小区改造工程西乡塘区第二片区</w:t>
            </w:r>
          </w:p>
        </w:tc>
        <w:tc>
          <w:tcPr>
            <w:tcW w:w="326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ind w:firstLine="480" w:firstLineChars="200"/>
              <w:jc w:val="left"/>
              <w:textAlignment w:val="center"/>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拟对西乡塘区郊区建环局小区、北湖安居小区、百益园食品公司宿舍、邮电小区、西乡塘区放映公司、电信宿舍(秀厢大道东段8号)、原农垦小区、乳品厂宿舍、友谊公司宿舍、区医保仓、崇左林业勘测设计院、瑞丰花园、南宁市崇左粮食局宿舍、盲聋哑学校、秀湖花园一区、秀 湖花园二区、邕江汽修厂、明秀西园1、2栋、明秀西园6、7栋、恒达花园、广西沿海铁路铁路公司机关家属区、电信宿舍(明秀东路169号)等22个老旧小区进行改造，涉及总户数6008户，楼栋数102栋，总建筑面积约465312.8平方米。</w:t>
            </w:r>
          </w:p>
        </w:tc>
        <w:tc>
          <w:tcPr>
            <w:tcW w:w="464"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p>
        </w:tc>
      </w:tr>
      <w:tr>
        <w:tblPrEx>
          <w:tblCellMar>
            <w:top w:w="0" w:type="dxa"/>
            <w:left w:w="0" w:type="dxa"/>
            <w:bottom w:w="0" w:type="dxa"/>
            <w:right w:w="0" w:type="dxa"/>
          </w:tblCellMar>
        </w:tblPrEx>
        <w:trPr>
          <w:trHeight w:val="1300" w:hRule="atLeast"/>
        </w:trPr>
        <w:tc>
          <w:tcPr>
            <w:tcW w:w="3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4</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2020年南宁市城镇老旧小区改造工程兴宁区第二片区</w:t>
            </w:r>
          </w:p>
        </w:tc>
        <w:tc>
          <w:tcPr>
            <w:tcW w:w="326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ind w:firstLine="480" w:firstLineChars="200"/>
              <w:jc w:val="left"/>
              <w:textAlignment w:val="center"/>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拟对兴宁区南宁市机关事务管理局共和路158宿舍、南宁市土产公司宿舍区、华强路小学宿舍区、南宁市商务局(民乐路10号8栋、6栋)、南宁市规划设计院宿舍、广西金牛股份公司宿舍、南宁市环保监测站宿舍、广西二建安装公司宿舍、南宁电信长途传输局宿舍、荣和花园等10个老旧小区进行改造，涉及总户数1086户，楼栋数32栋，总建筑面积约72615.67平方米。</w:t>
            </w:r>
          </w:p>
        </w:tc>
        <w:tc>
          <w:tcPr>
            <w:tcW w:w="464"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p>
        </w:tc>
      </w:tr>
      <w:tr>
        <w:tblPrEx>
          <w:tblCellMar>
            <w:top w:w="0" w:type="dxa"/>
            <w:left w:w="0" w:type="dxa"/>
            <w:bottom w:w="0" w:type="dxa"/>
            <w:right w:w="0" w:type="dxa"/>
          </w:tblCellMar>
        </w:tblPrEx>
        <w:trPr>
          <w:trHeight w:val="1300" w:hRule="atLeast"/>
        </w:trPr>
        <w:tc>
          <w:tcPr>
            <w:tcW w:w="3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5</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2020年南宁市城镇老旧小区改造工程青秀区第一片区</w:t>
            </w:r>
          </w:p>
        </w:tc>
        <w:tc>
          <w:tcPr>
            <w:tcW w:w="326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ind w:firstLine="480" w:firstLineChars="200"/>
              <w:jc w:val="left"/>
              <w:textAlignment w:val="center"/>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拟对青秀区湖滨小区、和兴园、长江花园、广西民族研究中心云景路1号住宅楼、东方花园、山水居小区、明湖花园小区、南宁市青秀区津头街道办事处宿舍、广西电信公司南宁分公司南湖宿舍、东宝路建委宿舍、星湖公寓、市文化系统南湖宿舍、元兴楼、市交通局小区、永嘉大厦住宅小区、广宁大厦、南宁百货公司宿舍、桃源路70-4号、外贸小区、时代公寓、星湖花园、中国人民保险公司南宁分公司宿舍区、茶花园小区、南宁市青秀区星湖路湖畔楼、广西医疗器械有限责任公司、竹苑公寓二区、广西电网埌东生活小区、广西军区幼儿园等28个老旧小区进行改造，涉及总户数3351户，楼栋数109栋，总建筑面积约411410.78平方米。</w:t>
            </w:r>
          </w:p>
        </w:tc>
        <w:tc>
          <w:tcPr>
            <w:tcW w:w="464"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p>
        </w:tc>
      </w:tr>
      <w:tr>
        <w:tblPrEx>
          <w:tblCellMar>
            <w:top w:w="0" w:type="dxa"/>
            <w:left w:w="0" w:type="dxa"/>
            <w:bottom w:w="0" w:type="dxa"/>
            <w:right w:w="0" w:type="dxa"/>
          </w:tblCellMar>
        </w:tblPrEx>
        <w:trPr>
          <w:trHeight w:val="1300" w:hRule="atLeast"/>
        </w:trPr>
        <w:tc>
          <w:tcPr>
            <w:tcW w:w="3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6</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2020年南宁市城镇老旧小区改造工程青秀区第二片区</w:t>
            </w:r>
          </w:p>
        </w:tc>
        <w:tc>
          <w:tcPr>
            <w:tcW w:w="3265"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ind w:firstLine="480" w:firstLineChars="200"/>
              <w:jc w:val="left"/>
              <w:textAlignment w:val="center"/>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拟对青秀区平湖花园、园湖路小学宿舍三区、南宁市民乐路小学职工宿舍、葛麻小区、德利公寓、科技苑宿舍、欣源阁、南宁市科学技术局宿舍区、南宁市建设局宿舍、米兰小区、兴宁区机关宿舍、德利小区、金信苑小区、汇宇思贤综合商住楼小区、南宁税务局鲤湾路小区、桂豪花园、工信厅宿舍区、广西社会科学界联合会宿舍、浩洋小区、南宁市经济委员会宿舍、迷你居小区、园中楼、南宁市工商银行宿舍、武警南宁市支队宿舍、广西福利企业服务中心小区、广西教育出版社宿舍公司宿舍、广西区国营林场开发公司宿舍、南宁市工商行政管理局建政路宿舍、特检院小区、汇宇花园等30个老旧小区进行改造，涉及总户数2789户，楼栋数81栋，总建筑面积约262086.98平方米。</w:t>
            </w:r>
          </w:p>
        </w:tc>
        <w:tc>
          <w:tcPr>
            <w:tcW w:w="4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p>
        </w:tc>
      </w:tr>
      <w:tr>
        <w:tblPrEx>
          <w:tblCellMar>
            <w:top w:w="0" w:type="dxa"/>
            <w:left w:w="0" w:type="dxa"/>
            <w:bottom w:w="0" w:type="dxa"/>
            <w:right w:w="0" w:type="dxa"/>
          </w:tblCellMar>
        </w:tblPrEx>
        <w:trPr>
          <w:trHeight w:val="832" w:hRule="atLeast"/>
        </w:trPr>
        <w:tc>
          <w:tcPr>
            <w:tcW w:w="3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7</w:t>
            </w:r>
          </w:p>
        </w:tc>
        <w:tc>
          <w:tcPr>
            <w:tcW w:w="9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2020年南宁市城镇老旧小区改造工程（三期）</w:t>
            </w:r>
          </w:p>
        </w:tc>
        <w:tc>
          <w:tcPr>
            <w:tcW w:w="3265" w:type="pc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480" w:firstLineChars="200"/>
              <w:jc w:val="left"/>
              <w:textAlignment w:val="center"/>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拟对供电局凤冠生活区、江南物资住宅小区、中国建设银行南宁市新城支行宿舍、津头乡政府宿舍、广西壮族自治区特种设备检验研究院、广西军区南宁第二干休所、星湖楼等7个老旧小区进行改造，项目改造总建筑面积88117.64平方米，公共配套基础设施面积</w:t>
            </w:r>
            <w:r>
              <w:rPr>
                <w:rFonts w:hint="eastAsia" w:ascii="宋体" w:hAnsi="宋体" w:eastAsia="宋体" w:cs="宋体"/>
                <w:color w:val="auto"/>
                <w:kern w:val="0"/>
                <w:sz w:val="24"/>
                <w:lang w:val="en-US" w:eastAsia="zh-CN" w:bidi="ar"/>
              </w:rPr>
              <w:t>67529.98</w:t>
            </w:r>
            <w:r>
              <w:rPr>
                <w:rFonts w:hint="eastAsia" w:ascii="宋体" w:hAnsi="宋体" w:eastAsia="宋体" w:cs="宋体"/>
                <w:color w:val="auto"/>
                <w:kern w:val="0"/>
                <w:sz w:val="24"/>
                <w:lang w:bidi="ar"/>
              </w:rPr>
              <w:t>平方米，涉及总户数752户，涉及楼栋数92栋。</w:t>
            </w:r>
          </w:p>
        </w:tc>
        <w:tc>
          <w:tcPr>
            <w:tcW w:w="4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kern w:val="0"/>
                <w:sz w:val="24"/>
                <w:lang w:bidi="ar"/>
              </w:rPr>
            </w:pPr>
          </w:p>
        </w:tc>
      </w:tr>
    </w:tbl>
    <w:p>
      <w:pPr>
        <w:pStyle w:val="22"/>
        <w:spacing w:line="360" w:lineRule="auto"/>
        <w:ind w:firstLine="0" w:firstLineChars="0"/>
        <w:jc w:val="center"/>
        <w:rPr>
          <w:rFonts w:hint="eastAsia" w:ascii="宋体" w:hAnsi="宋体" w:eastAsia="宋体" w:cs="宋体"/>
          <w:b/>
          <w:bCs/>
          <w:color w:val="auto"/>
          <w:sz w:val="24"/>
          <w:szCs w:val="24"/>
        </w:rPr>
      </w:pPr>
    </w:p>
    <w:p>
      <w:pPr>
        <w:pStyle w:val="22"/>
        <w:spacing w:after="0" w:line="360" w:lineRule="auto"/>
        <w:ind w:firstLine="0" w:firstLineChars="0"/>
        <w:jc w:val="center"/>
        <w:rPr>
          <w:rFonts w:hint="eastAsia" w:ascii="宋体" w:hAnsi="宋体" w:eastAsia="宋体" w:cs="宋体"/>
          <w:b/>
          <w:bCs/>
          <w:color w:val="auto"/>
          <w:sz w:val="24"/>
          <w:szCs w:val="24"/>
        </w:rPr>
      </w:pPr>
    </w:p>
    <w:p>
      <w:pPr>
        <w:pStyle w:val="22"/>
        <w:spacing w:after="0" w:line="360" w:lineRule="auto"/>
        <w:ind w:firstLine="0" w:firstLineChars="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表1-2-2 本项目建设规模汇总表</w:t>
      </w:r>
    </w:p>
    <w:tbl>
      <w:tblPr>
        <w:tblStyle w:val="23"/>
        <w:tblW w:w="0" w:type="auto"/>
        <w:tblInd w:w="0" w:type="dxa"/>
        <w:tblLayout w:type="autofit"/>
        <w:tblCellMar>
          <w:top w:w="0" w:type="dxa"/>
          <w:left w:w="108" w:type="dxa"/>
          <w:bottom w:w="0" w:type="dxa"/>
          <w:right w:w="108" w:type="dxa"/>
        </w:tblCellMar>
      </w:tblPr>
      <w:tblGrid>
        <w:gridCol w:w="543"/>
        <w:gridCol w:w="2598"/>
        <w:gridCol w:w="1282"/>
        <w:gridCol w:w="1197"/>
        <w:gridCol w:w="1197"/>
        <w:gridCol w:w="1847"/>
      </w:tblGrid>
      <w:tr>
        <w:tblPrEx>
          <w:tblCellMar>
            <w:top w:w="0" w:type="dxa"/>
            <w:left w:w="108" w:type="dxa"/>
            <w:bottom w:w="0" w:type="dxa"/>
            <w:right w:w="108" w:type="dxa"/>
          </w:tblCellMar>
        </w:tblPrEx>
        <w:trPr>
          <w:trHeight w:val="539" w:hRule="atLeast"/>
          <w:tblHeader/>
        </w:trPr>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bCs/>
                <w:color w:val="auto"/>
                <w:sz w:val="24"/>
              </w:rPr>
            </w:pPr>
            <w:r>
              <w:rPr>
                <w:rFonts w:hint="eastAsia" w:ascii="宋体" w:hAnsi="宋体" w:eastAsia="宋体" w:cs="宋体"/>
                <w:b/>
                <w:bCs/>
                <w:color w:val="auto"/>
                <w:kern w:val="0"/>
                <w:sz w:val="24"/>
                <w:lang w:bidi="ar"/>
              </w:rPr>
              <w:t>序号</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bCs/>
                <w:color w:val="auto"/>
                <w:sz w:val="24"/>
              </w:rPr>
            </w:pPr>
            <w:r>
              <w:rPr>
                <w:rFonts w:hint="eastAsia" w:ascii="宋体" w:hAnsi="宋体" w:eastAsia="宋体" w:cs="宋体"/>
                <w:b/>
                <w:bCs/>
                <w:color w:val="auto"/>
                <w:kern w:val="0"/>
                <w:sz w:val="24"/>
                <w:lang w:bidi="ar"/>
              </w:rPr>
              <w:t>项目名称</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bCs/>
                <w:color w:val="auto"/>
                <w:sz w:val="24"/>
              </w:rPr>
            </w:pPr>
            <w:r>
              <w:rPr>
                <w:rFonts w:hint="eastAsia" w:ascii="宋体" w:hAnsi="宋体" w:eastAsia="宋体" w:cs="宋体"/>
                <w:b/>
                <w:bCs/>
                <w:color w:val="auto"/>
                <w:kern w:val="0"/>
                <w:sz w:val="24"/>
                <w:lang w:bidi="ar"/>
              </w:rPr>
              <w:t>小区数量（个）</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bCs/>
                <w:color w:val="auto"/>
                <w:sz w:val="24"/>
              </w:rPr>
            </w:pPr>
            <w:r>
              <w:rPr>
                <w:rFonts w:hint="eastAsia" w:ascii="宋体" w:hAnsi="宋体" w:eastAsia="宋体" w:cs="宋体"/>
                <w:b/>
                <w:bCs/>
                <w:color w:val="auto"/>
                <w:kern w:val="0"/>
                <w:sz w:val="24"/>
                <w:lang w:bidi="ar"/>
              </w:rPr>
              <w:t>总户数（户）</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bCs/>
                <w:color w:val="auto"/>
                <w:sz w:val="24"/>
              </w:rPr>
            </w:pPr>
            <w:r>
              <w:rPr>
                <w:rFonts w:hint="eastAsia" w:ascii="宋体" w:hAnsi="宋体" w:eastAsia="宋体" w:cs="宋体"/>
                <w:b/>
                <w:bCs/>
                <w:color w:val="auto"/>
                <w:kern w:val="0"/>
                <w:sz w:val="24"/>
                <w:lang w:bidi="ar"/>
              </w:rPr>
              <w:t>楼栋数（栋）</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bCs/>
                <w:color w:val="auto"/>
                <w:sz w:val="24"/>
              </w:rPr>
            </w:pPr>
            <w:r>
              <w:rPr>
                <w:rFonts w:hint="eastAsia" w:ascii="宋体" w:hAnsi="宋体" w:eastAsia="宋体" w:cs="宋体"/>
                <w:b/>
                <w:bCs/>
                <w:color w:val="auto"/>
                <w:kern w:val="0"/>
                <w:sz w:val="24"/>
                <w:lang w:bidi="ar"/>
              </w:rPr>
              <w:t>总建筑面积（平方米）</w:t>
            </w:r>
          </w:p>
        </w:tc>
      </w:tr>
      <w:tr>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2020年南宁市城镇老旧小区改造工程江南区第七片区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992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61851.36</w:t>
            </w:r>
          </w:p>
        </w:tc>
      </w:tr>
      <w:tr>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2020年南宁市城镇老旧小区改造工程江南区第八片区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1572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133040.85</w:t>
            </w:r>
          </w:p>
        </w:tc>
      </w:tr>
      <w:tr>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2020年南宁市城镇老旧小区改造工程西乡塘区第二片区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6008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102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465312.8</w:t>
            </w:r>
          </w:p>
        </w:tc>
      </w:tr>
      <w:tr>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2020年南宁市城镇老旧小区改造工程兴宁区第二片区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1086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32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72615.67</w:t>
            </w:r>
          </w:p>
        </w:tc>
      </w:tr>
      <w:tr>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2020年南宁市城镇老旧小区改造工程青秀区第一片区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3351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109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411410.78</w:t>
            </w:r>
          </w:p>
        </w:tc>
      </w:tr>
      <w:tr>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6</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2020年南宁市城镇老旧小区改造工程青秀区第二片区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2789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81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262086.98</w:t>
            </w:r>
          </w:p>
        </w:tc>
      </w:tr>
      <w:tr>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7</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2020年南宁市城镇老旧小区改造工程（三期）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752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92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88117.64</w:t>
            </w:r>
          </w:p>
        </w:tc>
      </w:tr>
      <w:tr>
        <w:tblPrEx>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8</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108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16550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472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1494436.08</w:t>
            </w:r>
          </w:p>
        </w:tc>
      </w:tr>
    </w:tbl>
    <w:p>
      <w:pPr>
        <w:rPr>
          <w:rFonts w:hint="eastAsia" w:ascii="宋体" w:hAnsi="宋体" w:eastAsia="宋体" w:cs="宋体"/>
          <w:color w:val="auto"/>
          <w:sz w:val="24"/>
        </w:rPr>
      </w:pPr>
    </w:p>
    <w:p>
      <w:pPr>
        <w:pStyle w:val="2"/>
        <w:rPr>
          <w:rFonts w:hint="eastAsia" w:ascii="宋体" w:hAnsi="宋体" w:eastAsia="宋体" w:cs="宋体"/>
          <w:color w:val="auto"/>
        </w:rPr>
      </w:pPr>
    </w:p>
    <w:p>
      <w:pPr>
        <w:pStyle w:val="6"/>
        <w:keepNext w:val="0"/>
        <w:keepLines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（三）运营内容</w:t>
      </w:r>
    </w:p>
    <w:p>
      <w:pPr>
        <w:spacing w:line="360" w:lineRule="auto"/>
        <w:ind w:firstLine="480" w:firstLineChars="200"/>
        <w:rPr>
          <w:rFonts w:hint="eastAsia" w:ascii="宋体" w:hAnsi="宋体" w:eastAsia="宋体" w:cs="宋体"/>
          <w:color w:val="auto"/>
          <w:sz w:val="24"/>
          <w:lang w:bidi="ar"/>
        </w:rPr>
      </w:pPr>
      <w:r>
        <w:rPr>
          <w:rFonts w:hint="eastAsia" w:ascii="宋体" w:hAnsi="宋体" w:eastAsia="宋体" w:cs="宋体"/>
          <w:color w:val="auto"/>
          <w:sz w:val="24"/>
          <w:lang w:bidi="ar"/>
        </w:rPr>
        <w:t>本项目七个片区范围内需后续运营、维护、管理的公共基础配套设施，包括广告牌位、电动自行车充电设施、汽车充电设施、物流快递设施、车辆和行人出入口道闸（门禁）广告栏等公共基础配套设施。根据对已批复的可研的统计，广告牌位、电动自行车充电设施、汽车充电设施、物流快递设施、车辆和行人出入口道闸（门禁）广告栏等，具体运营设施数量详见附件“南宁市2020年第三批城镇老旧小区改造PPP项目社会资本方采购实施方案”。</w:t>
      </w:r>
    </w:p>
    <w:p>
      <w:pPr>
        <w:pStyle w:val="2"/>
        <w:rPr>
          <w:rFonts w:hint="eastAsia"/>
          <w:color w:val="auto"/>
        </w:rPr>
      </w:pPr>
    </w:p>
    <w:p>
      <w:pPr>
        <w:pStyle w:val="6"/>
        <w:keepNext w:val="0"/>
        <w:keepLines w:val="0"/>
        <w:spacing w:line="360" w:lineRule="auto"/>
        <w:rPr>
          <w:rFonts w:hint="eastAsia" w:ascii="宋体" w:hAnsi="宋体" w:eastAsia="宋体" w:cs="宋体"/>
          <w:color w:val="auto"/>
          <w:sz w:val="24"/>
          <w:szCs w:val="24"/>
        </w:rPr>
      </w:pPr>
      <w:bookmarkStart w:id="62" w:name="_Toc1856"/>
      <w:bookmarkStart w:id="63" w:name="_Toc12697"/>
      <w:bookmarkStart w:id="64" w:name="_Toc1973"/>
      <w:bookmarkStart w:id="65" w:name="_Toc18045"/>
      <w:bookmarkStart w:id="66" w:name="_Toc16448"/>
      <w:bookmarkStart w:id="67" w:name="_Toc19633"/>
      <w:bookmarkStart w:id="68" w:name="_Toc11918"/>
      <w:bookmarkStart w:id="69" w:name="_Toc28986"/>
      <w:bookmarkStart w:id="70" w:name="_Toc13919"/>
      <w:bookmarkStart w:id="71" w:name="_Toc15622"/>
      <w:bookmarkStart w:id="72" w:name="_Toc9791"/>
      <w:bookmarkStart w:id="73" w:name="_Toc8434"/>
      <w:bookmarkStart w:id="74" w:name="_Toc19226"/>
      <w:bookmarkStart w:id="75" w:name="_Toc31634"/>
      <w:bookmarkStart w:id="76" w:name="_Toc7834"/>
      <w:bookmarkStart w:id="77" w:name="_Toc2720"/>
      <w:bookmarkStart w:id="78" w:name="_Toc18692"/>
      <w:bookmarkStart w:id="79" w:name="_Toc25763"/>
      <w:bookmarkStart w:id="80" w:name="_Toc7299"/>
      <w:bookmarkStart w:id="81" w:name="_Toc3988"/>
      <w:r>
        <w:rPr>
          <w:rFonts w:hint="eastAsia" w:ascii="宋体" w:hAnsi="宋体" w:eastAsia="宋体" w:cs="宋体"/>
          <w:color w:val="auto"/>
          <w:sz w:val="24"/>
          <w:szCs w:val="24"/>
        </w:rPr>
        <w:t>（四）项目公司</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pPr>
        <w:adjustRightInd w:val="0"/>
        <w:snapToGrid w:val="0"/>
        <w:spacing w:line="360" w:lineRule="auto"/>
        <w:ind w:firstLine="567"/>
        <w:rPr>
          <w:rFonts w:hint="eastAsia" w:ascii="宋体" w:hAnsi="宋体" w:eastAsia="宋体" w:cs="宋体"/>
          <w:color w:val="auto"/>
          <w:kern w:val="0"/>
          <w:sz w:val="24"/>
        </w:rPr>
      </w:pPr>
      <w:bookmarkStart w:id="82" w:name="_Toc20001"/>
      <w:r>
        <w:rPr>
          <w:rFonts w:hint="eastAsia" w:ascii="宋体" w:hAnsi="宋体" w:eastAsia="宋体" w:cs="宋体"/>
          <w:color w:val="auto"/>
          <w:kern w:val="0"/>
          <w:sz w:val="24"/>
        </w:rPr>
        <w:t>社会资本采购中标通知书发出5个工作日内，社会资本方与实施机构签订PPP项目合作协议；签订PPP项目合作协议后5个工作日内社会资本方依法在南宁市注册成立项目公司，项目公司为有限责任公司，注册资本金为人民币1000万元，社会资本方出资占股100%。</w:t>
      </w:r>
    </w:p>
    <w:p>
      <w:pPr>
        <w:adjustRightInd w:val="0"/>
        <w:snapToGrid w:val="0"/>
        <w:spacing w:line="360" w:lineRule="auto"/>
        <w:ind w:firstLine="567"/>
        <w:rPr>
          <w:rFonts w:hint="eastAsia" w:ascii="宋体" w:hAnsi="宋体" w:eastAsia="宋体" w:cs="宋体"/>
          <w:color w:val="auto"/>
          <w:kern w:val="0"/>
          <w:sz w:val="24"/>
        </w:rPr>
      </w:pPr>
      <w:r>
        <w:rPr>
          <w:rFonts w:hint="eastAsia" w:ascii="宋体" w:hAnsi="宋体" w:eastAsia="宋体" w:cs="宋体"/>
          <w:color w:val="auto"/>
          <w:kern w:val="0"/>
          <w:sz w:val="24"/>
        </w:rPr>
        <w:t>项目公司成立后5个工作日内，社会资本方、项目公司和实施机构签署PPP项目合同。</w:t>
      </w:r>
    </w:p>
    <w:p>
      <w:pPr>
        <w:pStyle w:val="2"/>
        <w:rPr>
          <w:rFonts w:hint="eastAsia" w:ascii="宋体" w:hAnsi="宋体" w:eastAsia="宋体" w:cs="宋体"/>
          <w:color w:val="auto"/>
        </w:rPr>
      </w:pPr>
    </w:p>
    <w:p>
      <w:pPr>
        <w:pStyle w:val="6"/>
        <w:keepNext w:val="0"/>
        <w:keepLines w:val="0"/>
        <w:spacing w:line="360" w:lineRule="auto"/>
        <w:rPr>
          <w:rFonts w:hint="eastAsia" w:ascii="宋体" w:hAnsi="宋体" w:eastAsia="宋体" w:cs="宋体"/>
          <w:color w:val="auto"/>
          <w:sz w:val="24"/>
          <w:szCs w:val="24"/>
        </w:rPr>
      </w:pPr>
      <w:bookmarkStart w:id="83" w:name="_Toc6092"/>
      <w:bookmarkStart w:id="84" w:name="_Toc9925"/>
      <w:bookmarkStart w:id="85" w:name="_Toc28764"/>
      <w:bookmarkStart w:id="86" w:name="_Toc22161"/>
      <w:bookmarkStart w:id="87" w:name="_Toc29600"/>
      <w:bookmarkStart w:id="88" w:name="_Toc28305"/>
      <w:bookmarkStart w:id="89" w:name="_Toc13778"/>
      <w:bookmarkStart w:id="90" w:name="_Toc6779"/>
      <w:bookmarkStart w:id="91" w:name="_Toc5704"/>
      <w:bookmarkStart w:id="92" w:name="_Toc19687"/>
      <w:bookmarkStart w:id="93" w:name="_Toc24915"/>
      <w:bookmarkStart w:id="94" w:name="_Toc24090"/>
      <w:bookmarkStart w:id="95" w:name="_Toc13087"/>
      <w:bookmarkStart w:id="96" w:name="_Toc20195"/>
      <w:bookmarkStart w:id="97" w:name="_Toc10087"/>
      <w:bookmarkStart w:id="98" w:name="_Toc16829"/>
      <w:bookmarkStart w:id="99" w:name="_Toc21284"/>
      <w:bookmarkStart w:id="100" w:name="_Toc13472"/>
      <w:bookmarkStart w:id="101" w:name="_Toc23537"/>
      <w:r>
        <w:rPr>
          <w:rFonts w:hint="eastAsia" w:ascii="宋体" w:hAnsi="宋体" w:eastAsia="宋体" w:cs="宋体"/>
          <w:color w:val="auto"/>
          <w:sz w:val="24"/>
          <w:szCs w:val="24"/>
        </w:rPr>
        <w:t>（五）合作期限</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pPr>
        <w:adjustRightInd w:val="0"/>
        <w:snapToGrid w:val="0"/>
        <w:spacing w:line="360" w:lineRule="auto"/>
        <w:ind w:firstLine="480" w:firstLineChars="200"/>
        <w:rPr>
          <w:rFonts w:hint="eastAsia" w:ascii="宋体" w:hAnsi="宋体" w:eastAsia="宋体" w:cs="宋体"/>
          <w:color w:val="auto"/>
          <w:sz w:val="24"/>
        </w:rPr>
      </w:pPr>
      <w:bookmarkStart w:id="102" w:name="_Toc14698"/>
      <w:bookmarkStart w:id="103" w:name="_Toc29190"/>
      <w:r>
        <w:rPr>
          <w:rFonts w:hint="eastAsia" w:ascii="宋体" w:hAnsi="宋体" w:eastAsia="宋体" w:cs="宋体"/>
          <w:color w:val="auto"/>
          <w:sz w:val="24"/>
        </w:rPr>
        <w:t>本项目合作期为20年6个月，自PPP项目合同生效之日起算。其中，建设期计划为6个月，运营期为20年。</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包含7个子项共108个小区，单个小区竣工后由项目公司牵头组织实施机构及南宁市相关部门（单位）、参建各方及业主委员会成员或老友议事会代表组成竣工验收小组到现场进行核查。单个小区竣工验收合格，即可进入运营期，实际建设期的缩短或延长不改变合作期。竣工验收合格日以单个小区竣工验收证书所载明的竣工验收合格（通过）日期为准。</w:t>
      </w:r>
    </w:p>
    <w:p>
      <w:pPr>
        <w:pStyle w:val="6"/>
        <w:keepNext w:val="0"/>
        <w:keepLines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（六）投资规模</w:t>
      </w:r>
    </w:p>
    <w:bookmarkEnd w:id="102"/>
    <w:p>
      <w:pPr>
        <w:adjustRightInd w:val="0"/>
        <w:snapToGrid w:val="0"/>
        <w:spacing w:line="360" w:lineRule="auto"/>
        <w:ind w:firstLine="480" w:firstLineChars="200"/>
        <w:outlineLvl w:val="4"/>
        <w:rPr>
          <w:rFonts w:hint="eastAsia" w:ascii="宋体" w:hAnsi="宋体" w:eastAsia="宋体" w:cs="宋体"/>
          <w:color w:val="auto"/>
          <w:sz w:val="24"/>
        </w:rPr>
      </w:pPr>
      <w:bookmarkStart w:id="104" w:name="_Toc11178"/>
      <w:bookmarkStart w:id="105" w:name="_Toc18385"/>
      <w:bookmarkStart w:id="106" w:name="_Toc28363"/>
      <w:bookmarkStart w:id="107" w:name="_Toc20961"/>
      <w:bookmarkStart w:id="108" w:name="_Toc3661"/>
      <w:bookmarkStart w:id="109" w:name="_Toc31934"/>
      <w:bookmarkStart w:id="110" w:name="_Toc10747"/>
      <w:bookmarkStart w:id="111" w:name="_Toc3669"/>
      <w:bookmarkStart w:id="112" w:name="_Toc11499"/>
      <w:bookmarkStart w:id="113" w:name="_Toc1502"/>
      <w:bookmarkStart w:id="114" w:name="_Toc29879"/>
      <w:bookmarkStart w:id="115" w:name="_Toc12990"/>
      <w:bookmarkStart w:id="116" w:name="_Toc19436"/>
      <w:bookmarkStart w:id="117" w:name="_Toc24159"/>
      <w:bookmarkStart w:id="118" w:name="_Toc9239"/>
      <w:bookmarkStart w:id="119" w:name="_Toc27087"/>
      <w:bookmarkStart w:id="120" w:name="_Toc24928"/>
      <w:bookmarkStart w:id="121" w:name="_Toc12791"/>
      <w:bookmarkStart w:id="122" w:name="_Toc6568"/>
      <w:r>
        <w:rPr>
          <w:rFonts w:hint="eastAsia" w:ascii="宋体" w:hAnsi="宋体" w:eastAsia="宋体" w:cs="宋体"/>
          <w:color w:val="auto"/>
          <w:sz w:val="24"/>
        </w:rPr>
        <w:t>（1）工程费</w:t>
      </w:r>
    </w:p>
    <w:p>
      <w:pPr>
        <w:adjustRightInd w:val="0"/>
        <w:snapToGrid w:val="0"/>
        <w:spacing w:line="360" w:lineRule="auto"/>
        <w:ind w:firstLine="480" w:firstLineChars="200"/>
        <w:outlineLvl w:val="4"/>
        <w:rPr>
          <w:rFonts w:hint="eastAsia" w:ascii="宋体" w:hAnsi="宋体" w:eastAsia="宋体" w:cs="宋体"/>
          <w:color w:val="auto"/>
          <w:sz w:val="24"/>
        </w:rPr>
      </w:pPr>
      <w:r>
        <w:rPr>
          <w:rFonts w:hint="eastAsia" w:ascii="宋体" w:hAnsi="宋体" w:eastAsia="宋体" w:cs="宋体"/>
          <w:color w:val="auto"/>
          <w:sz w:val="24"/>
        </w:rPr>
        <w:t>1）施工招标控制价</w:t>
      </w:r>
    </w:p>
    <w:p>
      <w:pPr>
        <w:widowControl/>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根据南宁市财政局评审中心审定的施工招标控制价，本项目施工招标控制价为304976803.48元，各片区费用详见下表：</w:t>
      </w:r>
    </w:p>
    <w:p>
      <w:pPr>
        <w:pStyle w:val="22"/>
        <w:ind w:firstLine="0" w:firstLineChars="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表1-2-3 本项目施工招标控制价</w:t>
      </w:r>
    </w:p>
    <w:tbl>
      <w:tblPr>
        <w:tblStyle w:val="23"/>
        <w:tblW w:w="4998" w:type="pct"/>
        <w:tblInd w:w="0" w:type="dxa"/>
        <w:tblLayout w:type="fixed"/>
        <w:tblCellMar>
          <w:top w:w="0" w:type="dxa"/>
          <w:left w:w="0" w:type="dxa"/>
          <w:bottom w:w="0" w:type="dxa"/>
          <w:right w:w="0" w:type="dxa"/>
        </w:tblCellMar>
      </w:tblPr>
      <w:tblGrid>
        <w:gridCol w:w="785"/>
        <w:gridCol w:w="4297"/>
        <w:gridCol w:w="2290"/>
        <w:gridCol w:w="1103"/>
      </w:tblGrid>
      <w:tr>
        <w:tblPrEx>
          <w:tblCellMar>
            <w:top w:w="0" w:type="dxa"/>
            <w:left w:w="0" w:type="dxa"/>
            <w:bottom w:w="0" w:type="dxa"/>
            <w:right w:w="0" w:type="dxa"/>
          </w:tblCellMar>
        </w:tblPrEx>
        <w:trPr>
          <w:trHeight w:val="567" w:hRule="atLeast"/>
          <w:tblHeader/>
        </w:trPr>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序号</w:t>
            </w:r>
          </w:p>
        </w:tc>
        <w:tc>
          <w:tcPr>
            <w:tcW w:w="253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项目</w:t>
            </w:r>
          </w:p>
        </w:tc>
        <w:tc>
          <w:tcPr>
            <w:tcW w:w="13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施工招标控制价（元）</w:t>
            </w:r>
          </w:p>
        </w:tc>
        <w:tc>
          <w:tcPr>
            <w:tcW w:w="6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备注</w:t>
            </w:r>
          </w:p>
        </w:tc>
      </w:tr>
      <w:tr>
        <w:tblPrEx>
          <w:tblCellMar>
            <w:top w:w="0" w:type="dxa"/>
            <w:left w:w="0" w:type="dxa"/>
            <w:bottom w:w="0" w:type="dxa"/>
            <w:right w:w="0" w:type="dxa"/>
          </w:tblCellMar>
        </w:tblPrEx>
        <w:trPr>
          <w:trHeight w:val="567" w:hRule="atLeast"/>
        </w:trPr>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w:t>
            </w:r>
          </w:p>
        </w:tc>
        <w:tc>
          <w:tcPr>
            <w:tcW w:w="253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color w:val="auto"/>
                <w:sz w:val="24"/>
                <w:lang w:bidi="ar"/>
              </w:rPr>
            </w:pPr>
            <w:r>
              <w:rPr>
                <w:rFonts w:hint="eastAsia" w:ascii="宋体" w:hAnsi="宋体" w:eastAsia="宋体" w:cs="宋体"/>
                <w:color w:val="auto"/>
                <w:kern w:val="0"/>
                <w:sz w:val="24"/>
                <w:lang w:bidi="ar"/>
              </w:rPr>
              <w:t>南宁市城镇老旧小区改造工程江南区第七片区项目</w:t>
            </w:r>
          </w:p>
        </w:tc>
        <w:tc>
          <w:tcPr>
            <w:tcW w:w="22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4"/>
                <w:lang w:bidi="ar"/>
              </w:rPr>
            </w:pPr>
            <w:r>
              <w:rPr>
                <w:rFonts w:hint="eastAsia" w:ascii="宋体" w:hAnsi="宋体" w:eastAsia="宋体" w:cs="宋体"/>
                <w:color w:val="auto"/>
                <w:kern w:val="0"/>
                <w:sz w:val="24"/>
                <w:lang w:bidi="ar"/>
              </w:rPr>
              <w:t xml:space="preserve">21884775.21 </w:t>
            </w:r>
          </w:p>
        </w:tc>
        <w:tc>
          <w:tcPr>
            <w:tcW w:w="6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color w:val="auto"/>
                <w:sz w:val="24"/>
              </w:rPr>
            </w:pPr>
          </w:p>
        </w:tc>
      </w:tr>
      <w:tr>
        <w:tblPrEx>
          <w:tblCellMar>
            <w:top w:w="0" w:type="dxa"/>
            <w:left w:w="0" w:type="dxa"/>
            <w:bottom w:w="0" w:type="dxa"/>
            <w:right w:w="0" w:type="dxa"/>
          </w:tblCellMar>
        </w:tblPrEx>
        <w:trPr>
          <w:trHeight w:val="567" w:hRule="atLeast"/>
        </w:trPr>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w:t>
            </w:r>
          </w:p>
        </w:tc>
        <w:tc>
          <w:tcPr>
            <w:tcW w:w="253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color w:val="auto"/>
                <w:sz w:val="24"/>
                <w:lang w:bidi="ar"/>
              </w:rPr>
            </w:pPr>
            <w:r>
              <w:rPr>
                <w:rFonts w:hint="eastAsia" w:ascii="宋体" w:hAnsi="宋体" w:eastAsia="宋体" w:cs="宋体"/>
                <w:color w:val="auto"/>
                <w:kern w:val="0"/>
                <w:sz w:val="24"/>
                <w:lang w:bidi="ar"/>
              </w:rPr>
              <w:t>南宁市城镇老旧小区改造工程江南区第八片区项目</w:t>
            </w:r>
          </w:p>
        </w:tc>
        <w:tc>
          <w:tcPr>
            <w:tcW w:w="22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4"/>
                <w:lang w:bidi="ar"/>
              </w:rPr>
            </w:pPr>
            <w:r>
              <w:rPr>
                <w:rFonts w:hint="eastAsia" w:ascii="宋体" w:hAnsi="宋体" w:eastAsia="宋体" w:cs="宋体"/>
                <w:color w:val="auto"/>
                <w:kern w:val="0"/>
                <w:sz w:val="24"/>
                <w:lang w:bidi="ar"/>
              </w:rPr>
              <w:t xml:space="preserve">37601369.45 </w:t>
            </w:r>
          </w:p>
        </w:tc>
        <w:tc>
          <w:tcPr>
            <w:tcW w:w="6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color w:val="auto"/>
                <w:sz w:val="24"/>
              </w:rPr>
            </w:pPr>
          </w:p>
        </w:tc>
      </w:tr>
      <w:tr>
        <w:tblPrEx>
          <w:tblCellMar>
            <w:top w:w="0" w:type="dxa"/>
            <w:left w:w="0" w:type="dxa"/>
            <w:bottom w:w="0" w:type="dxa"/>
            <w:right w:w="0" w:type="dxa"/>
          </w:tblCellMar>
        </w:tblPrEx>
        <w:trPr>
          <w:trHeight w:val="567" w:hRule="atLeast"/>
        </w:trPr>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3</w:t>
            </w:r>
          </w:p>
        </w:tc>
        <w:tc>
          <w:tcPr>
            <w:tcW w:w="253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南宁市城镇老旧小区改造工程西乡塘区第二片区项目</w:t>
            </w:r>
          </w:p>
        </w:tc>
        <w:tc>
          <w:tcPr>
            <w:tcW w:w="22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 xml:space="preserve">106396949.47 </w:t>
            </w:r>
          </w:p>
        </w:tc>
        <w:tc>
          <w:tcPr>
            <w:tcW w:w="6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color w:val="auto"/>
                <w:sz w:val="24"/>
              </w:rPr>
            </w:pPr>
          </w:p>
        </w:tc>
      </w:tr>
      <w:tr>
        <w:tblPrEx>
          <w:tblCellMar>
            <w:top w:w="0" w:type="dxa"/>
            <w:left w:w="0" w:type="dxa"/>
            <w:bottom w:w="0" w:type="dxa"/>
            <w:right w:w="0" w:type="dxa"/>
          </w:tblCellMar>
        </w:tblPrEx>
        <w:trPr>
          <w:trHeight w:val="567" w:hRule="atLeast"/>
        </w:trPr>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4</w:t>
            </w:r>
          </w:p>
        </w:tc>
        <w:tc>
          <w:tcPr>
            <w:tcW w:w="253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南宁市城镇老旧小区改造工程兴宁区第二片区项目</w:t>
            </w:r>
          </w:p>
        </w:tc>
        <w:tc>
          <w:tcPr>
            <w:tcW w:w="22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 xml:space="preserve">15500697.82 </w:t>
            </w:r>
          </w:p>
        </w:tc>
        <w:tc>
          <w:tcPr>
            <w:tcW w:w="6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color w:val="auto"/>
                <w:sz w:val="24"/>
              </w:rPr>
            </w:pPr>
          </w:p>
        </w:tc>
      </w:tr>
      <w:tr>
        <w:tblPrEx>
          <w:tblCellMar>
            <w:top w:w="0" w:type="dxa"/>
            <w:left w:w="0" w:type="dxa"/>
            <w:bottom w:w="0" w:type="dxa"/>
            <w:right w:w="0" w:type="dxa"/>
          </w:tblCellMar>
        </w:tblPrEx>
        <w:trPr>
          <w:trHeight w:val="567" w:hRule="atLeast"/>
        </w:trPr>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5</w:t>
            </w:r>
          </w:p>
        </w:tc>
        <w:tc>
          <w:tcPr>
            <w:tcW w:w="253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南宁市城镇老旧小区改造工程青秀区第一片区项目</w:t>
            </w:r>
          </w:p>
        </w:tc>
        <w:tc>
          <w:tcPr>
            <w:tcW w:w="22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 xml:space="preserve">59179756.74 </w:t>
            </w:r>
          </w:p>
        </w:tc>
        <w:tc>
          <w:tcPr>
            <w:tcW w:w="6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color w:val="auto"/>
                <w:sz w:val="24"/>
              </w:rPr>
            </w:pPr>
          </w:p>
        </w:tc>
      </w:tr>
      <w:tr>
        <w:tblPrEx>
          <w:tblCellMar>
            <w:top w:w="0" w:type="dxa"/>
            <w:left w:w="0" w:type="dxa"/>
            <w:bottom w:w="0" w:type="dxa"/>
            <w:right w:w="0" w:type="dxa"/>
          </w:tblCellMar>
        </w:tblPrEx>
        <w:trPr>
          <w:trHeight w:val="567" w:hRule="atLeast"/>
        </w:trPr>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6</w:t>
            </w:r>
          </w:p>
        </w:tc>
        <w:tc>
          <w:tcPr>
            <w:tcW w:w="253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南宁市城镇老旧小区改造工程青秀区第二片区项目</w:t>
            </w:r>
          </w:p>
        </w:tc>
        <w:tc>
          <w:tcPr>
            <w:tcW w:w="22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49925011.19</w:t>
            </w:r>
          </w:p>
        </w:tc>
        <w:tc>
          <w:tcPr>
            <w:tcW w:w="6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color w:val="auto"/>
                <w:sz w:val="24"/>
              </w:rPr>
            </w:pPr>
          </w:p>
        </w:tc>
      </w:tr>
      <w:tr>
        <w:tblPrEx>
          <w:tblCellMar>
            <w:top w:w="0" w:type="dxa"/>
            <w:left w:w="0" w:type="dxa"/>
            <w:bottom w:w="0" w:type="dxa"/>
            <w:right w:w="0" w:type="dxa"/>
          </w:tblCellMar>
        </w:tblPrEx>
        <w:trPr>
          <w:trHeight w:val="567" w:hRule="atLeast"/>
        </w:trPr>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7</w:t>
            </w:r>
          </w:p>
        </w:tc>
        <w:tc>
          <w:tcPr>
            <w:tcW w:w="253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南宁市城镇老旧小区改造工程（三期）</w:t>
            </w:r>
          </w:p>
        </w:tc>
        <w:tc>
          <w:tcPr>
            <w:tcW w:w="22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14488243.6</w:t>
            </w:r>
          </w:p>
        </w:tc>
        <w:tc>
          <w:tcPr>
            <w:tcW w:w="6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color w:val="auto"/>
                <w:sz w:val="24"/>
              </w:rPr>
            </w:pPr>
          </w:p>
        </w:tc>
      </w:tr>
      <w:tr>
        <w:tblPrEx>
          <w:tblCellMar>
            <w:top w:w="0" w:type="dxa"/>
            <w:left w:w="0" w:type="dxa"/>
            <w:bottom w:w="0" w:type="dxa"/>
            <w:right w:w="0" w:type="dxa"/>
          </w:tblCellMar>
        </w:tblPrEx>
        <w:trPr>
          <w:trHeight w:val="567" w:hRule="atLeast"/>
        </w:trPr>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8</w:t>
            </w:r>
          </w:p>
        </w:tc>
        <w:tc>
          <w:tcPr>
            <w:tcW w:w="253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合计</w:t>
            </w:r>
          </w:p>
        </w:tc>
        <w:tc>
          <w:tcPr>
            <w:tcW w:w="22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 xml:space="preserve">304976803.48 </w:t>
            </w:r>
          </w:p>
        </w:tc>
        <w:tc>
          <w:tcPr>
            <w:tcW w:w="6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color w:val="auto"/>
                <w:sz w:val="24"/>
              </w:rPr>
            </w:pPr>
          </w:p>
        </w:tc>
      </w:tr>
    </w:tbl>
    <w:p>
      <w:pPr>
        <w:adjustRightInd w:val="0"/>
        <w:snapToGrid w:val="0"/>
        <w:spacing w:line="360" w:lineRule="auto"/>
        <w:ind w:firstLine="480" w:firstLineChars="200"/>
        <w:outlineLvl w:val="4"/>
        <w:rPr>
          <w:rFonts w:hint="eastAsia" w:ascii="宋体" w:hAnsi="宋体" w:eastAsia="宋体" w:cs="宋体"/>
          <w:color w:val="auto"/>
          <w:sz w:val="24"/>
        </w:rPr>
      </w:pPr>
      <w:r>
        <w:rPr>
          <w:rFonts w:hint="eastAsia" w:ascii="宋体" w:hAnsi="宋体" w:eastAsia="宋体" w:cs="宋体"/>
          <w:color w:val="auto"/>
          <w:sz w:val="24"/>
        </w:rPr>
        <w:t>2）工程暂估费</w:t>
      </w:r>
    </w:p>
    <w:p>
      <w:pPr>
        <w:pStyle w:val="2"/>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根据以往城镇老旧小区改造项目经验，老旧小区因年代久远，建设条件复杂，在设计过程中，存在很多不可预见因素（如地下管网严重破损，小区红线外管网、道路等公共基础设施），或建设过程中居民提出增加、修改建设内容，因此，本项目设置5000万元工程暂估费。</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工程费</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=施工招标控制价+工程暂估费</w:t>
      </w:r>
    </w:p>
    <w:p>
      <w:pPr>
        <w:pStyle w:val="2"/>
        <w:adjustRightInd w:val="0"/>
        <w:snapToGrid w:val="0"/>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kern w:val="0"/>
        </w:rPr>
        <w:t>30497.68</w:t>
      </w:r>
      <w:r>
        <w:rPr>
          <w:rFonts w:hint="eastAsia" w:ascii="宋体" w:hAnsi="宋体" w:eastAsia="宋体" w:cs="宋体"/>
          <w:color w:val="auto"/>
        </w:rPr>
        <w:t>+5000</w:t>
      </w:r>
    </w:p>
    <w:p>
      <w:pPr>
        <w:adjustRightInd w:val="0"/>
        <w:snapToGrid w:val="0"/>
        <w:spacing w:line="360" w:lineRule="auto"/>
        <w:ind w:firstLine="567"/>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kern w:val="0"/>
          <w:sz w:val="24"/>
        </w:rPr>
        <w:t>35497.68</w:t>
      </w:r>
      <w:r>
        <w:rPr>
          <w:rFonts w:hint="eastAsia" w:ascii="宋体" w:hAnsi="宋体" w:eastAsia="宋体" w:cs="宋体"/>
          <w:color w:val="auto"/>
          <w:sz w:val="24"/>
        </w:rPr>
        <w:t>万元</w:t>
      </w:r>
    </w:p>
    <w:p>
      <w:pPr>
        <w:adjustRightInd w:val="0"/>
        <w:snapToGrid w:val="0"/>
        <w:spacing w:line="360" w:lineRule="auto"/>
        <w:ind w:firstLine="480" w:firstLineChars="200"/>
        <w:outlineLvl w:val="4"/>
        <w:rPr>
          <w:rFonts w:hint="eastAsia" w:ascii="宋体" w:hAnsi="宋体" w:eastAsia="宋体" w:cs="宋体"/>
          <w:color w:val="auto"/>
          <w:sz w:val="24"/>
        </w:rPr>
      </w:pPr>
      <w:r>
        <w:rPr>
          <w:rFonts w:hint="eastAsia" w:ascii="宋体" w:hAnsi="宋体" w:eastAsia="宋体" w:cs="宋体"/>
          <w:color w:val="auto"/>
          <w:sz w:val="24"/>
        </w:rPr>
        <w:t>（2）初步设计批复的工程建设其他费</w:t>
      </w:r>
    </w:p>
    <w:p>
      <w:pPr>
        <w:widowControl/>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根据初步设计批复，本项目工程建设其他费为4089.32万元，各片区费用详见下表：</w:t>
      </w:r>
    </w:p>
    <w:p>
      <w:pPr>
        <w:jc w:val="center"/>
        <w:rPr>
          <w:rFonts w:hint="eastAsia" w:ascii="宋体" w:hAnsi="宋体" w:eastAsia="宋体" w:cs="宋体"/>
          <w:color w:val="auto"/>
          <w:sz w:val="24"/>
        </w:rPr>
      </w:pPr>
      <w:r>
        <w:rPr>
          <w:rFonts w:hint="eastAsia" w:ascii="宋体" w:hAnsi="宋体" w:eastAsia="宋体" w:cs="宋体"/>
          <w:b/>
          <w:bCs/>
          <w:color w:val="auto"/>
          <w:sz w:val="24"/>
        </w:rPr>
        <w:t>表1-2-4 初步设计批复的工程建设其他费</w:t>
      </w:r>
    </w:p>
    <w:tbl>
      <w:tblPr>
        <w:tblStyle w:val="23"/>
        <w:tblW w:w="4998" w:type="pct"/>
        <w:tblInd w:w="0" w:type="dxa"/>
        <w:tblLayout w:type="autofit"/>
        <w:tblCellMar>
          <w:top w:w="0" w:type="dxa"/>
          <w:left w:w="108" w:type="dxa"/>
          <w:bottom w:w="0" w:type="dxa"/>
          <w:right w:w="108" w:type="dxa"/>
        </w:tblCellMar>
      </w:tblPr>
      <w:tblGrid>
        <w:gridCol w:w="998"/>
        <w:gridCol w:w="4355"/>
        <w:gridCol w:w="2088"/>
        <w:gridCol w:w="1220"/>
      </w:tblGrid>
      <w:tr>
        <w:tblPrEx>
          <w:tblCellMar>
            <w:top w:w="0" w:type="dxa"/>
            <w:left w:w="108" w:type="dxa"/>
            <w:bottom w:w="0" w:type="dxa"/>
            <w:right w:w="108" w:type="dxa"/>
          </w:tblCellMar>
        </w:tblPrEx>
        <w:trPr>
          <w:trHeight w:val="567" w:hRule="atLeast"/>
        </w:trPr>
        <w:tc>
          <w:tcPr>
            <w:tcW w:w="57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序号</w:t>
            </w:r>
          </w:p>
        </w:tc>
        <w:tc>
          <w:tcPr>
            <w:tcW w:w="251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项目名称</w:t>
            </w:r>
          </w:p>
        </w:tc>
        <w:tc>
          <w:tcPr>
            <w:tcW w:w="120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金额（万元）</w:t>
            </w:r>
          </w:p>
        </w:tc>
        <w:tc>
          <w:tcPr>
            <w:tcW w:w="70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备注</w:t>
            </w:r>
          </w:p>
        </w:tc>
      </w:tr>
      <w:tr>
        <w:tblPrEx>
          <w:tblCellMar>
            <w:top w:w="0" w:type="dxa"/>
            <w:left w:w="108" w:type="dxa"/>
            <w:bottom w:w="0" w:type="dxa"/>
            <w:right w:w="108" w:type="dxa"/>
          </w:tblCellMar>
        </w:tblPrEx>
        <w:trPr>
          <w:trHeight w:val="567" w:hRule="atLeast"/>
        </w:trPr>
        <w:tc>
          <w:tcPr>
            <w:tcW w:w="57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w:t>
            </w:r>
          </w:p>
        </w:tc>
        <w:tc>
          <w:tcPr>
            <w:tcW w:w="2513"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2020年南宁市城镇老旧小区改造工程江南区第七片区</w:t>
            </w:r>
          </w:p>
        </w:tc>
        <w:tc>
          <w:tcPr>
            <w:tcW w:w="120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261.74</w:t>
            </w:r>
          </w:p>
        </w:tc>
        <w:tc>
          <w:tcPr>
            <w:tcW w:w="70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4"/>
                <w:lang w:bidi="ar"/>
              </w:rPr>
            </w:pPr>
          </w:p>
        </w:tc>
      </w:tr>
      <w:tr>
        <w:tblPrEx>
          <w:tblCellMar>
            <w:top w:w="0" w:type="dxa"/>
            <w:left w:w="108" w:type="dxa"/>
            <w:bottom w:w="0" w:type="dxa"/>
            <w:right w:w="108" w:type="dxa"/>
          </w:tblCellMar>
        </w:tblPrEx>
        <w:trPr>
          <w:trHeight w:val="567" w:hRule="atLeast"/>
        </w:trPr>
        <w:tc>
          <w:tcPr>
            <w:tcW w:w="57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w:t>
            </w:r>
          </w:p>
        </w:tc>
        <w:tc>
          <w:tcPr>
            <w:tcW w:w="2513"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2020年南宁市城镇老旧小区改造工程江南区第八片区</w:t>
            </w:r>
          </w:p>
        </w:tc>
        <w:tc>
          <w:tcPr>
            <w:tcW w:w="120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442.3</w:t>
            </w:r>
          </w:p>
        </w:tc>
        <w:tc>
          <w:tcPr>
            <w:tcW w:w="70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4"/>
                <w:lang w:bidi="ar"/>
              </w:rPr>
            </w:pPr>
          </w:p>
        </w:tc>
      </w:tr>
      <w:tr>
        <w:tblPrEx>
          <w:tblCellMar>
            <w:top w:w="0" w:type="dxa"/>
            <w:left w:w="108" w:type="dxa"/>
            <w:bottom w:w="0" w:type="dxa"/>
            <w:right w:w="108" w:type="dxa"/>
          </w:tblCellMar>
        </w:tblPrEx>
        <w:trPr>
          <w:trHeight w:val="567" w:hRule="atLeast"/>
        </w:trPr>
        <w:tc>
          <w:tcPr>
            <w:tcW w:w="57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3</w:t>
            </w:r>
          </w:p>
        </w:tc>
        <w:tc>
          <w:tcPr>
            <w:tcW w:w="2513"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2020年南宁市城镇老旧小区改造工程西乡塘区第二片区</w:t>
            </w:r>
          </w:p>
        </w:tc>
        <w:tc>
          <w:tcPr>
            <w:tcW w:w="120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1406.55</w:t>
            </w:r>
          </w:p>
        </w:tc>
        <w:tc>
          <w:tcPr>
            <w:tcW w:w="70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4"/>
                <w:lang w:bidi="ar"/>
              </w:rPr>
            </w:pPr>
          </w:p>
        </w:tc>
      </w:tr>
      <w:tr>
        <w:tblPrEx>
          <w:tblCellMar>
            <w:top w:w="0" w:type="dxa"/>
            <w:left w:w="108" w:type="dxa"/>
            <w:bottom w:w="0" w:type="dxa"/>
            <w:right w:w="108" w:type="dxa"/>
          </w:tblCellMar>
        </w:tblPrEx>
        <w:trPr>
          <w:trHeight w:val="567" w:hRule="atLeast"/>
        </w:trPr>
        <w:tc>
          <w:tcPr>
            <w:tcW w:w="57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4</w:t>
            </w:r>
          </w:p>
        </w:tc>
        <w:tc>
          <w:tcPr>
            <w:tcW w:w="2513"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2020年南宁市城镇老旧小区改造工程兴宁区第二片区</w:t>
            </w:r>
          </w:p>
        </w:tc>
        <w:tc>
          <w:tcPr>
            <w:tcW w:w="120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320.18</w:t>
            </w:r>
          </w:p>
        </w:tc>
        <w:tc>
          <w:tcPr>
            <w:tcW w:w="70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4"/>
                <w:lang w:bidi="ar"/>
              </w:rPr>
            </w:pPr>
          </w:p>
        </w:tc>
      </w:tr>
      <w:tr>
        <w:tblPrEx>
          <w:tblCellMar>
            <w:top w:w="0" w:type="dxa"/>
            <w:left w:w="108" w:type="dxa"/>
            <w:bottom w:w="0" w:type="dxa"/>
            <w:right w:w="108" w:type="dxa"/>
          </w:tblCellMar>
        </w:tblPrEx>
        <w:trPr>
          <w:trHeight w:val="567" w:hRule="atLeast"/>
        </w:trPr>
        <w:tc>
          <w:tcPr>
            <w:tcW w:w="57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5</w:t>
            </w:r>
          </w:p>
        </w:tc>
        <w:tc>
          <w:tcPr>
            <w:tcW w:w="2513"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2020年南宁市城镇老旧小区改造工程青秀区第一片区</w:t>
            </w:r>
          </w:p>
        </w:tc>
        <w:tc>
          <w:tcPr>
            <w:tcW w:w="120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767.27</w:t>
            </w:r>
          </w:p>
        </w:tc>
        <w:tc>
          <w:tcPr>
            <w:tcW w:w="70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4"/>
                <w:lang w:bidi="ar"/>
              </w:rPr>
            </w:pPr>
          </w:p>
        </w:tc>
      </w:tr>
      <w:tr>
        <w:tblPrEx>
          <w:tblCellMar>
            <w:top w:w="0" w:type="dxa"/>
            <w:left w:w="108" w:type="dxa"/>
            <w:bottom w:w="0" w:type="dxa"/>
            <w:right w:w="108" w:type="dxa"/>
          </w:tblCellMar>
        </w:tblPrEx>
        <w:trPr>
          <w:trHeight w:val="567" w:hRule="atLeast"/>
        </w:trPr>
        <w:tc>
          <w:tcPr>
            <w:tcW w:w="57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6</w:t>
            </w:r>
          </w:p>
        </w:tc>
        <w:tc>
          <w:tcPr>
            <w:tcW w:w="2513"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2020年南宁市城镇老旧小区改造工程青秀区第二片区</w:t>
            </w:r>
          </w:p>
        </w:tc>
        <w:tc>
          <w:tcPr>
            <w:tcW w:w="120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628.8</w:t>
            </w:r>
          </w:p>
        </w:tc>
        <w:tc>
          <w:tcPr>
            <w:tcW w:w="70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4"/>
                <w:lang w:bidi="ar"/>
              </w:rPr>
            </w:pPr>
          </w:p>
        </w:tc>
      </w:tr>
      <w:tr>
        <w:tblPrEx>
          <w:tblCellMar>
            <w:top w:w="0" w:type="dxa"/>
            <w:left w:w="108" w:type="dxa"/>
            <w:bottom w:w="0" w:type="dxa"/>
            <w:right w:w="108" w:type="dxa"/>
          </w:tblCellMar>
        </w:tblPrEx>
        <w:trPr>
          <w:trHeight w:val="567" w:hRule="atLeast"/>
        </w:trPr>
        <w:tc>
          <w:tcPr>
            <w:tcW w:w="57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7</w:t>
            </w:r>
          </w:p>
        </w:tc>
        <w:tc>
          <w:tcPr>
            <w:tcW w:w="2513"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2020年南宁市城镇老旧小区改造工程（三期）</w:t>
            </w:r>
          </w:p>
        </w:tc>
        <w:tc>
          <w:tcPr>
            <w:tcW w:w="120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262.48</w:t>
            </w:r>
          </w:p>
        </w:tc>
        <w:tc>
          <w:tcPr>
            <w:tcW w:w="70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4"/>
                <w:lang w:bidi="ar"/>
              </w:rPr>
            </w:pPr>
          </w:p>
        </w:tc>
      </w:tr>
      <w:tr>
        <w:tblPrEx>
          <w:tblCellMar>
            <w:top w:w="0" w:type="dxa"/>
            <w:left w:w="108" w:type="dxa"/>
            <w:bottom w:w="0" w:type="dxa"/>
            <w:right w:w="108" w:type="dxa"/>
          </w:tblCellMar>
        </w:tblPrEx>
        <w:trPr>
          <w:trHeight w:val="567" w:hRule="atLeast"/>
        </w:trPr>
        <w:tc>
          <w:tcPr>
            <w:tcW w:w="57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8</w:t>
            </w:r>
          </w:p>
        </w:tc>
        <w:tc>
          <w:tcPr>
            <w:tcW w:w="251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合计</w:t>
            </w:r>
          </w:p>
        </w:tc>
        <w:tc>
          <w:tcPr>
            <w:tcW w:w="120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4089.32</w:t>
            </w:r>
          </w:p>
        </w:tc>
        <w:tc>
          <w:tcPr>
            <w:tcW w:w="70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4"/>
                <w:lang w:bidi="ar"/>
              </w:rPr>
            </w:pPr>
          </w:p>
        </w:tc>
      </w:tr>
    </w:tbl>
    <w:p>
      <w:pPr>
        <w:pStyle w:val="6"/>
        <w:keepNext w:val="0"/>
        <w:keepLines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（七）前期工作</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pPr>
        <w:pStyle w:val="7"/>
        <w:spacing w:before="0" w:after="0" w:line="360" w:lineRule="auto"/>
        <w:ind w:firstLine="482"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1.项目进度</w:t>
      </w:r>
    </w:p>
    <w:p>
      <w:pPr>
        <w:adjustRightInd w:val="0"/>
        <w:snapToGrid w:val="0"/>
        <w:spacing w:line="360" w:lineRule="auto"/>
        <w:ind w:firstLine="567"/>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本项目各子项已完成立项、可行性研究报告、初步设计批复等工作，正在开展施工图设计、报批等工作。</w:t>
      </w:r>
    </w:p>
    <w:p>
      <w:pPr>
        <w:pStyle w:val="7"/>
        <w:spacing w:before="0" w:after="0" w:line="360" w:lineRule="auto"/>
        <w:ind w:firstLine="482"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2.前期工作费用及工程监理费</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采购社会资本方前，项目的前期工作（包括项目立项、可行性研究报告、初步设计、施工图设计等）由政府方负责，社会资本采购中标通知书发布后政府方将项目前期工作移交给社会资本方、项目公司。本项目的监理单位由实施机构采购。</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本项目前期工作费用根据实际合同价格计算，未签订合同的前期工作费用暂按初步设计概算的中相应的费用计算，预估共计1364.09万元（具体以实际签订合同金额为准）具体如下表所示：</w:t>
      </w:r>
    </w:p>
    <w:p>
      <w:pPr>
        <w:adjustRightInd w:val="0"/>
        <w:snapToGrid w:val="0"/>
        <w:spacing w:line="360" w:lineRule="auto"/>
        <w:jc w:val="center"/>
        <w:rPr>
          <w:rFonts w:hint="eastAsia" w:ascii="宋体" w:hAnsi="宋体" w:eastAsia="宋体" w:cs="宋体"/>
          <w:b/>
          <w:bCs/>
          <w:color w:val="auto"/>
          <w:sz w:val="24"/>
        </w:rPr>
        <w:sectPr>
          <w:footerReference r:id="rId3" w:type="default"/>
          <w:pgSz w:w="11850" w:h="16783"/>
          <w:pgMar w:top="1587" w:right="1701" w:bottom="1587" w:left="1701" w:header="851" w:footer="992" w:gutter="0"/>
          <w:pgNumType w:start="1"/>
          <w:cols w:space="720" w:num="1"/>
          <w:docGrid w:linePitch="317" w:charSpace="0"/>
        </w:sectPr>
      </w:pPr>
    </w:p>
    <w:p>
      <w:pPr>
        <w:adjustRightInd w:val="0"/>
        <w:snapToGrid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项目前期工作费用一览表</w:t>
      </w:r>
    </w:p>
    <w:p>
      <w:pPr>
        <w:adjustRightInd w:val="0"/>
        <w:snapToGrid w:val="0"/>
        <w:jc w:val="right"/>
        <w:rPr>
          <w:rFonts w:hint="eastAsia" w:ascii="宋体" w:hAnsi="宋体" w:eastAsia="宋体" w:cs="宋体"/>
          <w:color w:val="auto"/>
          <w:sz w:val="24"/>
        </w:rPr>
      </w:pPr>
      <w:r>
        <w:rPr>
          <w:rFonts w:hint="eastAsia" w:ascii="宋体" w:hAnsi="宋体" w:eastAsia="宋体" w:cs="宋体"/>
          <w:color w:val="auto"/>
          <w:sz w:val="24"/>
        </w:rPr>
        <w:t>单位：万元</w:t>
      </w:r>
    </w:p>
    <w:tbl>
      <w:tblPr>
        <w:tblStyle w:val="23"/>
        <w:tblW w:w="4997" w:type="pct"/>
        <w:tblInd w:w="0" w:type="dxa"/>
        <w:tblLayout w:type="autofit"/>
        <w:tblCellMar>
          <w:top w:w="0" w:type="dxa"/>
          <w:left w:w="0" w:type="dxa"/>
          <w:bottom w:w="0" w:type="dxa"/>
          <w:right w:w="0" w:type="dxa"/>
        </w:tblCellMar>
      </w:tblPr>
      <w:tblGrid>
        <w:gridCol w:w="541"/>
        <w:gridCol w:w="1645"/>
        <w:gridCol w:w="1148"/>
        <w:gridCol w:w="1198"/>
        <w:gridCol w:w="1469"/>
        <w:gridCol w:w="1325"/>
        <w:gridCol w:w="1198"/>
        <w:gridCol w:w="1198"/>
        <w:gridCol w:w="1148"/>
        <w:gridCol w:w="1613"/>
        <w:gridCol w:w="1148"/>
      </w:tblGrid>
      <w:tr>
        <w:tblPrEx>
          <w:tblCellMar>
            <w:top w:w="0" w:type="dxa"/>
            <w:left w:w="0" w:type="dxa"/>
            <w:bottom w:w="0" w:type="dxa"/>
            <w:right w:w="0" w:type="dxa"/>
          </w:tblCellMar>
        </w:tblPrEx>
        <w:trPr>
          <w:trHeight w:val="720" w:hRule="atLeast"/>
        </w:trPr>
        <w:tc>
          <w:tcPr>
            <w:tcW w:w="1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b/>
                <w:color w:val="auto"/>
                <w:sz w:val="22"/>
                <w:szCs w:val="22"/>
              </w:rPr>
            </w:pPr>
            <w:r>
              <w:rPr>
                <w:rFonts w:hint="eastAsia" w:ascii="宋体" w:hAnsi="宋体" w:eastAsia="宋体" w:cs="宋体"/>
                <w:b/>
                <w:color w:val="auto"/>
                <w:kern w:val="0"/>
                <w:sz w:val="22"/>
                <w:szCs w:val="22"/>
                <w:lang w:bidi="ar"/>
              </w:rPr>
              <w:t>序号</w:t>
            </w:r>
          </w:p>
        </w:tc>
        <w:tc>
          <w:tcPr>
            <w:tcW w:w="55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color w:val="auto"/>
                <w:sz w:val="22"/>
                <w:szCs w:val="22"/>
              </w:rPr>
            </w:pPr>
            <w:r>
              <w:rPr>
                <w:rFonts w:hint="eastAsia" w:ascii="宋体" w:hAnsi="宋体" w:eastAsia="宋体" w:cs="宋体"/>
                <w:b/>
                <w:color w:val="auto"/>
                <w:kern w:val="0"/>
                <w:sz w:val="22"/>
                <w:szCs w:val="22"/>
                <w:lang w:bidi="ar"/>
              </w:rPr>
              <w:t>费用名称</w:t>
            </w:r>
          </w:p>
        </w:tc>
        <w:tc>
          <w:tcPr>
            <w:tcW w:w="3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color w:val="auto"/>
                <w:sz w:val="22"/>
                <w:szCs w:val="22"/>
              </w:rPr>
            </w:pPr>
            <w:r>
              <w:rPr>
                <w:rFonts w:hint="eastAsia" w:ascii="宋体" w:hAnsi="宋体" w:eastAsia="宋体" w:cs="宋体"/>
                <w:b/>
                <w:color w:val="auto"/>
                <w:kern w:val="0"/>
                <w:sz w:val="22"/>
                <w:szCs w:val="22"/>
                <w:lang w:bidi="ar"/>
              </w:rPr>
              <w:t>2020年南宁市城镇老旧小区改造工程江南区第七片区</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color w:val="auto"/>
                <w:sz w:val="22"/>
                <w:szCs w:val="22"/>
              </w:rPr>
            </w:pPr>
            <w:r>
              <w:rPr>
                <w:rFonts w:hint="eastAsia" w:ascii="宋体" w:hAnsi="宋体" w:eastAsia="宋体" w:cs="宋体"/>
                <w:b/>
                <w:color w:val="auto"/>
                <w:kern w:val="0"/>
                <w:sz w:val="22"/>
                <w:szCs w:val="22"/>
                <w:lang w:bidi="ar"/>
              </w:rPr>
              <w:t>2020年南宁市城镇老旧小区改造工程江南区第八片区</w:t>
            </w:r>
          </w:p>
        </w:tc>
        <w:tc>
          <w:tcPr>
            <w:tcW w:w="4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color w:val="auto"/>
                <w:sz w:val="22"/>
                <w:szCs w:val="22"/>
              </w:rPr>
            </w:pPr>
            <w:r>
              <w:rPr>
                <w:rFonts w:hint="eastAsia" w:ascii="宋体" w:hAnsi="宋体" w:eastAsia="宋体" w:cs="宋体"/>
                <w:b/>
                <w:color w:val="auto"/>
                <w:kern w:val="0"/>
                <w:sz w:val="22"/>
                <w:szCs w:val="22"/>
                <w:lang w:bidi="ar"/>
              </w:rPr>
              <w:t>2020年南宁市城镇老旧小区改造工程西乡塘区第二片区</w:t>
            </w:r>
          </w:p>
        </w:tc>
        <w:tc>
          <w:tcPr>
            <w:tcW w:w="4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color w:val="auto"/>
                <w:sz w:val="22"/>
                <w:szCs w:val="22"/>
              </w:rPr>
            </w:pPr>
            <w:r>
              <w:rPr>
                <w:rFonts w:hint="eastAsia" w:ascii="宋体" w:hAnsi="宋体" w:eastAsia="宋体" w:cs="宋体"/>
                <w:b/>
                <w:color w:val="auto"/>
                <w:kern w:val="0"/>
                <w:sz w:val="22"/>
                <w:szCs w:val="22"/>
                <w:lang w:bidi="ar"/>
              </w:rPr>
              <w:t>2020年南宁市城镇老旧小区改造工程兴宁区第二片区</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color w:val="auto"/>
                <w:sz w:val="22"/>
                <w:szCs w:val="22"/>
              </w:rPr>
            </w:pPr>
            <w:r>
              <w:rPr>
                <w:rFonts w:hint="eastAsia" w:ascii="宋体" w:hAnsi="宋体" w:eastAsia="宋体" w:cs="宋体"/>
                <w:b/>
                <w:color w:val="auto"/>
                <w:kern w:val="0"/>
                <w:sz w:val="22"/>
                <w:szCs w:val="22"/>
                <w:lang w:bidi="ar"/>
              </w:rPr>
              <w:t>2020年南宁市城镇老旧小区改造工程青秀区第一片区</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color w:val="auto"/>
                <w:sz w:val="22"/>
                <w:szCs w:val="22"/>
              </w:rPr>
            </w:pPr>
            <w:r>
              <w:rPr>
                <w:rFonts w:hint="eastAsia" w:ascii="宋体" w:hAnsi="宋体" w:eastAsia="宋体" w:cs="宋体"/>
                <w:b/>
                <w:color w:val="auto"/>
                <w:kern w:val="0"/>
                <w:sz w:val="22"/>
                <w:szCs w:val="22"/>
                <w:lang w:bidi="ar"/>
              </w:rPr>
              <w:t>2020年南宁市城镇老旧小区改造工程青秀区第二片区</w:t>
            </w:r>
          </w:p>
        </w:tc>
        <w:tc>
          <w:tcPr>
            <w:tcW w:w="3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color w:val="auto"/>
                <w:sz w:val="22"/>
                <w:szCs w:val="22"/>
              </w:rPr>
            </w:pPr>
            <w:r>
              <w:rPr>
                <w:rFonts w:hint="eastAsia" w:ascii="宋体" w:hAnsi="宋体" w:eastAsia="宋体" w:cs="宋体"/>
                <w:b/>
                <w:color w:val="auto"/>
                <w:kern w:val="0"/>
                <w:sz w:val="22"/>
                <w:szCs w:val="22"/>
                <w:lang w:bidi="ar"/>
              </w:rPr>
              <w:t>2020年南宁市城镇老旧小区改造工程（三期）</w:t>
            </w:r>
          </w:p>
        </w:tc>
        <w:tc>
          <w:tcPr>
            <w:tcW w:w="54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b/>
                <w:color w:val="auto"/>
                <w:sz w:val="22"/>
                <w:szCs w:val="22"/>
              </w:rPr>
            </w:pPr>
            <w:r>
              <w:rPr>
                <w:rFonts w:hint="eastAsia" w:ascii="宋体" w:hAnsi="宋体" w:eastAsia="宋体" w:cs="宋体"/>
                <w:b/>
                <w:color w:val="auto"/>
                <w:kern w:val="0"/>
                <w:sz w:val="22"/>
                <w:szCs w:val="22"/>
                <w:lang w:bidi="ar"/>
              </w:rPr>
              <w:t>小计</w:t>
            </w:r>
          </w:p>
        </w:tc>
        <w:tc>
          <w:tcPr>
            <w:tcW w:w="39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b/>
                <w:color w:val="auto"/>
                <w:sz w:val="22"/>
                <w:szCs w:val="22"/>
              </w:rPr>
            </w:pPr>
            <w:r>
              <w:rPr>
                <w:rFonts w:hint="eastAsia" w:ascii="宋体" w:hAnsi="宋体" w:eastAsia="宋体" w:cs="宋体"/>
                <w:b/>
                <w:color w:val="auto"/>
                <w:kern w:val="0"/>
                <w:sz w:val="22"/>
                <w:szCs w:val="22"/>
                <w:lang w:bidi="ar"/>
              </w:rPr>
              <w:t>备注</w:t>
            </w:r>
          </w:p>
        </w:tc>
      </w:tr>
      <w:tr>
        <w:tblPrEx>
          <w:tblCellMar>
            <w:top w:w="0" w:type="dxa"/>
            <w:left w:w="0" w:type="dxa"/>
            <w:bottom w:w="0" w:type="dxa"/>
            <w:right w:w="0" w:type="dxa"/>
          </w:tblCellMar>
        </w:tblPrEx>
        <w:trPr>
          <w:trHeight w:val="660" w:hRule="atLeast"/>
        </w:trPr>
        <w:tc>
          <w:tcPr>
            <w:tcW w:w="1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55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项目建议书编制费用</w:t>
            </w:r>
          </w:p>
        </w:tc>
        <w:tc>
          <w:tcPr>
            <w:tcW w:w="3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3.53 </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4.70 </w:t>
            </w:r>
          </w:p>
        </w:tc>
        <w:tc>
          <w:tcPr>
            <w:tcW w:w="4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11.21 </w:t>
            </w:r>
          </w:p>
        </w:tc>
        <w:tc>
          <w:tcPr>
            <w:tcW w:w="4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3.75 </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9.24 </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7.46 </w:t>
            </w:r>
          </w:p>
        </w:tc>
        <w:tc>
          <w:tcPr>
            <w:tcW w:w="3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2.47 </w:t>
            </w:r>
          </w:p>
        </w:tc>
        <w:tc>
          <w:tcPr>
            <w:tcW w:w="54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42.36 </w:t>
            </w:r>
          </w:p>
        </w:tc>
        <w:tc>
          <w:tcPr>
            <w:tcW w:w="39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合同价</w:t>
            </w:r>
          </w:p>
        </w:tc>
      </w:tr>
      <w:tr>
        <w:tblPrEx>
          <w:tblCellMar>
            <w:top w:w="0" w:type="dxa"/>
            <w:left w:w="0" w:type="dxa"/>
            <w:bottom w:w="0" w:type="dxa"/>
            <w:right w:w="0" w:type="dxa"/>
          </w:tblCellMar>
        </w:tblPrEx>
        <w:trPr>
          <w:trHeight w:val="660" w:hRule="atLeast"/>
        </w:trPr>
        <w:tc>
          <w:tcPr>
            <w:tcW w:w="1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55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可行性研究报告编制费用</w:t>
            </w:r>
          </w:p>
        </w:tc>
        <w:tc>
          <w:tcPr>
            <w:tcW w:w="3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7.15 </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9.40 </w:t>
            </w:r>
          </w:p>
        </w:tc>
        <w:tc>
          <w:tcPr>
            <w:tcW w:w="4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22.52 </w:t>
            </w:r>
          </w:p>
        </w:tc>
        <w:tc>
          <w:tcPr>
            <w:tcW w:w="4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7.52 </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18.49 </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14.92 </w:t>
            </w:r>
          </w:p>
        </w:tc>
        <w:tc>
          <w:tcPr>
            <w:tcW w:w="3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5.34 </w:t>
            </w:r>
          </w:p>
        </w:tc>
        <w:tc>
          <w:tcPr>
            <w:tcW w:w="54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85.34 </w:t>
            </w:r>
          </w:p>
        </w:tc>
        <w:tc>
          <w:tcPr>
            <w:tcW w:w="39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合同价</w:t>
            </w:r>
          </w:p>
        </w:tc>
      </w:tr>
      <w:tr>
        <w:tblPrEx>
          <w:tblCellMar>
            <w:top w:w="0" w:type="dxa"/>
            <w:left w:w="0" w:type="dxa"/>
            <w:bottom w:w="0" w:type="dxa"/>
            <w:right w:w="0" w:type="dxa"/>
          </w:tblCellMar>
        </w:tblPrEx>
        <w:trPr>
          <w:trHeight w:val="660" w:hRule="atLeast"/>
        </w:trPr>
        <w:tc>
          <w:tcPr>
            <w:tcW w:w="1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55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工程勘察费</w:t>
            </w:r>
          </w:p>
        </w:tc>
        <w:tc>
          <w:tcPr>
            <w:tcW w:w="3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0.00 </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0.00 </w:t>
            </w:r>
          </w:p>
        </w:tc>
        <w:tc>
          <w:tcPr>
            <w:tcW w:w="4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0.00 </w:t>
            </w:r>
          </w:p>
        </w:tc>
        <w:tc>
          <w:tcPr>
            <w:tcW w:w="4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0.00 </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0.00 </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2.99 </w:t>
            </w:r>
          </w:p>
        </w:tc>
        <w:tc>
          <w:tcPr>
            <w:tcW w:w="3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0.00 </w:t>
            </w:r>
          </w:p>
        </w:tc>
        <w:tc>
          <w:tcPr>
            <w:tcW w:w="54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2.99 </w:t>
            </w:r>
          </w:p>
        </w:tc>
        <w:tc>
          <w:tcPr>
            <w:tcW w:w="39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合同价</w:t>
            </w:r>
          </w:p>
        </w:tc>
      </w:tr>
      <w:tr>
        <w:tblPrEx>
          <w:tblCellMar>
            <w:top w:w="0" w:type="dxa"/>
            <w:left w:w="0" w:type="dxa"/>
            <w:bottom w:w="0" w:type="dxa"/>
            <w:right w:w="0" w:type="dxa"/>
          </w:tblCellMar>
        </w:tblPrEx>
        <w:trPr>
          <w:trHeight w:val="660" w:hRule="atLeast"/>
        </w:trPr>
        <w:tc>
          <w:tcPr>
            <w:tcW w:w="1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55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工程设计费</w:t>
            </w:r>
          </w:p>
        </w:tc>
        <w:tc>
          <w:tcPr>
            <w:tcW w:w="3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74.29 </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116.98 </w:t>
            </w:r>
          </w:p>
        </w:tc>
        <w:tc>
          <w:tcPr>
            <w:tcW w:w="4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358.27 </w:t>
            </w:r>
          </w:p>
        </w:tc>
        <w:tc>
          <w:tcPr>
            <w:tcW w:w="4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79.28 </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252.83 </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209.85 </w:t>
            </w:r>
          </w:p>
        </w:tc>
        <w:tc>
          <w:tcPr>
            <w:tcW w:w="3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60.14 </w:t>
            </w:r>
          </w:p>
        </w:tc>
        <w:tc>
          <w:tcPr>
            <w:tcW w:w="54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1151.64 </w:t>
            </w:r>
          </w:p>
        </w:tc>
        <w:tc>
          <w:tcPr>
            <w:tcW w:w="39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合同价</w:t>
            </w:r>
          </w:p>
        </w:tc>
      </w:tr>
      <w:tr>
        <w:tblPrEx>
          <w:tblCellMar>
            <w:top w:w="0" w:type="dxa"/>
            <w:left w:w="0" w:type="dxa"/>
            <w:bottom w:w="0" w:type="dxa"/>
            <w:right w:w="0" w:type="dxa"/>
          </w:tblCellMar>
        </w:tblPrEx>
        <w:trPr>
          <w:trHeight w:val="660" w:hRule="atLeast"/>
        </w:trPr>
        <w:tc>
          <w:tcPr>
            <w:tcW w:w="1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c>
          <w:tcPr>
            <w:tcW w:w="55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施工图设计文件审查费</w:t>
            </w:r>
          </w:p>
        </w:tc>
        <w:tc>
          <w:tcPr>
            <w:tcW w:w="3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4.11 </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7.63 </w:t>
            </w:r>
          </w:p>
        </w:tc>
        <w:tc>
          <w:tcPr>
            <w:tcW w:w="4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30.03 </w:t>
            </w:r>
          </w:p>
        </w:tc>
        <w:tc>
          <w:tcPr>
            <w:tcW w:w="4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5.44 </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16.45 </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14.14 </w:t>
            </w:r>
          </w:p>
        </w:tc>
        <w:tc>
          <w:tcPr>
            <w:tcW w:w="3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3.96 </w:t>
            </w:r>
          </w:p>
        </w:tc>
        <w:tc>
          <w:tcPr>
            <w:tcW w:w="54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81.76 </w:t>
            </w:r>
          </w:p>
        </w:tc>
        <w:tc>
          <w:tcPr>
            <w:tcW w:w="3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初步设计概算</w:t>
            </w:r>
          </w:p>
        </w:tc>
      </w:tr>
      <w:tr>
        <w:tblPrEx>
          <w:tblCellMar>
            <w:top w:w="0" w:type="dxa"/>
            <w:left w:w="0" w:type="dxa"/>
            <w:bottom w:w="0" w:type="dxa"/>
            <w:right w:w="0" w:type="dxa"/>
          </w:tblCellMar>
        </w:tblPrEx>
        <w:trPr>
          <w:trHeight w:val="660" w:hRule="atLeast"/>
        </w:trPr>
        <w:tc>
          <w:tcPr>
            <w:tcW w:w="1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6</w:t>
            </w:r>
          </w:p>
        </w:tc>
        <w:tc>
          <w:tcPr>
            <w:tcW w:w="55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合计</w:t>
            </w:r>
          </w:p>
        </w:tc>
        <w:tc>
          <w:tcPr>
            <w:tcW w:w="3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89.08 </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138.71 </w:t>
            </w:r>
          </w:p>
        </w:tc>
        <w:tc>
          <w:tcPr>
            <w:tcW w:w="4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422.04 </w:t>
            </w:r>
          </w:p>
        </w:tc>
        <w:tc>
          <w:tcPr>
            <w:tcW w:w="4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95.99 </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297.00 </w:t>
            </w:r>
          </w:p>
        </w:tc>
        <w:tc>
          <w:tcPr>
            <w:tcW w:w="4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249.36 </w:t>
            </w:r>
          </w:p>
        </w:tc>
        <w:tc>
          <w:tcPr>
            <w:tcW w:w="3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71.91 </w:t>
            </w:r>
          </w:p>
        </w:tc>
        <w:tc>
          <w:tcPr>
            <w:tcW w:w="54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1364.09 </w:t>
            </w:r>
          </w:p>
        </w:tc>
        <w:tc>
          <w:tcPr>
            <w:tcW w:w="39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w:t>
            </w:r>
          </w:p>
        </w:tc>
      </w:tr>
    </w:tbl>
    <w:p>
      <w:pPr>
        <w:rPr>
          <w:rFonts w:hint="eastAsia" w:ascii="宋体" w:hAnsi="宋体" w:eastAsia="宋体" w:cs="宋体"/>
          <w:color w:val="auto"/>
          <w:sz w:val="24"/>
        </w:rPr>
        <w:sectPr>
          <w:pgSz w:w="16783" w:h="11850" w:orient="landscape"/>
          <w:pgMar w:top="1701" w:right="1587" w:bottom="1701" w:left="1587" w:header="851" w:footer="992" w:gutter="0"/>
          <w:cols w:space="720" w:num="1"/>
          <w:docGrid w:linePitch="317" w:charSpace="0"/>
        </w:sectPr>
      </w:pP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前期工作费用（PPP咨询服务费用除外）、工程监理费列入PPP建设工程投资额，项目公司成立前由南宁市财政垫付，项目公司在与实施机构签订PPP项目合同之日起3个月内，按实际发生数额足额支付给南宁市财政（已开具的发票，全部移交给项目公司入账，实施机构协助提供证明材料），项目公司方应按实施机构通知的时限要求支付工程监理费款项。项目公司逾期未足额支付的，政府方有权从建设履约担保中扣取相应款项，同时，因此给政府方造成的一切损失（包括但不限于诉讼费、保全费、律师费、差旅费等一切费用）由项目公司承担。</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未履行完的合同在项目公司成立15个日历天内由项目公司与原合同当事人签订三方协议，剩余合同款由项目公司直接支付，逾期未签订的或未支付合同款的，政府方有权从建设履约担保函中扣取相应款项。</w:t>
      </w:r>
    </w:p>
    <w:p>
      <w:pPr>
        <w:pStyle w:val="7"/>
        <w:spacing w:before="0" w:after="0" w:line="360" w:lineRule="auto"/>
        <w:ind w:firstLine="482" w:firstLineChars="200"/>
        <w:rPr>
          <w:rFonts w:hint="eastAsia" w:ascii="宋体" w:hAnsi="宋体" w:eastAsia="宋体" w:cs="宋体"/>
          <w:color w:val="auto"/>
          <w:sz w:val="24"/>
          <w:szCs w:val="24"/>
        </w:rPr>
      </w:pPr>
    </w:p>
    <w:p>
      <w:pPr>
        <w:pStyle w:val="7"/>
        <w:spacing w:before="0" w:after="0" w:line="360" w:lineRule="auto"/>
        <w:ind w:firstLine="482" w:firstLineChars="200"/>
        <w:rPr>
          <w:rFonts w:hint="eastAsia" w:ascii="宋体" w:hAnsi="宋体" w:eastAsia="宋体" w:cs="宋体"/>
          <w:color w:val="auto"/>
          <w:sz w:val="24"/>
          <w:szCs w:val="24"/>
        </w:rPr>
      </w:pPr>
      <w:r>
        <w:rPr>
          <w:rFonts w:hint="eastAsia" w:ascii="宋体" w:hAnsi="宋体" w:eastAsia="宋体" w:cs="宋体"/>
          <w:color w:val="auto"/>
          <w:sz w:val="24"/>
          <w:szCs w:val="24"/>
        </w:rPr>
        <w:t>3.社会资本方可优化设计的内容</w:t>
      </w:r>
    </w:p>
    <w:p>
      <w:pPr>
        <w:spacing w:line="360" w:lineRule="auto"/>
        <w:ind w:firstLine="601"/>
        <w:rPr>
          <w:rFonts w:hint="eastAsia" w:ascii="宋体" w:hAnsi="宋体" w:eastAsia="宋体" w:cs="宋体"/>
          <w:color w:val="auto"/>
          <w:sz w:val="24"/>
        </w:rPr>
      </w:pPr>
      <w:r>
        <w:rPr>
          <w:rFonts w:hint="eastAsia" w:ascii="宋体" w:hAnsi="宋体" w:eastAsia="宋体" w:cs="宋体"/>
          <w:color w:val="auto"/>
          <w:sz w:val="24"/>
        </w:rPr>
        <w:t xml:space="preserve">社会资本采购中标通知书发出之日起10个日历天内，社会资本方需了解项目前期工作内容、成果及风险，并有权进行优化设计、向实施机构提交优化设计建议方案的终稿，逾期未提交的，视为同意政府方的设计方案并承担相应风险。社会资本方自行承担优化设计而产生的费用。 </w:t>
      </w:r>
    </w:p>
    <w:p>
      <w:pPr>
        <w:spacing w:line="360" w:lineRule="auto"/>
        <w:ind w:firstLine="601"/>
        <w:rPr>
          <w:rFonts w:hint="eastAsia" w:ascii="宋体" w:hAnsi="宋体" w:eastAsia="宋体" w:cs="宋体"/>
          <w:color w:val="auto"/>
          <w:sz w:val="24"/>
        </w:rPr>
      </w:pPr>
      <w:r>
        <w:rPr>
          <w:rFonts w:hint="eastAsia" w:ascii="宋体" w:hAnsi="宋体" w:eastAsia="宋体" w:cs="宋体"/>
          <w:color w:val="auto"/>
          <w:sz w:val="24"/>
        </w:rPr>
        <w:t>本项目的前期工作中，社会资本方优化内容和范围须经实施机构同意并遵照施工图设计相关标准。</w:t>
      </w:r>
    </w:p>
    <w:p>
      <w:pPr>
        <w:pStyle w:val="5"/>
        <w:keepNext/>
        <w:keepLines/>
        <w:spacing w:line="360" w:lineRule="auto"/>
        <w:ind w:left="0" w:right="0"/>
        <w:jc w:val="left"/>
        <w:rPr>
          <w:rFonts w:hint="eastAsia" w:ascii="宋体" w:hAnsi="宋体" w:eastAsia="宋体" w:cs="宋体"/>
          <w:color w:val="auto"/>
          <w:sz w:val="24"/>
          <w:szCs w:val="24"/>
        </w:rPr>
      </w:pPr>
      <w:bookmarkStart w:id="123" w:name="_Toc20415"/>
      <w:r>
        <w:rPr>
          <w:rFonts w:hint="eastAsia" w:ascii="宋体" w:hAnsi="宋体" w:eastAsia="宋体" w:cs="宋体"/>
          <w:color w:val="auto"/>
          <w:sz w:val="24"/>
          <w:szCs w:val="24"/>
        </w:rPr>
        <w:br w:type="page"/>
      </w:r>
      <w:bookmarkEnd w:id="123"/>
      <w:bookmarkStart w:id="124" w:name="_Toc24129"/>
      <w:bookmarkStart w:id="125" w:name="_Toc28951"/>
      <w:bookmarkStart w:id="126" w:name="_Toc7233"/>
      <w:bookmarkStart w:id="127" w:name="_Toc21265"/>
      <w:bookmarkStart w:id="128" w:name="_Toc10656"/>
      <w:bookmarkStart w:id="129" w:name="_Toc9553"/>
      <w:bookmarkStart w:id="130" w:name="_Toc3845"/>
      <w:bookmarkStart w:id="131" w:name="_Toc15900"/>
      <w:bookmarkStart w:id="132" w:name="_Toc17747"/>
      <w:bookmarkStart w:id="133" w:name="_Toc2070"/>
      <w:bookmarkStart w:id="134" w:name="_Toc29624"/>
      <w:bookmarkStart w:id="135" w:name="_Toc9660"/>
      <w:bookmarkStart w:id="136" w:name="_Toc6905"/>
      <w:bookmarkStart w:id="137" w:name="_Toc4659"/>
      <w:bookmarkStart w:id="138" w:name="_Toc27813"/>
      <w:bookmarkStart w:id="139" w:name="_Toc4203"/>
      <w:bookmarkStart w:id="140" w:name="_Toc30597"/>
      <w:bookmarkStart w:id="141" w:name="_Toc12810"/>
      <w:bookmarkStart w:id="142" w:name="_Toc21030"/>
      <w:bookmarkStart w:id="143" w:name="_Toc27723"/>
      <w:bookmarkStart w:id="144" w:name="_Toc14451"/>
      <w:bookmarkStart w:id="145" w:name="_Toc20019"/>
      <w:bookmarkStart w:id="146" w:name="_Toc8962"/>
      <w:bookmarkStart w:id="147" w:name="_Toc31470"/>
      <w:r>
        <w:rPr>
          <w:rFonts w:hint="eastAsia" w:ascii="宋体" w:hAnsi="宋体" w:eastAsia="宋体" w:cs="宋体"/>
          <w:color w:val="auto"/>
          <w:sz w:val="24"/>
          <w:szCs w:val="24"/>
        </w:rPr>
        <w:t>二、运作</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Pr>
          <w:rFonts w:hint="eastAsia" w:ascii="宋体" w:hAnsi="宋体" w:eastAsia="宋体" w:cs="宋体"/>
          <w:color w:val="auto"/>
          <w:sz w:val="24"/>
          <w:szCs w:val="24"/>
        </w:rPr>
        <w:t>方式</w:t>
      </w:r>
      <w:bookmarkEnd w:id="144"/>
      <w:bookmarkEnd w:id="145"/>
    </w:p>
    <w:p>
      <w:pPr>
        <w:spacing w:line="360" w:lineRule="auto"/>
        <w:ind w:firstLine="601"/>
        <w:rPr>
          <w:rFonts w:hint="eastAsia" w:ascii="宋体" w:hAnsi="宋体" w:eastAsia="宋体" w:cs="宋体"/>
          <w:color w:val="auto"/>
          <w:sz w:val="24"/>
        </w:rPr>
      </w:pPr>
      <w:r>
        <w:rPr>
          <w:rFonts w:hint="eastAsia" w:ascii="宋体" w:hAnsi="宋体" w:eastAsia="宋体" w:cs="宋体"/>
          <w:color w:val="auto"/>
          <w:sz w:val="24"/>
        </w:rPr>
        <w:t>本项目拟采用改建—运营—移交（ROT）的模式推进，社会资本方在南宁市成立项目公司，政府授予项目公司特许经营权，项目投融资、建设、运营、维护、移交等工作由项目公司负责。</w:t>
      </w:r>
    </w:p>
    <w:p>
      <w:pPr>
        <w:pStyle w:val="2"/>
        <w:rPr>
          <w:rFonts w:hint="eastAsia" w:ascii="宋体" w:hAnsi="宋体" w:eastAsia="宋体" w:cs="宋体"/>
          <w:color w:val="auto"/>
        </w:rPr>
      </w:pPr>
    </w:p>
    <w:bookmarkEnd w:id="146"/>
    <w:bookmarkEnd w:id="147"/>
    <w:p>
      <w:pPr>
        <w:pStyle w:val="5"/>
        <w:keepNext/>
        <w:keepLines/>
        <w:spacing w:line="360" w:lineRule="auto"/>
        <w:ind w:left="0" w:right="0"/>
        <w:jc w:val="left"/>
        <w:rPr>
          <w:rFonts w:hint="eastAsia" w:ascii="宋体" w:hAnsi="宋体" w:eastAsia="宋体" w:cs="宋体"/>
          <w:color w:val="auto"/>
          <w:sz w:val="24"/>
          <w:szCs w:val="24"/>
        </w:rPr>
      </w:pPr>
      <w:bookmarkStart w:id="148" w:name="_Toc19310"/>
      <w:bookmarkStart w:id="149" w:name="_Toc23265"/>
      <w:r>
        <w:rPr>
          <w:rFonts w:hint="eastAsia" w:ascii="宋体" w:hAnsi="宋体" w:eastAsia="宋体" w:cs="宋体"/>
          <w:color w:val="auto"/>
          <w:sz w:val="24"/>
          <w:szCs w:val="24"/>
        </w:rPr>
        <w:t>三、投融资结构</w:t>
      </w:r>
      <w:bookmarkEnd w:id="148"/>
      <w:bookmarkEnd w:id="149"/>
    </w:p>
    <w:p>
      <w:pPr>
        <w:pStyle w:val="6"/>
        <w:keepNext w:val="0"/>
        <w:keepLines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（一）投资安排</w:t>
      </w:r>
    </w:p>
    <w:p>
      <w:pPr>
        <w:adjustRightInd w:val="0"/>
        <w:snapToGrid w:val="0"/>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1.PPP建设工程投资额</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采用PPP模式推进，项目公司负责项目投融资、建设、运营、维护、移交等工作，资金筹措、运营维护风险主要由社会资本及项目公司承担。PPP建设工程投资额依据南宁市财政投资评审中心审定的施工招标控制价、工程暂估费和初步设计批复的工程建设其他费计算。</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PPP工程建设投资额</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=工程费+工程建设其他费</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=35497.68+4089.32</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=39587.00万元</w:t>
      </w:r>
    </w:p>
    <w:p>
      <w:pPr>
        <w:adjustRightInd w:val="0"/>
        <w:snapToGrid w:val="0"/>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2.政府方投资</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工程费由政府方统筹中央、自治区补助资金资金支付，如因政府方原因或不可抗力导致工程费增加，超出社会资本方中标的工程费报价但未超出中央、自治区补助资金的部分，由政府方统筹中央、自治区补助资金支付。</w:t>
      </w:r>
    </w:p>
    <w:p>
      <w:pPr>
        <w:adjustRightInd w:val="0"/>
        <w:snapToGrid w:val="0"/>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3.社会资本方投资</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本项目工程建设其他费由社会资本方筹措。</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如工程费超出中央、自治区补助资金，或非政府方原因亦非不可抗力导致工程费增加，超出或增加的部分由社会资本方承担。</w:t>
      </w:r>
    </w:p>
    <w:p>
      <w:pPr>
        <w:pStyle w:val="2"/>
        <w:rPr>
          <w:rFonts w:hint="eastAsia" w:ascii="宋体" w:hAnsi="宋体" w:eastAsia="宋体" w:cs="宋体"/>
          <w:color w:val="auto"/>
        </w:rPr>
      </w:pPr>
    </w:p>
    <w:p>
      <w:pPr>
        <w:adjustRightInd w:val="0"/>
        <w:snapToGrid w:val="0"/>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4.资金来源</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PPP建设工程投资额为39587.00万元。项目资金来源为政府方投资及项目公司筹措，其中，工程费由政府方统筹中央、自治区补助资金支付，工程建设其他费由社会资本方筹措。社会资本方独资成立项目公司，项目公司成立后10个工作日内，项目公司注册资本金须实缴完毕。项目公司应在签订PPP项目合同之日起3个月内完成社会资本方建设投资资金（含项目公司注册资本金）筹措，并向实施机构、财政部门提交验资报告、银行账户余额证明、金融机构提供的融资或贷款协议，以及配套的抵押、质押证明文件，以证明股本资金、建设资金落实到位。政府方不参与本项目融资，且不承担协助融资义务。</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项目公司注册资本金实缴完毕后，政府方投资部分方能按计划节点转入项目公司在银行开设的专用资金账户，且该账户须为项目公司和实施机构共管账户。</w:t>
      </w:r>
    </w:p>
    <w:p>
      <w:pPr>
        <w:adjustRightInd w:val="0"/>
        <w:snapToGrid w:val="0"/>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lang w:eastAsia="zh-CN"/>
        </w:rPr>
        <w:t>政府方投资资金拨付计划如下：项目签订施工合同或开工之日起15个日历天内，拨付工程费中标价的30%；单个片区项目总体进度达到50%后，再拨付该片区工程费中标价的50%；单个片区竣工验收通过后，再拨付该片区工程费中标价的10%；剩余款项按工程费结算审定价格据实结算，项目公司应按工程费结算审定价格的3%预留工程质量保修金，待工程质量保修期满后返还（无息）。</w:t>
      </w:r>
    </w:p>
    <w:p>
      <w:pPr>
        <w:adjustRightInd w:val="0"/>
        <w:snapToGrid w:val="0"/>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5.项目公司注册资本金</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由社会资本方筹措项目工程建设其他费。社会资本签订PPP项目合作协议后5个工作日内依法在南宁市注册成立项目公司，注册资本金为人民币1000万元，社会资本全额出资。项目公司成立后10个工作日内，社会资本须以自有货币资金缴足注册资本金，且不得以任何方式抽回。</w:t>
      </w:r>
    </w:p>
    <w:p>
      <w:pPr>
        <w:adjustRightInd w:val="0"/>
        <w:snapToGrid w:val="0"/>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6.运营维护资金</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本项目的运营、维护和管理工作由项目公司负责，项目公司承担运营维护所需资金和风险。</w:t>
      </w:r>
    </w:p>
    <w:p>
      <w:pPr>
        <w:pStyle w:val="6"/>
        <w:keepNext w:val="0"/>
        <w:keepLines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（二）融资安排</w:t>
      </w:r>
    </w:p>
    <w:p>
      <w:pPr>
        <w:spacing w:line="360" w:lineRule="auto"/>
        <w:ind w:firstLine="560"/>
        <w:rPr>
          <w:rFonts w:hint="eastAsia" w:ascii="宋体" w:hAnsi="宋体" w:eastAsia="宋体" w:cs="宋体"/>
          <w:color w:val="auto"/>
          <w:sz w:val="24"/>
        </w:rPr>
      </w:pPr>
      <w:r>
        <w:rPr>
          <w:rFonts w:hint="eastAsia" w:ascii="宋体" w:hAnsi="宋体" w:eastAsia="宋体" w:cs="宋体"/>
          <w:color w:val="auto"/>
          <w:sz w:val="24"/>
        </w:rPr>
        <w:t>本项目政府方投资由政府方统筹中央、自治区补助资金安排。</w:t>
      </w:r>
    </w:p>
    <w:p>
      <w:pPr>
        <w:spacing w:line="360" w:lineRule="auto"/>
        <w:ind w:firstLine="560"/>
        <w:rPr>
          <w:rFonts w:hint="eastAsia" w:ascii="宋体" w:hAnsi="宋体" w:eastAsia="宋体" w:cs="宋体"/>
          <w:color w:val="auto"/>
          <w:sz w:val="24"/>
        </w:rPr>
      </w:pPr>
      <w:r>
        <w:rPr>
          <w:rFonts w:hint="eastAsia" w:ascii="宋体" w:hAnsi="宋体" w:eastAsia="宋体" w:cs="宋体"/>
          <w:color w:val="auto"/>
          <w:sz w:val="24"/>
        </w:rPr>
        <w:t>本项目社会资本方投资由社会资本方、项目公司负责融资，政府方不参与本项目融资，不承担协助融资责任。</w:t>
      </w:r>
    </w:p>
    <w:p>
      <w:pPr>
        <w:spacing w:line="360" w:lineRule="auto"/>
        <w:ind w:firstLine="560"/>
        <w:rPr>
          <w:rFonts w:hint="eastAsia" w:ascii="宋体" w:hAnsi="宋体" w:eastAsia="宋体" w:cs="宋体"/>
          <w:color w:val="auto"/>
          <w:sz w:val="24"/>
        </w:rPr>
      </w:pPr>
      <w:r>
        <w:rPr>
          <w:rFonts w:hint="eastAsia" w:ascii="宋体" w:hAnsi="宋体" w:eastAsia="宋体" w:cs="宋体"/>
          <w:color w:val="auto"/>
          <w:sz w:val="24"/>
        </w:rPr>
        <w:t>项目公司负责的资金筹措，以项目公司名义进行融资。在全生命周期内，社会资本方负责对项目公司进行的本项目债权性融资承担连带责任。如果项目公司不能顺利完成项目融资，则社会资本方须通过自有资金、股东借款、补充提供担保等其他有效方式承担融资责任，以确保项目公司的融资足额、及时到位，并能充分保证其所进行的债权融资活动不会损害社会公共利益、政府利益，并且也不妨碍项目的正常实施和运作。当项目公司因破产倒闭等原因无法继续实施本项目时，中选社会资本方须承担项目公司相应的运营及融资还款责任。</w:t>
      </w:r>
    </w:p>
    <w:p>
      <w:pPr>
        <w:spacing w:line="360" w:lineRule="auto"/>
        <w:ind w:firstLine="560"/>
        <w:rPr>
          <w:rFonts w:hint="eastAsia" w:ascii="宋体" w:hAnsi="宋体" w:eastAsia="宋体" w:cs="宋体"/>
          <w:color w:val="auto"/>
          <w:sz w:val="24"/>
        </w:rPr>
      </w:pPr>
      <w:r>
        <w:rPr>
          <w:rFonts w:hint="eastAsia" w:ascii="宋体" w:hAnsi="宋体" w:eastAsia="宋体" w:cs="宋体"/>
          <w:color w:val="auto"/>
          <w:sz w:val="24"/>
        </w:rPr>
        <w:t>出于为本项目融资的目的，在征得实施机构、南宁市人民政府书面同意后，项目公司可依法将PPP项目合同项下的收费权、预期收益作为本项目的融资质押或抵押等担保，但项目公司设置该担保权益不得损害政府方的权利或利益，且担保的期限届满之日早于运营期届满前一年。</w:t>
      </w:r>
    </w:p>
    <w:p>
      <w:pPr>
        <w:spacing w:line="360" w:lineRule="auto"/>
        <w:ind w:firstLine="560"/>
        <w:rPr>
          <w:rFonts w:hint="eastAsia" w:ascii="宋体" w:hAnsi="宋体" w:eastAsia="宋体" w:cs="宋体"/>
          <w:color w:val="auto"/>
          <w:sz w:val="24"/>
        </w:rPr>
      </w:pPr>
      <w:r>
        <w:rPr>
          <w:rFonts w:hint="eastAsia" w:ascii="宋体" w:hAnsi="宋体" w:eastAsia="宋体" w:cs="宋体"/>
          <w:color w:val="auto"/>
          <w:sz w:val="24"/>
        </w:rPr>
        <w:t>项目公司不按约定实缴注册资本金及社会资本方建设资金不按约定到位，实施机构有权提取建设履约担保函项下款项，每逾期一日提取建设履约担保函的千分之一，且在此期间发生的进度款支付等风险由项目公司承担。</w:t>
      </w:r>
    </w:p>
    <w:p>
      <w:pPr>
        <w:pStyle w:val="6"/>
        <w:keepNext w:val="0"/>
        <w:keepLines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（三）建设资金监管</w:t>
      </w:r>
    </w:p>
    <w:p>
      <w:pPr>
        <w:adjustRightInd w:val="0"/>
        <w:snapToGrid w:val="0"/>
        <w:spacing w:line="360" w:lineRule="auto"/>
        <w:ind w:firstLine="480" w:firstLineChars="200"/>
        <w:rPr>
          <w:rFonts w:hint="eastAsia" w:ascii="宋体" w:hAnsi="宋体" w:eastAsia="宋体" w:cs="宋体"/>
          <w:color w:val="auto"/>
          <w:sz w:val="24"/>
          <w:lang w:bidi="ar"/>
        </w:rPr>
      </w:pPr>
      <w:r>
        <w:rPr>
          <w:rFonts w:hint="eastAsia" w:ascii="宋体" w:hAnsi="宋体" w:eastAsia="宋体" w:cs="宋体"/>
          <w:color w:val="auto"/>
          <w:sz w:val="24"/>
          <w:lang w:bidi="ar"/>
        </w:rPr>
        <w:t>项目公司应为本项目在银行开设基本资金账户和专用资金账户，中央及自治区补助资金按计划节点拨付到专用资金账户，专用资金账户由项目公司和实施机构共同管理。项目公司应根据项目建设，建设资金专款专用，按国家有关财务、会计制度对拨入的资金和本项目的资产、负债进行独立核算，接受实施机构监督。项目公司每个月向实施机构报送资金使用计划和每月实际支付信息备案。实施机构有权随时查询了解专门资金账户的资金金额和使用情况，并委托第三方审计机构跟踪审计，第三方审计费用由实施机构承担。</w:t>
      </w:r>
    </w:p>
    <w:p>
      <w:pPr>
        <w:adjustRightInd w:val="0"/>
        <w:snapToGrid w:val="0"/>
        <w:spacing w:line="360" w:lineRule="auto"/>
        <w:ind w:firstLine="480" w:firstLineChars="200"/>
        <w:rPr>
          <w:rFonts w:hint="eastAsia" w:ascii="宋体" w:hAnsi="宋体" w:eastAsia="宋体" w:cs="宋体"/>
          <w:color w:val="auto"/>
          <w:sz w:val="24"/>
          <w:lang w:bidi="ar"/>
        </w:rPr>
      </w:pPr>
      <w:r>
        <w:rPr>
          <w:rFonts w:hint="eastAsia" w:ascii="宋体" w:hAnsi="宋体" w:eastAsia="宋体" w:cs="宋体"/>
          <w:color w:val="auto"/>
          <w:sz w:val="24"/>
          <w:lang w:bidi="ar"/>
        </w:rPr>
        <w:t>项目公司在单个片区竣工验收合格后一个月内向财政部门报送竣工财务决算资料审核，用于确认本项目的建设费用，逾期未报送的，实施机构有权提取建设履约担保之下款项，每逾期1日提取建设履约担保的1‰，实施机构有权自行委托第三方机构进行竣工财务决算。</w:t>
      </w:r>
    </w:p>
    <w:p>
      <w:pPr>
        <w:adjustRightInd w:val="0"/>
        <w:snapToGrid w:val="0"/>
        <w:spacing w:line="360" w:lineRule="auto"/>
        <w:ind w:firstLine="480" w:firstLineChars="200"/>
        <w:rPr>
          <w:rFonts w:hint="eastAsia" w:ascii="宋体" w:hAnsi="宋体" w:eastAsia="宋体" w:cs="宋体"/>
          <w:color w:val="auto"/>
          <w:sz w:val="24"/>
          <w:lang w:bidi="ar"/>
        </w:rPr>
      </w:pPr>
      <w:r>
        <w:rPr>
          <w:rFonts w:hint="eastAsia" w:ascii="宋体" w:hAnsi="宋体" w:eastAsia="宋体" w:cs="宋体"/>
          <w:color w:val="auto"/>
          <w:sz w:val="24"/>
          <w:lang w:bidi="ar"/>
        </w:rPr>
        <w:t>实施机构有权通过过程审计等措施对项目公司筹集的资金及使用实行监管，项目公司应配合，接受实施机构因检查而提出的意见，并立即纠正，将纠正结果报实施机构备案。</w:t>
      </w:r>
    </w:p>
    <w:p>
      <w:pPr>
        <w:adjustRightInd w:val="0"/>
        <w:snapToGrid w:val="0"/>
        <w:spacing w:line="360" w:lineRule="auto"/>
        <w:ind w:firstLine="480" w:firstLineChars="200"/>
        <w:rPr>
          <w:rFonts w:hint="eastAsia" w:ascii="宋体" w:hAnsi="宋体" w:eastAsia="宋体" w:cs="宋体"/>
          <w:color w:val="auto"/>
          <w:sz w:val="24"/>
          <w:lang w:bidi="ar"/>
        </w:rPr>
      </w:pPr>
      <w:r>
        <w:rPr>
          <w:rFonts w:hint="eastAsia" w:ascii="宋体" w:hAnsi="宋体" w:eastAsia="宋体" w:cs="宋体"/>
          <w:color w:val="auto"/>
          <w:sz w:val="24"/>
          <w:lang w:bidi="ar"/>
        </w:rPr>
        <w:t>实施机构有权对下列事项进行资金监管：</w:t>
      </w:r>
    </w:p>
    <w:p>
      <w:pPr>
        <w:adjustRightInd w:val="0"/>
        <w:snapToGrid w:val="0"/>
        <w:spacing w:line="360" w:lineRule="auto"/>
        <w:ind w:firstLine="480" w:firstLineChars="200"/>
        <w:rPr>
          <w:rFonts w:hint="eastAsia" w:ascii="宋体" w:hAnsi="宋体" w:eastAsia="宋体" w:cs="宋体"/>
          <w:color w:val="auto"/>
          <w:sz w:val="24"/>
          <w:lang w:bidi="ar"/>
        </w:rPr>
      </w:pPr>
      <w:r>
        <w:rPr>
          <w:rFonts w:hint="eastAsia" w:ascii="宋体" w:hAnsi="宋体" w:eastAsia="宋体" w:cs="宋体"/>
          <w:color w:val="auto"/>
          <w:sz w:val="24"/>
          <w:lang w:bidi="ar"/>
        </w:rPr>
        <w:t>（1）筹措资金来源是否合法；</w:t>
      </w:r>
    </w:p>
    <w:p>
      <w:pPr>
        <w:adjustRightInd w:val="0"/>
        <w:snapToGrid w:val="0"/>
        <w:spacing w:line="360" w:lineRule="auto"/>
        <w:ind w:firstLine="480" w:firstLineChars="200"/>
        <w:rPr>
          <w:rFonts w:hint="eastAsia" w:ascii="宋体" w:hAnsi="宋体" w:eastAsia="宋体" w:cs="宋体"/>
          <w:color w:val="auto"/>
          <w:sz w:val="24"/>
          <w:lang w:bidi="ar"/>
        </w:rPr>
      </w:pPr>
      <w:r>
        <w:rPr>
          <w:rFonts w:hint="eastAsia" w:ascii="宋体" w:hAnsi="宋体" w:eastAsia="宋体" w:cs="宋体"/>
          <w:color w:val="auto"/>
          <w:sz w:val="24"/>
          <w:lang w:bidi="ar"/>
        </w:rPr>
        <w:t>（2）是否严格执行资金使用计划，项目公司注册资本金与融资资金是否及时到位；</w:t>
      </w:r>
    </w:p>
    <w:p>
      <w:pPr>
        <w:adjustRightInd w:val="0"/>
        <w:snapToGrid w:val="0"/>
        <w:spacing w:line="360" w:lineRule="auto"/>
        <w:ind w:firstLine="480" w:firstLineChars="200"/>
        <w:rPr>
          <w:rFonts w:hint="eastAsia" w:ascii="宋体" w:hAnsi="宋体" w:eastAsia="宋体" w:cs="宋体"/>
          <w:color w:val="auto"/>
          <w:sz w:val="24"/>
          <w:lang w:bidi="ar"/>
        </w:rPr>
      </w:pPr>
      <w:r>
        <w:rPr>
          <w:rFonts w:hint="eastAsia" w:ascii="宋体" w:hAnsi="宋体" w:eastAsia="宋体" w:cs="宋体"/>
          <w:color w:val="auto"/>
          <w:sz w:val="24"/>
          <w:lang w:bidi="ar"/>
        </w:rPr>
        <w:t>（3）是否抽逃、挪用、挤占、截留建设资金，高息集资和变相高息集资；</w:t>
      </w:r>
    </w:p>
    <w:p>
      <w:pPr>
        <w:adjustRightInd w:val="0"/>
        <w:snapToGrid w:val="0"/>
        <w:spacing w:line="360" w:lineRule="auto"/>
        <w:ind w:firstLine="480" w:firstLineChars="200"/>
        <w:rPr>
          <w:rFonts w:hint="eastAsia" w:ascii="宋体" w:hAnsi="宋体" w:eastAsia="宋体" w:cs="宋体"/>
          <w:color w:val="auto"/>
          <w:sz w:val="24"/>
          <w:lang w:bidi="ar"/>
        </w:rPr>
      </w:pPr>
      <w:r>
        <w:rPr>
          <w:rFonts w:hint="eastAsia" w:ascii="宋体" w:hAnsi="宋体" w:eastAsia="宋体" w:cs="宋体"/>
          <w:color w:val="auto"/>
          <w:sz w:val="24"/>
          <w:lang w:bidi="ar"/>
        </w:rPr>
        <w:t>（4）是否严格执行基本建设程序及建设资金专款专用、专户储存管理的规定；</w:t>
      </w:r>
    </w:p>
    <w:p>
      <w:pPr>
        <w:adjustRightInd w:val="0"/>
        <w:snapToGrid w:val="0"/>
        <w:spacing w:line="360" w:lineRule="auto"/>
        <w:ind w:firstLine="480" w:firstLineChars="200"/>
        <w:rPr>
          <w:rFonts w:hint="eastAsia" w:ascii="宋体" w:hAnsi="宋体" w:eastAsia="宋体" w:cs="宋体"/>
          <w:color w:val="auto"/>
          <w:sz w:val="24"/>
          <w:lang w:bidi="ar"/>
        </w:rPr>
      </w:pPr>
      <w:r>
        <w:rPr>
          <w:rFonts w:hint="eastAsia" w:ascii="宋体" w:hAnsi="宋体" w:eastAsia="宋体" w:cs="宋体"/>
          <w:color w:val="auto"/>
          <w:sz w:val="24"/>
          <w:lang w:bidi="ar"/>
        </w:rPr>
        <w:t>（5）是否严格执行概预算管理的有关规定；</w:t>
      </w:r>
    </w:p>
    <w:p>
      <w:pPr>
        <w:adjustRightInd w:val="0"/>
        <w:snapToGrid w:val="0"/>
        <w:spacing w:line="360" w:lineRule="auto"/>
        <w:ind w:firstLine="480" w:firstLineChars="200"/>
        <w:rPr>
          <w:rFonts w:hint="eastAsia" w:ascii="宋体" w:hAnsi="宋体" w:eastAsia="宋体" w:cs="宋体"/>
          <w:color w:val="auto"/>
          <w:sz w:val="24"/>
          <w:lang w:bidi="ar"/>
        </w:rPr>
      </w:pPr>
      <w:r>
        <w:rPr>
          <w:rFonts w:hint="eastAsia" w:ascii="宋体" w:hAnsi="宋体" w:eastAsia="宋体" w:cs="宋体"/>
          <w:color w:val="auto"/>
          <w:sz w:val="24"/>
          <w:lang w:bidi="ar"/>
        </w:rPr>
        <w:t>（6）是否将建设资金用于本项目外的工程；</w:t>
      </w:r>
    </w:p>
    <w:p>
      <w:pPr>
        <w:adjustRightInd w:val="0"/>
        <w:snapToGrid w:val="0"/>
        <w:spacing w:line="360" w:lineRule="auto"/>
        <w:ind w:firstLine="480" w:firstLineChars="200"/>
        <w:rPr>
          <w:rFonts w:hint="eastAsia" w:ascii="宋体" w:hAnsi="宋体" w:eastAsia="宋体" w:cs="宋体"/>
          <w:color w:val="auto"/>
          <w:sz w:val="24"/>
          <w:lang w:bidi="ar"/>
        </w:rPr>
      </w:pPr>
      <w:r>
        <w:rPr>
          <w:rFonts w:hint="eastAsia" w:ascii="宋体" w:hAnsi="宋体" w:eastAsia="宋体" w:cs="宋体"/>
          <w:color w:val="auto"/>
          <w:sz w:val="24"/>
          <w:lang w:bidi="ar"/>
        </w:rPr>
        <w:t>（7）是否建立健全财务机构，财务制度是否规范；</w:t>
      </w:r>
    </w:p>
    <w:p>
      <w:pPr>
        <w:adjustRightInd w:val="0"/>
        <w:snapToGrid w:val="0"/>
        <w:spacing w:line="360" w:lineRule="auto"/>
        <w:ind w:firstLine="480" w:firstLineChars="200"/>
        <w:rPr>
          <w:rFonts w:hint="eastAsia" w:ascii="宋体" w:hAnsi="宋体" w:eastAsia="宋体" w:cs="宋体"/>
          <w:color w:val="auto"/>
          <w:sz w:val="24"/>
          <w:lang w:bidi="ar"/>
        </w:rPr>
      </w:pPr>
      <w:r>
        <w:rPr>
          <w:rFonts w:hint="eastAsia" w:ascii="宋体" w:hAnsi="宋体" w:eastAsia="宋体" w:cs="宋体"/>
          <w:color w:val="auto"/>
          <w:sz w:val="24"/>
          <w:lang w:bidi="ar"/>
        </w:rPr>
        <w:t>（8）是否存在违反与建设资金筹措、使用监管有关的法律、法规等规定的其他行为；</w:t>
      </w:r>
    </w:p>
    <w:p>
      <w:pPr>
        <w:adjustRightInd w:val="0"/>
        <w:snapToGrid w:val="0"/>
        <w:spacing w:line="360" w:lineRule="auto"/>
        <w:ind w:firstLine="480" w:firstLineChars="200"/>
        <w:rPr>
          <w:rFonts w:hint="eastAsia" w:ascii="宋体" w:hAnsi="宋体" w:eastAsia="宋体" w:cs="宋体"/>
          <w:color w:val="auto"/>
          <w:sz w:val="24"/>
          <w:lang w:bidi="ar"/>
        </w:rPr>
      </w:pPr>
      <w:r>
        <w:rPr>
          <w:rFonts w:hint="eastAsia" w:ascii="宋体" w:hAnsi="宋体" w:eastAsia="宋体" w:cs="宋体"/>
          <w:color w:val="auto"/>
          <w:sz w:val="24"/>
          <w:lang w:bidi="ar"/>
        </w:rPr>
        <w:t>（9）是否按照中央、自治区及南宁市补助资金相关要求规范使用资金；</w:t>
      </w:r>
    </w:p>
    <w:p>
      <w:pPr>
        <w:adjustRightInd w:val="0"/>
        <w:snapToGrid w:val="0"/>
        <w:spacing w:line="360" w:lineRule="auto"/>
        <w:ind w:firstLine="480" w:firstLineChars="200"/>
        <w:rPr>
          <w:rFonts w:hint="eastAsia" w:ascii="宋体" w:hAnsi="宋体" w:eastAsia="宋体" w:cs="宋体"/>
          <w:color w:val="auto"/>
          <w:sz w:val="24"/>
          <w:lang w:bidi="ar"/>
        </w:rPr>
      </w:pPr>
      <w:r>
        <w:rPr>
          <w:rFonts w:hint="eastAsia" w:ascii="宋体" w:hAnsi="宋体" w:eastAsia="宋体" w:cs="宋体"/>
          <w:color w:val="auto"/>
          <w:sz w:val="24"/>
          <w:lang w:bidi="ar"/>
        </w:rPr>
        <w:t>（10）其他关于建设资金的使用情况。</w:t>
      </w:r>
    </w:p>
    <w:p>
      <w:pPr>
        <w:adjustRightInd w:val="0"/>
        <w:snapToGrid w:val="0"/>
        <w:spacing w:line="360" w:lineRule="auto"/>
        <w:ind w:firstLine="480" w:firstLineChars="200"/>
        <w:rPr>
          <w:rFonts w:hint="eastAsia" w:ascii="宋体" w:hAnsi="宋体" w:eastAsia="宋体" w:cs="宋体"/>
          <w:color w:val="auto"/>
          <w:sz w:val="24"/>
          <w:lang w:bidi="ar"/>
        </w:rPr>
      </w:pPr>
      <w:r>
        <w:rPr>
          <w:rFonts w:hint="eastAsia" w:ascii="宋体" w:hAnsi="宋体" w:eastAsia="宋体" w:cs="宋体"/>
          <w:color w:val="auto"/>
          <w:sz w:val="24"/>
          <w:lang w:bidi="ar"/>
        </w:rPr>
        <w:t>本项目中央及自治区补助资金使用要求详见下表：</w:t>
      </w:r>
    </w:p>
    <w:p>
      <w:pPr>
        <w:widowControl/>
        <w:spacing w:line="360" w:lineRule="auto"/>
        <w:jc w:val="center"/>
        <w:rPr>
          <w:rFonts w:hint="eastAsia" w:ascii="宋体" w:hAnsi="宋体" w:eastAsia="宋体" w:cs="宋体"/>
          <w:b/>
          <w:bCs/>
          <w:color w:val="auto"/>
          <w:kern w:val="0"/>
          <w:sz w:val="24"/>
          <w:lang w:bidi="ar"/>
        </w:rPr>
      </w:pPr>
      <w:r>
        <w:rPr>
          <w:rFonts w:hint="eastAsia" w:ascii="宋体" w:hAnsi="宋体" w:eastAsia="宋体" w:cs="宋体"/>
          <w:b/>
          <w:bCs/>
          <w:color w:val="auto"/>
          <w:sz w:val="24"/>
        </w:rPr>
        <w:t>本</w:t>
      </w:r>
      <w:r>
        <w:rPr>
          <w:rFonts w:hint="eastAsia" w:ascii="宋体" w:hAnsi="宋体" w:eastAsia="宋体" w:cs="宋体"/>
          <w:b/>
          <w:bCs/>
          <w:color w:val="auto"/>
          <w:kern w:val="0"/>
          <w:sz w:val="24"/>
          <w:lang w:bidi="ar"/>
        </w:rPr>
        <w:t>项目获得中央及自治区补助资金使用要求</w:t>
      </w:r>
    </w:p>
    <w:tbl>
      <w:tblPr>
        <w:tblStyle w:val="23"/>
        <w:tblW w:w="4998" w:type="pct"/>
        <w:tblInd w:w="0" w:type="dxa"/>
        <w:tblLayout w:type="autofit"/>
        <w:tblCellMar>
          <w:top w:w="0" w:type="dxa"/>
          <w:left w:w="108" w:type="dxa"/>
          <w:bottom w:w="0" w:type="dxa"/>
          <w:right w:w="108" w:type="dxa"/>
        </w:tblCellMar>
      </w:tblPr>
      <w:tblGrid>
        <w:gridCol w:w="957"/>
        <w:gridCol w:w="2833"/>
        <w:gridCol w:w="2085"/>
        <w:gridCol w:w="2015"/>
        <w:gridCol w:w="771"/>
      </w:tblGrid>
      <w:tr>
        <w:tblPrEx>
          <w:tblCellMar>
            <w:top w:w="0" w:type="dxa"/>
            <w:left w:w="108" w:type="dxa"/>
            <w:bottom w:w="0" w:type="dxa"/>
            <w:right w:w="108" w:type="dxa"/>
          </w:tblCellMar>
        </w:tblPrEx>
        <w:trPr>
          <w:trHeight w:val="567" w:hRule="atLeast"/>
        </w:trPr>
        <w:tc>
          <w:tcPr>
            <w:tcW w:w="55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bCs/>
                <w:color w:val="auto"/>
                <w:sz w:val="24"/>
              </w:rPr>
            </w:pPr>
            <w:r>
              <w:rPr>
                <w:rFonts w:hint="eastAsia" w:ascii="宋体" w:hAnsi="宋体" w:eastAsia="宋体" w:cs="宋体"/>
                <w:b/>
                <w:bCs/>
                <w:color w:val="auto"/>
                <w:kern w:val="0"/>
                <w:sz w:val="24"/>
                <w:lang w:bidi="ar"/>
              </w:rPr>
              <w:t>序号</w:t>
            </w:r>
          </w:p>
        </w:tc>
        <w:tc>
          <w:tcPr>
            <w:tcW w:w="16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bCs/>
                <w:color w:val="auto"/>
                <w:sz w:val="24"/>
              </w:rPr>
            </w:pPr>
            <w:r>
              <w:rPr>
                <w:rFonts w:hint="eastAsia" w:ascii="宋体" w:hAnsi="宋体" w:eastAsia="宋体" w:cs="宋体"/>
                <w:b/>
                <w:bCs/>
                <w:color w:val="auto"/>
                <w:kern w:val="0"/>
                <w:sz w:val="24"/>
                <w:lang w:bidi="ar"/>
              </w:rPr>
              <w:t>资金类别</w:t>
            </w:r>
          </w:p>
        </w:tc>
        <w:tc>
          <w:tcPr>
            <w:tcW w:w="120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bCs/>
                <w:color w:val="auto"/>
                <w:sz w:val="24"/>
              </w:rPr>
            </w:pPr>
            <w:r>
              <w:rPr>
                <w:rFonts w:hint="eastAsia" w:ascii="宋体" w:hAnsi="宋体" w:eastAsia="宋体" w:cs="宋体"/>
                <w:b/>
                <w:bCs/>
                <w:color w:val="auto"/>
                <w:kern w:val="0"/>
                <w:sz w:val="24"/>
                <w:lang w:bidi="ar"/>
              </w:rPr>
              <w:t>资金使用方向要求</w:t>
            </w:r>
          </w:p>
        </w:tc>
        <w:tc>
          <w:tcPr>
            <w:tcW w:w="11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bCs/>
                <w:color w:val="auto"/>
                <w:sz w:val="24"/>
              </w:rPr>
            </w:pPr>
            <w:r>
              <w:rPr>
                <w:rFonts w:hint="eastAsia" w:ascii="宋体" w:hAnsi="宋体" w:eastAsia="宋体" w:cs="宋体"/>
                <w:b/>
                <w:bCs/>
                <w:color w:val="auto"/>
                <w:kern w:val="0"/>
                <w:sz w:val="24"/>
                <w:lang w:bidi="ar"/>
              </w:rPr>
              <w:t>使用时间要求</w:t>
            </w:r>
          </w:p>
        </w:tc>
        <w:tc>
          <w:tcPr>
            <w:tcW w:w="44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bCs/>
                <w:color w:val="auto"/>
                <w:sz w:val="24"/>
              </w:rPr>
            </w:pPr>
            <w:r>
              <w:rPr>
                <w:rFonts w:hint="eastAsia" w:ascii="宋体" w:hAnsi="宋体" w:eastAsia="宋体" w:cs="宋体"/>
                <w:b/>
                <w:bCs/>
                <w:color w:val="auto"/>
                <w:kern w:val="0"/>
                <w:sz w:val="24"/>
                <w:lang w:bidi="ar"/>
              </w:rPr>
              <w:t>备注</w:t>
            </w:r>
          </w:p>
        </w:tc>
      </w:tr>
      <w:tr>
        <w:tblPrEx>
          <w:tblCellMar>
            <w:top w:w="0" w:type="dxa"/>
            <w:left w:w="108" w:type="dxa"/>
            <w:bottom w:w="0" w:type="dxa"/>
            <w:right w:w="108" w:type="dxa"/>
          </w:tblCellMar>
        </w:tblPrEx>
        <w:trPr>
          <w:trHeight w:val="567" w:hRule="atLeast"/>
        </w:trPr>
        <w:tc>
          <w:tcPr>
            <w:tcW w:w="55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w:t>
            </w:r>
          </w:p>
        </w:tc>
        <w:tc>
          <w:tcPr>
            <w:tcW w:w="16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中央财政城镇保障性安居工程老旧小区改造资金</w:t>
            </w:r>
          </w:p>
        </w:tc>
        <w:tc>
          <w:tcPr>
            <w:tcW w:w="120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用于楼栋主体改造</w:t>
            </w:r>
          </w:p>
        </w:tc>
        <w:tc>
          <w:tcPr>
            <w:tcW w:w="1163"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 w:val="24"/>
              </w:rPr>
            </w:pPr>
            <w:r>
              <w:rPr>
                <w:rFonts w:hint="eastAsia" w:ascii="宋体" w:hAnsi="宋体" w:eastAsia="宋体" w:cs="宋体"/>
                <w:color w:val="auto"/>
                <w:kern w:val="0"/>
                <w:sz w:val="24"/>
                <w:lang w:bidi="ar"/>
              </w:rPr>
              <w:t>暂无</w:t>
            </w:r>
          </w:p>
        </w:tc>
        <w:tc>
          <w:tcPr>
            <w:tcW w:w="445"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 w:val="24"/>
              </w:rPr>
            </w:pPr>
          </w:p>
        </w:tc>
      </w:tr>
      <w:tr>
        <w:tblPrEx>
          <w:tblCellMar>
            <w:top w:w="0" w:type="dxa"/>
            <w:left w:w="108" w:type="dxa"/>
            <w:bottom w:w="0" w:type="dxa"/>
            <w:right w:w="108" w:type="dxa"/>
          </w:tblCellMar>
        </w:tblPrEx>
        <w:trPr>
          <w:trHeight w:val="760" w:hRule="atLeast"/>
        </w:trPr>
        <w:tc>
          <w:tcPr>
            <w:tcW w:w="55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w:t>
            </w:r>
          </w:p>
        </w:tc>
        <w:tc>
          <w:tcPr>
            <w:tcW w:w="16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中央预算内投资补助资金</w:t>
            </w:r>
          </w:p>
        </w:tc>
        <w:tc>
          <w:tcPr>
            <w:tcW w:w="120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用于公共基础配套设施改造</w:t>
            </w:r>
          </w:p>
        </w:tc>
        <w:tc>
          <w:tcPr>
            <w:tcW w:w="1163"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2021年年底前支付率达到80%以上</w:t>
            </w:r>
          </w:p>
        </w:tc>
        <w:tc>
          <w:tcPr>
            <w:tcW w:w="445"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 w:val="24"/>
              </w:rPr>
            </w:pPr>
          </w:p>
        </w:tc>
      </w:tr>
      <w:tr>
        <w:tblPrEx>
          <w:tblCellMar>
            <w:top w:w="0" w:type="dxa"/>
            <w:left w:w="108" w:type="dxa"/>
            <w:bottom w:w="0" w:type="dxa"/>
            <w:right w:w="108" w:type="dxa"/>
          </w:tblCellMar>
        </w:tblPrEx>
        <w:trPr>
          <w:trHeight w:val="567" w:hRule="atLeast"/>
        </w:trPr>
        <w:tc>
          <w:tcPr>
            <w:tcW w:w="55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3</w:t>
            </w:r>
          </w:p>
        </w:tc>
        <w:tc>
          <w:tcPr>
            <w:tcW w:w="16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自治区财政城镇保障性安居工程补助资金</w:t>
            </w:r>
          </w:p>
        </w:tc>
        <w:tc>
          <w:tcPr>
            <w:tcW w:w="120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暂无</w:t>
            </w:r>
          </w:p>
        </w:tc>
        <w:tc>
          <w:tcPr>
            <w:tcW w:w="1163"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24"/>
              </w:rPr>
            </w:pPr>
            <w:r>
              <w:rPr>
                <w:rFonts w:hint="eastAsia" w:ascii="宋体" w:hAnsi="宋体" w:eastAsia="宋体" w:cs="宋体"/>
                <w:color w:val="auto"/>
                <w:kern w:val="0"/>
                <w:sz w:val="24"/>
                <w:lang w:bidi="ar"/>
              </w:rPr>
              <w:t>暂无</w:t>
            </w:r>
          </w:p>
        </w:tc>
        <w:tc>
          <w:tcPr>
            <w:tcW w:w="44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24"/>
              </w:rPr>
            </w:pPr>
          </w:p>
        </w:tc>
      </w:tr>
      <w:tr>
        <w:tblPrEx>
          <w:tblCellMar>
            <w:top w:w="0" w:type="dxa"/>
            <w:left w:w="108" w:type="dxa"/>
            <w:bottom w:w="0" w:type="dxa"/>
            <w:right w:w="108" w:type="dxa"/>
          </w:tblCellMar>
        </w:tblPrEx>
        <w:trPr>
          <w:trHeight w:val="567" w:hRule="atLeast"/>
        </w:trPr>
        <w:tc>
          <w:tcPr>
            <w:tcW w:w="55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4</w:t>
            </w:r>
          </w:p>
        </w:tc>
        <w:tc>
          <w:tcPr>
            <w:tcW w:w="16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合计</w:t>
            </w:r>
          </w:p>
        </w:tc>
        <w:tc>
          <w:tcPr>
            <w:tcW w:w="1203"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24"/>
              </w:rPr>
            </w:pPr>
          </w:p>
        </w:tc>
        <w:tc>
          <w:tcPr>
            <w:tcW w:w="1163"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24"/>
              </w:rPr>
            </w:pPr>
          </w:p>
        </w:tc>
        <w:tc>
          <w:tcPr>
            <w:tcW w:w="44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24"/>
              </w:rPr>
            </w:pPr>
          </w:p>
        </w:tc>
      </w:tr>
    </w:tbl>
    <w:p>
      <w:pPr>
        <w:pStyle w:val="2"/>
        <w:ind w:firstLine="480" w:firstLineChars="200"/>
        <w:rPr>
          <w:rFonts w:hint="eastAsia" w:ascii="宋体" w:hAnsi="宋体" w:eastAsia="宋体" w:cs="宋体"/>
          <w:color w:val="auto"/>
        </w:rPr>
      </w:pPr>
      <w:r>
        <w:rPr>
          <w:rFonts w:hint="eastAsia" w:ascii="宋体" w:hAnsi="宋体" w:eastAsia="宋体" w:cs="宋体"/>
          <w:color w:val="auto"/>
        </w:rPr>
        <w:t>项目公司应按资金使用相关要求，规范使用补助资金。</w:t>
      </w:r>
    </w:p>
    <w:p>
      <w:pPr>
        <w:pStyle w:val="6"/>
        <w:keepNext w:val="0"/>
        <w:keepLines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（四）资产的形成和转移</w:t>
      </w:r>
    </w:p>
    <w:p>
      <w:pPr>
        <w:spacing w:line="360" w:lineRule="auto"/>
        <w:ind w:firstLine="601"/>
        <w:rPr>
          <w:rFonts w:hint="eastAsia" w:ascii="宋体" w:hAnsi="宋体" w:eastAsia="宋体" w:cs="宋体"/>
          <w:color w:val="auto"/>
          <w:sz w:val="24"/>
        </w:rPr>
      </w:pPr>
      <w:r>
        <w:rPr>
          <w:rFonts w:hint="eastAsia" w:ascii="宋体" w:hAnsi="宋体" w:eastAsia="宋体" w:cs="宋体"/>
          <w:color w:val="auto"/>
          <w:sz w:val="24"/>
        </w:rPr>
        <w:t>本项目采用ROT的方式运作，项目公司负责投融资、建设、运营、维护管理和移交等工作。项目建设和运营过程中新增有收益的设施，项目公司在合作期内拥有使用权和经营权，项目公司在运营期内自行承担相关设施的运营维护的费用、责任和风险，运营期满后按照PPP项目合同约定的移交范围、移交标准和移交程序及届时实物资产处置相关规定等向接收人无偿、完整地移交项目资产和相关权益，并保证本项目设施完好、能够正常运营，且不存在任何抵押、质押等担保权益或产权约束，亦不存在任何种类和性质的索赔权等权利限制。</w:t>
      </w:r>
    </w:p>
    <w:p>
      <w:pPr>
        <w:pStyle w:val="5"/>
        <w:keepNext/>
        <w:keepLines/>
        <w:spacing w:line="360" w:lineRule="auto"/>
        <w:ind w:left="0" w:right="0"/>
        <w:jc w:val="left"/>
        <w:rPr>
          <w:rFonts w:hint="eastAsia" w:ascii="宋体" w:hAnsi="宋体" w:eastAsia="宋体" w:cs="宋体"/>
          <w:color w:val="auto"/>
          <w:sz w:val="24"/>
          <w:szCs w:val="24"/>
        </w:rPr>
      </w:pPr>
      <w:bookmarkStart w:id="150" w:name="_Toc9334"/>
      <w:bookmarkStart w:id="151" w:name="_Toc3059"/>
      <w:bookmarkStart w:id="152" w:name="_Toc6448"/>
      <w:bookmarkStart w:id="153" w:name="_Toc8829"/>
      <w:bookmarkStart w:id="154" w:name="_Toc15917"/>
      <w:bookmarkStart w:id="155" w:name="_Toc9029"/>
      <w:bookmarkStart w:id="156" w:name="_Toc25674"/>
      <w:bookmarkStart w:id="157" w:name="_Toc9546"/>
      <w:bookmarkStart w:id="158" w:name="_Toc19349"/>
      <w:bookmarkStart w:id="159" w:name="_Toc27675"/>
      <w:bookmarkStart w:id="160" w:name="_Toc4298"/>
      <w:bookmarkStart w:id="161" w:name="_Toc14170"/>
      <w:bookmarkStart w:id="162" w:name="_Toc18353"/>
      <w:bookmarkStart w:id="163" w:name="_Toc4984"/>
      <w:bookmarkStart w:id="164" w:name="_Toc4522"/>
      <w:bookmarkStart w:id="165" w:name="_Toc14277"/>
      <w:bookmarkStart w:id="166" w:name="_Toc32760"/>
      <w:bookmarkStart w:id="167" w:name="_Toc28404"/>
      <w:bookmarkStart w:id="168" w:name="_Toc25242"/>
      <w:bookmarkStart w:id="169" w:name="_Toc1767"/>
      <w:bookmarkStart w:id="170" w:name="_Toc2654"/>
      <w:bookmarkStart w:id="171" w:name="_Toc16787"/>
      <w:r>
        <w:rPr>
          <w:rFonts w:hint="eastAsia" w:ascii="宋体" w:hAnsi="宋体" w:eastAsia="宋体" w:cs="宋体"/>
          <w:color w:val="auto"/>
          <w:sz w:val="24"/>
          <w:szCs w:val="24"/>
        </w:rPr>
        <w:t>四、回报机制</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pPr>
        <w:spacing w:line="360" w:lineRule="auto"/>
        <w:ind w:firstLine="601"/>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本项目采用使用者付费回报机制，项目公司可在运营期间通过使用者付费方式平衡建设经营成本并获取合理收益，政府方不承担运营、维护管理等补贴。</w:t>
      </w:r>
    </w:p>
    <w:p>
      <w:pPr>
        <w:spacing w:line="360" w:lineRule="auto"/>
        <w:ind w:firstLine="601"/>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经测算，本项目运营期间的使用者付费收入共17902.52万元。项目公司基于本项目的经营收入仅限于实施方案测算的收入（广告牌出租、电动自行车充电设施服务、汽车充电设施服务、物流快递设施（含广告服务）、出入口道闸（门禁）广告服务等）。</w:t>
      </w:r>
    </w:p>
    <w:p>
      <w:pPr>
        <w:spacing w:line="360" w:lineRule="auto"/>
        <w:ind w:firstLine="601"/>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运营期内，南宁市人民政府有新增其他经营项目开发需求的，项目公司应协助南宁市人民政府开发经营。同时，项目公司也可以向南宁市人民政府提议开发新增经营项目，但未经南宁市人民政府审批同意不得实施，项目公司擅自新增运营项目，政府方有权没收该新增项目的全部收入且有权提取10%的运营履约担保之下款项，实施方案未预计的收入纳入超额收入审核清算范围中。</w:t>
      </w:r>
    </w:p>
    <w:p>
      <w:pPr>
        <w:pStyle w:val="2"/>
        <w:rPr>
          <w:rFonts w:hint="eastAsia" w:ascii="宋体" w:hAnsi="宋体" w:eastAsia="宋体" w:cs="宋体"/>
          <w:color w:val="auto"/>
        </w:rPr>
      </w:pPr>
    </w:p>
    <w:p>
      <w:pPr>
        <w:pStyle w:val="5"/>
        <w:keepNext/>
        <w:keepLines/>
        <w:spacing w:line="360" w:lineRule="auto"/>
        <w:ind w:left="0" w:right="0"/>
        <w:jc w:val="left"/>
        <w:rPr>
          <w:rFonts w:hint="eastAsia" w:ascii="宋体" w:hAnsi="宋体" w:eastAsia="宋体" w:cs="宋体"/>
          <w:color w:val="auto"/>
          <w:sz w:val="24"/>
          <w:szCs w:val="24"/>
        </w:rPr>
      </w:pPr>
      <w:bookmarkStart w:id="172" w:name="_Toc23716"/>
      <w:bookmarkStart w:id="173" w:name="_Toc1914"/>
      <w:bookmarkStart w:id="174" w:name="_Toc934"/>
      <w:bookmarkStart w:id="175" w:name="_Toc25281"/>
      <w:bookmarkStart w:id="176" w:name="_Toc26210"/>
      <w:bookmarkStart w:id="177" w:name="_Toc27003"/>
      <w:bookmarkStart w:id="178" w:name="_Toc32700"/>
      <w:bookmarkStart w:id="179" w:name="_Toc9861"/>
      <w:bookmarkStart w:id="180" w:name="_Toc17953"/>
      <w:bookmarkStart w:id="181" w:name="_Toc4552"/>
      <w:bookmarkStart w:id="182" w:name="_Toc7970"/>
      <w:bookmarkStart w:id="183" w:name="_Toc8060"/>
      <w:bookmarkStart w:id="184" w:name="_Toc18978"/>
      <w:bookmarkStart w:id="185" w:name="_Toc31516"/>
      <w:bookmarkStart w:id="186" w:name="_Toc3684"/>
      <w:bookmarkStart w:id="187" w:name="_Toc7850"/>
      <w:bookmarkStart w:id="188" w:name="_Toc28854"/>
      <w:bookmarkStart w:id="189" w:name="_Toc26455"/>
      <w:bookmarkStart w:id="190" w:name="_Toc32631"/>
      <w:bookmarkStart w:id="191" w:name="_Toc29756"/>
      <w:bookmarkStart w:id="192" w:name="_Toc27376"/>
      <w:bookmarkStart w:id="193" w:name="_Toc11384"/>
      <w:r>
        <w:rPr>
          <w:rFonts w:hint="eastAsia" w:ascii="宋体" w:hAnsi="宋体" w:eastAsia="宋体" w:cs="宋体"/>
          <w:color w:val="auto"/>
          <w:sz w:val="24"/>
          <w:szCs w:val="24"/>
        </w:rPr>
        <w:t>五、配套安排</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pPr>
        <w:tabs>
          <w:tab w:val="left" w:pos="0"/>
        </w:tabs>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为保障本项目的顺利实施，政府方负责以下配套工作：</w:t>
      </w:r>
    </w:p>
    <w:p>
      <w:pPr>
        <w:spacing w:line="360" w:lineRule="auto"/>
        <w:ind w:firstLine="601"/>
        <w:rPr>
          <w:rFonts w:hint="eastAsia" w:ascii="宋体" w:hAnsi="宋体" w:eastAsia="宋体" w:cs="宋体"/>
          <w:color w:val="auto"/>
          <w:sz w:val="24"/>
        </w:rPr>
      </w:pPr>
      <w:r>
        <w:rPr>
          <w:rFonts w:hint="eastAsia" w:ascii="宋体" w:hAnsi="宋体" w:eastAsia="宋体" w:cs="宋体"/>
          <w:color w:val="auto"/>
          <w:sz w:val="24"/>
        </w:rPr>
        <w:t>1.本项目的立项、可行性研究报告、初步设计、施工图设计报批、备案等前期工作；</w:t>
      </w:r>
    </w:p>
    <w:p>
      <w:pPr>
        <w:spacing w:line="360" w:lineRule="auto"/>
        <w:ind w:firstLine="601"/>
        <w:rPr>
          <w:rFonts w:hint="eastAsia" w:ascii="宋体" w:hAnsi="宋体" w:eastAsia="宋体" w:cs="宋体"/>
          <w:color w:val="auto"/>
          <w:sz w:val="24"/>
        </w:rPr>
      </w:pPr>
      <w:r>
        <w:rPr>
          <w:rFonts w:hint="eastAsia" w:ascii="宋体" w:hAnsi="宋体" w:eastAsia="宋体" w:cs="宋体"/>
          <w:color w:val="auto"/>
          <w:sz w:val="24"/>
        </w:rPr>
        <w:t>2.协助办理建设工程规划许可证、建设工程施工许可证等相关证件的报批工作（如有）；</w:t>
      </w:r>
    </w:p>
    <w:p>
      <w:pPr>
        <w:spacing w:line="360" w:lineRule="auto"/>
        <w:ind w:firstLine="601"/>
        <w:rPr>
          <w:rFonts w:hint="eastAsia" w:ascii="宋体" w:hAnsi="宋体" w:eastAsia="宋体" w:cs="宋体"/>
          <w:color w:val="auto"/>
          <w:sz w:val="24"/>
        </w:rPr>
      </w:pPr>
      <w:r>
        <w:rPr>
          <w:rFonts w:hint="eastAsia" w:ascii="宋体" w:hAnsi="宋体" w:eastAsia="宋体" w:cs="宋体"/>
          <w:color w:val="auto"/>
          <w:sz w:val="24"/>
        </w:rPr>
        <w:t>3.老旧小区内的违建拆除工作；</w:t>
      </w:r>
    </w:p>
    <w:p>
      <w:pPr>
        <w:spacing w:line="360" w:lineRule="auto"/>
        <w:ind w:firstLine="601"/>
        <w:rPr>
          <w:rFonts w:hint="eastAsia" w:ascii="宋体" w:hAnsi="宋体" w:eastAsia="宋体" w:cs="宋体"/>
          <w:color w:val="auto"/>
          <w:sz w:val="24"/>
        </w:rPr>
      </w:pPr>
      <w:r>
        <w:rPr>
          <w:rFonts w:hint="eastAsia" w:ascii="宋体" w:hAnsi="宋体" w:eastAsia="宋体" w:cs="宋体"/>
          <w:color w:val="auto"/>
          <w:sz w:val="24"/>
        </w:rPr>
        <w:t>4.协助配合社会资本将项目建设期间所需进场道路、水、电、通讯等基础设施配套到位，费用由项目公司承担；</w:t>
      </w:r>
    </w:p>
    <w:p>
      <w:pPr>
        <w:spacing w:line="360" w:lineRule="auto"/>
        <w:ind w:firstLine="601"/>
        <w:rPr>
          <w:rFonts w:hint="eastAsia" w:ascii="宋体" w:hAnsi="宋体" w:eastAsia="宋体" w:cs="宋体"/>
          <w:color w:val="auto"/>
          <w:sz w:val="24"/>
        </w:rPr>
      </w:pPr>
      <w:r>
        <w:rPr>
          <w:rFonts w:hint="eastAsia" w:ascii="宋体" w:hAnsi="宋体" w:eastAsia="宋体" w:cs="宋体"/>
          <w:color w:val="auto"/>
          <w:sz w:val="24"/>
        </w:rPr>
        <w:t>5.协助取得本项目场地、临时场地，协调本项目场地及周边所涉及的有关单位的关系；</w:t>
      </w:r>
    </w:p>
    <w:p>
      <w:pPr>
        <w:spacing w:line="360" w:lineRule="auto"/>
        <w:ind w:firstLine="601"/>
        <w:rPr>
          <w:rFonts w:hint="eastAsia" w:ascii="宋体" w:hAnsi="宋体" w:eastAsia="宋体" w:cs="宋体"/>
          <w:color w:val="auto"/>
          <w:sz w:val="24"/>
        </w:rPr>
      </w:pPr>
      <w:r>
        <w:rPr>
          <w:rFonts w:hint="eastAsia" w:ascii="宋体" w:hAnsi="宋体" w:eastAsia="宋体" w:cs="宋体"/>
          <w:color w:val="auto"/>
          <w:sz w:val="24"/>
        </w:rPr>
        <w:t>6.协调其他基础设施项目建设（如燃气安装）建设计划与本项目建设进度的匹配。</w:t>
      </w:r>
    </w:p>
    <w:p>
      <w:pPr>
        <w:pStyle w:val="2"/>
        <w:rPr>
          <w:rFonts w:hint="eastAsia" w:ascii="宋体" w:hAnsi="宋体" w:eastAsia="宋体" w:cs="宋体"/>
          <w:color w:val="auto"/>
        </w:rPr>
      </w:pPr>
    </w:p>
    <w:p>
      <w:pPr>
        <w:rPr>
          <w:rFonts w:hint="eastAsia" w:ascii="宋体" w:hAnsi="宋体" w:eastAsia="宋体" w:cs="宋体"/>
          <w:color w:val="auto"/>
        </w:rPr>
      </w:pPr>
    </w:p>
    <w:p>
      <w:pPr>
        <w:pStyle w:val="5"/>
        <w:keepNext/>
        <w:keepLines/>
        <w:spacing w:line="360" w:lineRule="auto"/>
        <w:ind w:left="0" w:right="0"/>
        <w:jc w:val="left"/>
        <w:rPr>
          <w:rFonts w:hint="eastAsia" w:ascii="宋体" w:hAnsi="宋体" w:eastAsia="宋体" w:cs="宋体"/>
          <w:color w:val="auto"/>
          <w:sz w:val="24"/>
          <w:szCs w:val="24"/>
        </w:rPr>
      </w:pPr>
      <w:bookmarkStart w:id="194" w:name="_Toc8864"/>
      <w:bookmarkStart w:id="195" w:name="_Toc22373"/>
      <w:bookmarkStart w:id="196" w:name="_Toc13122"/>
      <w:bookmarkStart w:id="197" w:name="_Toc5165"/>
      <w:bookmarkStart w:id="198" w:name="_Toc32323"/>
      <w:bookmarkStart w:id="199" w:name="_Toc632"/>
      <w:bookmarkStart w:id="200" w:name="_Toc31640"/>
      <w:bookmarkStart w:id="201" w:name="_Toc32244"/>
      <w:bookmarkStart w:id="202" w:name="_Toc25660"/>
      <w:bookmarkStart w:id="203" w:name="_Toc11920"/>
      <w:bookmarkStart w:id="204" w:name="_Toc4292"/>
      <w:bookmarkStart w:id="205" w:name="_Toc18984"/>
      <w:bookmarkStart w:id="206" w:name="_Toc27439"/>
      <w:bookmarkStart w:id="207" w:name="_Toc14968"/>
      <w:bookmarkStart w:id="208" w:name="_Toc8018"/>
      <w:bookmarkStart w:id="209" w:name="_Toc27147"/>
      <w:bookmarkStart w:id="210" w:name="_Toc2553"/>
      <w:bookmarkStart w:id="211" w:name="_Toc26855"/>
      <w:bookmarkStart w:id="212" w:name="_Toc29098"/>
      <w:bookmarkStart w:id="213" w:name="_Toc20662"/>
      <w:bookmarkStart w:id="214" w:name="_Toc3412"/>
      <w:bookmarkStart w:id="215" w:name="_Toc23040"/>
      <w:r>
        <w:rPr>
          <w:rFonts w:hint="eastAsia" w:ascii="宋体" w:hAnsi="宋体" w:eastAsia="宋体" w:cs="宋体"/>
          <w:color w:val="auto"/>
          <w:sz w:val="24"/>
          <w:szCs w:val="24"/>
        </w:rPr>
        <w:t>六、合同体系</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pPr>
        <w:adjustRightInd w:val="0"/>
        <w:snapToGrid w:val="0"/>
        <w:spacing w:line="360" w:lineRule="auto"/>
        <w:ind w:firstLine="480" w:firstLineChars="200"/>
        <w:rPr>
          <w:rFonts w:hint="eastAsia" w:ascii="宋体" w:hAnsi="宋体" w:eastAsia="宋体" w:cs="宋体"/>
          <w:color w:val="auto"/>
          <w:sz w:val="24"/>
        </w:rPr>
      </w:pPr>
      <w:bookmarkStart w:id="216" w:name="_Toc10351"/>
      <w:bookmarkStart w:id="217" w:name="_Toc30838"/>
      <w:bookmarkStart w:id="218" w:name="_Toc4978"/>
      <w:bookmarkStart w:id="219" w:name="_Toc19712"/>
      <w:bookmarkStart w:id="220" w:name="_Toc19540"/>
      <w:bookmarkStart w:id="221" w:name="_Toc29191"/>
      <w:bookmarkStart w:id="222" w:name="_Toc24617"/>
      <w:bookmarkStart w:id="223" w:name="_Toc3964"/>
      <w:bookmarkStart w:id="224" w:name="_Toc13324"/>
      <w:bookmarkStart w:id="225" w:name="_Toc6879"/>
      <w:bookmarkStart w:id="226" w:name="_Toc24258"/>
      <w:bookmarkStart w:id="227" w:name="_Toc4901"/>
      <w:bookmarkStart w:id="228" w:name="_Toc20733"/>
      <w:bookmarkStart w:id="229" w:name="_Toc9281"/>
      <w:bookmarkStart w:id="230" w:name="_Toc31520"/>
      <w:bookmarkStart w:id="231" w:name="_Toc14966"/>
      <w:bookmarkStart w:id="232" w:name="_Toc23627"/>
      <w:r>
        <w:rPr>
          <w:rFonts w:hint="eastAsia" w:ascii="宋体" w:hAnsi="宋体" w:eastAsia="宋体" w:cs="宋体"/>
          <w:color w:val="auto"/>
          <w:sz w:val="24"/>
        </w:rPr>
        <w:t>1.PPP项目合作协议：社会资本采购中标通知书发出后5个工作日内由实施机构与社会资本方签署。</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2.PPP项目合同：为本项目的核心合同，项目公司成立后5个工作日内与实施机构、社会资本方签署南宁市第三批城镇老旧小区项目PPP项目合同，社会资本方对项目公司的合同义务承担无限连带责任。</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PPP项目合同明确合作期限、服务标准、价格管理、回报方式、风险分担、信息披露、违约处罚、政府接管以及评估考核等内容。</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根据《国家发展改革委关于开展政府和社会资本合作的指导意见》（发改投资〔2014〕2724号）附件2《政府和社会资本合作项目通用合同指南》，PPP项目合同通用模块包括：</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①总则；</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②合同主体；</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③合作关系；</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④项目前期工作；</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⑤收入和回报；</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⑥不可抗力和法律变更；</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⑦合同解除；</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⑧违约处理；</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⑨争议解决；</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⑩其他约定。</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本项目采用ROT模式推进，PPP项目合同还包括投融资计划、工程建设、运营、维护管理和服务、项目公司移交项目等模块。</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PPP项目合同自实施机构和社会资本双方盖章并由双方法定代表人或授权委托人签字之日起生效；如各方签署日期不一致，以最后一方签署之日为PPP项目合同开始生效之日。</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PPP项目合同纳入采购文件中。项目参与方签订的其他合同不可存在与PPP项目合同相悖的内容。</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3.监理合同：本项目工程监理费列入PPP建设工程投资额，项目公司成立前由南宁市财政垫付，项目公司成立后，应按实施机构通知的时限要求支付工程监理费款项。</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4.工程承包合同：由项目公司依法确定工程承包单位，并与工程承包单位签订工程承包合同，如社会资本方具备施工资质，可由社会资本方承担项目建设施工。</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5.其他合同</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采购社会资本方前，项目的前期工作（包括项目立项、可行性研究报告、初步设计、施工图设计等）由政府方负责，项目公司成立之前，已签订的涉及本项目的合同或协议（除PPP咨询服务合同外）待社会资本方成立项目公司后由项目公司承继，未执行完毕的合同由项目公司与实施机构及原合同当事人签订三方协议，逾期未签订的，政府方有权从建设履约担保函中扣取相应款项。</w:t>
      </w:r>
    </w:p>
    <w:p>
      <w:pPr>
        <w:pStyle w:val="2"/>
        <w:rPr>
          <w:rFonts w:hint="eastAsia" w:ascii="宋体" w:hAnsi="宋体" w:eastAsia="宋体" w:cs="宋体"/>
          <w:color w:val="auto"/>
        </w:rPr>
      </w:pPr>
    </w:p>
    <w:p>
      <w:pPr>
        <w:pStyle w:val="4"/>
        <w:rPr>
          <w:rFonts w:hint="eastAsia" w:ascii="宋体" w:hAnsi="宋体" w:eastAsia="宋体" w:cs="宋体"/>
          <w:color w:val="auto"/>
          <w:sz w:val="24"/>
        </w:rPr>
      </w:pPr>
      <w:bookmarkStart w:id="233" w:name="_Toc14910"/>
      <w:bookmarkStart w:id="234" w:name="_Toc29442"/>
      <w:bookmarkStart w:id="235" w:name="_Toc19520"/>
      <w:bookmarkStart w:id="236" w:name="_Toc4735"/>
      <w:bookmarkStart w:id="237" w:name="_Toc21549"/>
      <w:bookmarkStart w:id="238" w:name="_Toc30096"/>
      <w:bookmarkStart w:id="239" w:name="_Toc5484"/>
      <w:bookmarkStart w:id="240" w:name="_Toc4611"/>
      <w:bookmarkStart w:id="241" w:name="_Toc4508"/>
      <w:bookmarkStart w:id="242" w:name="_Toc2169"/>
      <w:bookmarkStart w:id="243" w:name="_Toc4024"/>
      <w:bookmarkStart w:id="244" w:name="_Toc11506"/>
      <w:bookmarkStart w:id="245" w:name="_Toc16949"/>
      <w:bookmarkStart w:id="246" w:name="_Toc17376"/>
      <w:bookmarkStart w:id="247" w:name="_Toc14217"/>
      <w:bookmarkStart w:id="248" w:name="_Toc21061"/>
      <w:bookmarkStart w:id="249" w:name="_Toc32490"/>
      <w:bookmarkStart w:id="250" w:name="_Toc30353"/>
      <w:bookmarkStart w:id="251" w:name="_Toc27562"/>
      <w:bookmarkStart w:id="252" w:name="_Toc10323"/>
      <w:bookmarkStart w:id="253" w:name="_Toc31117"/>
      <w:bookmarkStart w:id="254" w:name="_Toc15570"/>
      <w:bookmarkStart w:id="255" w:name="_Toc16100"/>
      <w:r>
        <w:rPr>
          <w:rFonts w:hint="eastAsia" w:ascii="宋体" w:hAnsi="宋体" w:eastAsia="宋体" w:cs="宋体"/>
          <w:color w:val="auto"/>
          <w:sz w:val="24"/>
        </w:rPr>
        <w:t>七、风险分配</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pPr>
        <w:spacing w:line="360" w:lineRule="auto"/>
        <w:ind w:firstLine="601"/>
        <w:rPr>
          <w:rFonts w:hint="eastAsia" w:ascii="宋体" w:hAnsi="宋体" w:eastAsia="宋体" w:cs="宋体"/>
          <w:color w:val="auto"/>
          <w:sz w:val="24"/>
        </w:rPr>
      </w:pPr>
      <w:r>
        <w:rPr>
          <w:rFonts w:hint="eastAsia" w:ascii="宋体" w:hAnsi="宋体" w:eastAsia="宋体" w:cs="宋体"/>
          <w:color w:val="auto"/>
          <w:sz w:val="24"/>
        </w:rPr>
        <w:t>按照最优风险分配、风险收益对等、风险可控等基本原则，以及国家推广应用PPP模式的政策导向，本项目的核心风险分配框架如下：</w:t>
      </w:r>
    </w:p>
    <w:p>
      <w:pPr>
        <w:spacing w:line="360" w:lineRule="auto"/>
        <w:ind w:firstLine="601"/>
        <w:rPr>
          <w:rFonts w:hint="eastAsia" w:ascii="宋体" w:hAnsi="宋体" w:eastAsia="宋体" w:cs="宋体"/>
          <w:color w:val="auto"/>
          <w:sz w:val="24"/>
        </w:rPr>
      </w:pPr>
      <w:r>
        <w:rPr>
          <w:rFonts w:hint="eastAsia" w:ascii="宋体" w:hAnsi="宋体" w:eastAsia="宋体" w:cs="宋体"/>
          <w:color w:val="auto"/>
          <w:sz w:val="24"/>
        </w:rPr>
        <w:t>1.设计优化风险由社会资本方、项目公司承担。</w:t>
      </w:r>
    </w:p>
    <w:p>
      <w:pPr>
        <w:spacing w:line="360" w:lineRule="auto"/>
        <w:ind w:firstLine="601"/>
        <w:rPr>
          <w:rFonts w:hint="eastAsia" w:ascii="宋体" w:hAnsi="宋体" w:eastAsia="宋体" w:cs="宋体"/>
          <w:color w:val="auto"/>
          <w:sz w:val="24"/>
        </w:rPr>
      </w:pPr>
      <w:r>
        <w:rPr>
          <w:rFonts w:hint="eastAsia" w:ascii="宋体" w:hAnsi="宋体" w:eastAsia="宋体" w:cs="宋体"/>
          <w:color w:val="auto"/>
          <w:sz w:val="24"/>
        </w:rPr>
        <w:t>2.建设、运营维护等风险由社会资本方承担。</w:t>
      </w:r>
    </w:p>
    <w:p>
      <w:pPr>
        <w:spacing w:line="360" w:lineRule="auto"/>
        <w:ind w:firstLine="601"/>
        <w:rPr>
          <w:rFonts w:hint="eastAsia" w:ascii="宋体" w:hAnsi="宋体" w:eastAsia="宋体" w:cs="宋体"/>
          <w:color w:val="auto"/>
          <w:sz w:val="24"/>
        </w:rPr>
      </w:pPr>
      <w:r>
        <w:rPr>
          <w:rFonts w:hint="eastAsia" w:ascii="宋体" w:hAnsi="宋体" w:eastAsia="宋体" w:cs="宋体"/>
          <w:color w:val="auto"/>
          <w:sz w:val="24"/>
        </w:rPr>
        <w:t>3.政府方可控的法律、法规、政策变更风险由政府承担，政府方不可控的法律、法规、政策变更风险视为不可抗力，由政府和社会资本方合理共担。</w:t>
      </w:r>
    </w:p>
    <w:p>
      <w:pPr>
        <w:spacing w:line="360" w:lineRule="auto"/>
        <w:ind w:firstLine="601"/>
        <w:rPr>
          <w:rFonts w:hint="eastAsia" w:ascii="宋体" w:hAnsi="宋体" w:eastAsia="宋体" w:cs="宋体"/>
          <w:color w:val="auto"/>
          <w:sz w:val="24"/>
        </w:rPr>
      </w:pPr>
      <w:r>
        <w:rPr>
          <w:rFonts w:hint="eastAsia" w:ascii="宋体" w:hAnsi="宋体" w:eastAsia="宋体" w:cs="宋体"/>
          <w:color w:val="auto"/>
          <w:sz w:val="24"/>
        </w:rPr>
        <w:t>4.不可抗力风险等由政府和社会资本方合理共担。</w:t>
      </w:r>
    </w:p>
    <w:p>
      <w:pPr>
        <w:spacing w:line="360" w:lineRule="auto"/>
        <w:ind w:firstLine="601"/>
        <w:rPr>
          <w:rFonts w:hint="eastAsia" w:ascii="宋体" w:hAnsi="宋体" w:eastAsia="宋体" w:cs="宋体"/>
          <w:color w:val="auto"/>
          <w:sz w:val="24"/>
        </w:rPr>
      </w:pPr>
      <w:r>
        <w:rPr>
          <w:rFonts w:hint="eastAsia" w:ascii="宋体" w:hAnsi="宋体" w:eastAsia="宋体" w:cs="宋体"/>
          <w:color w:val="auto"/>
          <w:sz w:val="24"/>
        </w:rPr>
        <w:t>本项目风险具体分配如下表所示：</w:t>
      </w:r>
    </w:p>
    <w:p>
      <w:pPr>
        <w:pStyle w:val="2"/>
        <w:rPr>
          <w:rFonts w:hint="eastAsia" w:ascii="宋体" w:hAnsi="宋体" w:eastAsia="宋体" w:cs="宋体"/>
          <w:color w:val="auto"/>
        </w:rPr>
      </w:pPr>
    </w:p>
    <w:p>
      <w:pPr>
        <w:adjustRightInd w:val="0"/>
        <w:snapToGrid w:val="0"/>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项目风险识别和分配表</w:t>
      </w:r>
    </w:p>
    <w:p>
      <w:pPr>
        <w:rPr>
          <w:rFonts w:hint="eastAsia" w:ascii="宋体" w:hAnsi="宋体" w:eastAsia="宋体" w:cs="宋体"/>
          <w:color w:val="auto"/>
          <w:szCs w:val="21"/>
        </w:rPr>
      </w:pPr>
      <w:r>
        <w:rPr>
          <w:rFonts w:hint="eastAsia" w:ascii="宋体" w:hAnsi="宋体" w:eastAsia="宋体" w:cs="宋体"/>
          <w:color w:val="auto"/>
          <w:szCs w:val="21"/>
        </w:rPr>
        <w:t>图例说明：√风险承担者 、□根据情况风险共担</w:t>
      </w:r>
    </w:p>
    <w:tbl>
      <w:tblPr>
        <w:tblStyle w:val="23"/>
        <w:tblW w:w="4998" w:type="pct"/>
        <w:jc w:val="center"/>
        <w:tblLayout w:type="autofit"/>
        <w:tblCellMar>
          <w:top w:w="0" w:type="dxa"/>
          <w:left w:w="108" w:type="dxa"/>
          <w:bottom w:w="0" w:type="dxa"/>
          <w:right w:w="108" w:type="dxa"/>
        </w:tblCellMar>
      </w:tblPr>
      <w:tblGrid>
        <w:gridCol w:w="686"/>
        <w:gridCol w:w="1135"/>
        <w:gridCol w:w="3474"/>
        <w:gridCol w:w="951"/>
        <w:gridCol w:w="1319"/>
        <w:gridCol w:w="1096"/>
      </w:tblGrid>
      <w:tr>
        <w:tblPrEx>
          <w:tblCellMar>
            <w:top w:w="0" w:type="dxa"/>
            <w:left w:w="108" w:type="dxa"/>
            <w:bottom w:w="0" w:type="dxa"/>
            <w:right w:w="108" w:type="dxa"/>
          </w:tblCellMar>
        </w:tblPrEx>
        <w:trPr>
          <w:trHeight w:val="454" w:hRule="atLeast"/>
          <w:tblHeader/>
          <w:jc w:val="center"/>
        </w:trPr>
        <w:tc>
          <w:tcPr>
            <w:tcW w:w="396" w:type="pct"/>
            <w:tcBorders>
              <w:top w:val="single" w:color="auto" w:sz="8" w:space="0"/>
              <w:left w:val="single" w:color="auto" w:sz="8"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b/>
                <w:color w:val="auto"/>
                <w:szCs w:val="21"/>
              </w:rPr>
            </w:pPr>
            <w:r>
              <w:rPr>
                <w:rFonts w:hint="eastAsia" w:ascii="宋体" w:hAnsi="宋体" w:eastAsia="宋体" w:cs="宋体"/>
                <w:b/>
                <w:color w:val="auto"/>
                <w:szCs w:val="21"/>
              </w:rPr>
              <w:t>序号</w:t>
            </w:r>
          </w:p>
        </w:tc>
        <w:tc>
          <w:tcPr>
            <w:tcW w:w="65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b/>
                <w:color w:val="auto"/>
                <w:szCs w:val="21"/>
              </w:rPr>
            </w:pPr>
            <w:r>
              <w:rPr>
                <w:rFonts w:hint="eastAsia" w:ascii="宋体" w:hAnsi="宋体" w:eastAsia="宋体" w:cs="宋体"/>
                <w:b/>
                <w:color w:val="auto"/>
                <w:szCs w:val="21"/>
              </w:rPr>
              <w:t>风险类别</w:t>
            </w: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b/>
                <w:color w:val="auto"/>
                <w:szCs w:val="21"/>
              </w:rPr>
            </w:pPr>
            <w:r>
              <w:rPr>
                <w:rFonts w:hint="eastAsia" w:ascii="宋体" w:hAnsi="宋体" w:eastAsia="宋体" w:cs="宋体"/>
                <w:b/>
                <w:color w:val="auto"/>
                <w:szCs w:val="21"/>
              </w:rPr>
              <w:t>风险名称或风险事件</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b/>
                <w:color w:val="auto"/>
                <w:szCs w:val="21"/>
              </w:rPr>
            </w:pPr>
            <w:r>
              <w:rPr>
                <w:rFonts w:hint="eastAsia" w:ascii="宋体" w:hAnsi="宋体" w:eastAsia="宋体" w:cs="宋体"/>
                <w:b/>
                <w:color w:val="auto"/>
                <w:szCs w:val="21"/>
              </w:rPr>
              <w:t>政府方</w:t>
            </w: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b/>
                <w:color w:val="auto"/>
                <w:szCs w:val="21"/>
              </w:rPr>
            </w:pPr>
            <w:r>
              <w:rPr>
                <w:rFonts w:hint="eastAsia" w:ascii="宋体" w:hAnsi="宋体" w:eastAsia="宋体" w:cs="宋体"/>
                <w:b/>
                <w:color w:val="auto"/>
                <w:szCs w:val="21"/>
              </w:rPr>
              <w:t>社会资本方/项目公司</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b/>
                <w:color w:val="auto"/>
                <w:szCs w:val="21"/>
              </w:rPr>
            </w:pPr>
            <w:r>
              <w:rPr>
                <w:rFonts w:hint="eastAsia" w:ascii="宋体" w:hAnsi="宋体" w:eastAsia="宋体" w:cs="宋体"/>
                <w:b/>
                <w:color w:val="auto"/>
                <w:szCs w:val="21"/>
              </w:rPr>
              <w:t>根据情况</w:t>
            </w:r>
          </w:p>
          <w:p>
            <w:pPr>
              <w:widowControl/>
              <w:spacing w:line="240" w:lineRule="atLeast"/>
              <w:jc w:val="center"/>
              <w:rPr>
                <w:rFonts w:hint="eastAsia" w:ascii="宋体" w:hAnsi="宋体" w:eastAsia="宋体" w:cs="宋体"/>
                <w:b/>
                <w:color w:val="auto"/>
                <w:szCs w:val="21"/>
              </w:rPr>
            </w:pPr>
            <w:r>
              <w:rPr>
                <w:rFonts w:hint="eastAsia" w:ascii="宋体" w:hAnsi="宋体" w:eastAsia="宋体" w:cs="宋体"/>
                <w:b/>
                <w:color w:val="auto"/>
                <w:szCs w:val="21"/>
              </w:rPr>
              <w:t>风险共担</w:t>
            </w: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政策/审批风险</w:t>
            </w: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rPr>
            </w:pPr>
            <w:r>
              <w:rPr>
                <w:rFonts w:hint="eastAsia" w:ascii="宋体" w:hAnsi="宋体" w:eastAsia="宋体" w:cs="宋体"/>
                <w:color w:val="auto"/>
              </w:rPr>
              <w:t>征用/公有化</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rPr>
            </w:pPr>
            <w:r>
              <w:rPr>
                <w:rFonts w:hint="eastAsia" w:ascii="宋体" w:hAnsi="宋体" w:eastAsia="宋体" w:cs="宋体"/>
                <w:color w:val="auto"/>
              </w:rPr>
              <w:t>政府信用/违约</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90" w:hRule="atLeast"/>
          <w:jc w:val="center"/>
        </w:trPr>
        <w:tc>
          <w:tcPr>
            <w:tcW w:w="396" w:type="pct"/>
            <w:tcBorders>
              <w:top w:val="single" w:color="auto" w:sz="4" w:space="0"/>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rPr>
            </w:pPr>
            <w:r>
              <w:rPr>
                <w:rFonts w:hint="eastAsia" w:ascii="宋体" w:hAnsi="宋体" w:eastAsia="宋体" w:cs="宋体"/>
                <w:color w:val="auto"/>
              </w:rPr>
              <w:t>非因社会资本方原因引起的公众反对</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rPr>
            </w:pPr>
            <w:r>
              <w:rPr>
                <w:rFonts w:hint="eastAsia" w:ascii="宋体" w:hAnsi="宋体" w:eastAsia="宋体" w:cs="宋体"/>
                <w:color w:val="auto"/>
              </w:rPr>
              <w:t>因社会资本方引起的公众反对</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rPr>
            </w:pPr>
            <w:r>
              <w:rPr>
                <w:rFonts w:hint="eastAsia" w:ascii="宋体" w:hAnsi="宋体" w:eastAsia="宋体" w:cs="宋体"/>
                <w:color w:val="auto"/>
              </w:rPr>
              <w:t>政府方原因导致项目审批延误</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rPr>
            </w:pPr>
            <w:r>
              <w:rPr>
                <w:rFonts w:hint="eastAsia" w:ascii="宋体" w:hAnsi="宋体" w:eastAsia="宋体" w:cs="宋体"/>
                <w:color w:val="auto"/>
              </w:rPr>
              <w:t>社会资本方原因导致项目审批延误</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经济政策风险</w:t>
            </w: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rPr>
            </w:pPr>
            <w:r>
              <w:rPr>
                <w:rFonts w:hint="eastAsia" w:ascii="宋体" w:hAnsi="宋体" w:eastAsia="宋体" w:cs="宋体"/>
                <w:color w:val="auto"/>
              </w:rPr>
              <w:t>税收政策调整</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r>
              <w:rPr>
                <w:rFonts w:hint="eastAsia" w:ascii="宋体" w:hAnsi="宋体" w:eastAsia="宋体" w:cs="宋体"/>
                <w:color w:val="auto"/>
                <w:szCs w:val="21"/>
              </w:rPr>
              <w:t>设计风险</w:t>
            </w: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设计不当</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sym w:font="Wingdings 2" w:char="00A3"/>
            </w: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政府方要求的设计变更</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90"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社会资本方要求的设计变更或设计优化</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侵权风险</w:t>
            </w: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侵权损害纠纷</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资金风险</w:t>
            </w: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政府方原因导致中央、自治区补助资金未按时到位/补助资金减少</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社会资本方原因导致中央、自治区补助资金被收回/补助资金减少</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融资风险</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17" w:lineRule="auto"/>
              <w:jc w:val="center"/>
              <w:rPr>
                <w:rFonts w:hint="eastAsia" w:ascii="宋体" w:hAnsi="宋体" w:eastAsia="宋体" w:cs="宋体"/>
                <w:color w:val="auto"/>
                <w:szCs w:val="21"/>
              </w:rPr>
            </w:pPr>
            <w:r>
              <w:rPr>
                <w:rFonts w:hint="eastAsia" w:ascii="宋体" w:hAnsi="宋体" w:eastAsia="宋体" w:cs="宋体"/>
                <w:color w:val="auto"/>
                <w:szCs w:val="21"/>
              </w:rPr>
              <w:t>建设风险</w:t>
            </w: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政府方要求的工程变更</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17" w:lineRule="auto"/>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因不可抗力造成的工程变更</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17" w:lineRule="auto"/>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社会资本方要求的工程变更</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分包商违约</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施工工地及工地安全</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劳资/设备的获取</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地质条件</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劳动者争端/罢工</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成本控制</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公共设备、配套设施服务提供（接入点到本项目用地红线内的布设点）</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技术不过关</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质量风险</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完工风险</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因政府方原因导致竣工决算编制延误和审计不能通过</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因社会资本方原因导致竣工决算编制延误和审计不通过</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运营维护风险</w:t>
            </w: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通货膨胀</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利率风险</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经营场所提供风险</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场地安全</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市场需求变化</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对外供应风险</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运营成本超支</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经营收入风险</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72"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电收费标准</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用电量风险</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其它收费标准变更风险</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广告发布</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设施设备维护、更新</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沟通、组织、协调、信息不对称风险</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运营能力、管理水平不足</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运营维护不达标风险</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投资者/运营人变动</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第三方原因引起的运营内容、数量变化</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项目测算主观</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项目财务风险</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社会资本方破产</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合同文件冲突</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合作期满移交风险</w:t>
            </w: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移交时资产/设备不完整，状况不达标、资产存在抵押现象，社会资本方未偿还债务</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因社会资本方</w:t>
            </w:r>
            <w:r>
              <w:rPr>
                <w:rFonts w:hint="eastAsia" w:ascii="宋体" w:hAnsi="宋体" w:eastAsia="宋体" w:cs="宋体"/>
                <w:color w:val="auto"/>
              </w:rPr>
              <w:t>、</w:t>
            </w:r>
            <w:r>
              <w:rPr>
                <w:rFonts w:hint="eastAsia" w:ascii="宋体" w:hAnsi="宋体" w:eastAsia="宋体" w:cs="宋体"/>
                <w:color w:val="auto"/>
                <w:szCs w:val="21"/>
              </w:rPr>
              <w:t>项目公司原因导致未能按期移交</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因政府方原因导致未能按期移交</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因不可抗力导致未能按期移交</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移交后资产、设备质量不符合保证责任要求</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移交工作不达标风险</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移交后相关合同、技术文件转让风险</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人员安置风险</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8"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r>
              <w:rPr>
                <w:rFonts w:hint="eastAsia" w:ascii="宋体" w:hAnsi="宋体" w:eastAsia="宋体" w:cs="宋体"/>
                <w:color w:val="auto"/>
                <w:szCs w:val="21"/>
              </w:rPr>
              <w:t>提前终止移交风险</w:t>
            </w: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政府方违约导致的提前终止移交</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nil"/>
              <w:left w:val="single" w:color="auto" w:sz="8"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社会资本方违约导致的提前终止移交</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r>
              <w:rPr>
                <w:rFonts w:hint="eastAsia" w:ascii="宋体" w:hAnsi="宋体" w:eastAsia="宋体" w:cs="宋体"/>
                <w:color w:val="auto"/>
                <w:szCs w:val="21"/>
              </w:rPr>
              <w:t>法律风险</w:t>
            </w: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政府方可控的法律、法规、政策变更风险</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政府方不可控的法律、法规、政策变更风险</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环境风险</w:t>
            </w:r>
          </w:p>
        </w:tc>
        <w:tc>
          <w:tcPr>
            <w:tcW w:w="2005"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环境污染与生态破坏</w:t>
            </w:r>
          </w:p>
        </w:tc>
        <w:tc>
          <w:tcPr>
            <w:tcW w:w="549"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vMerge w:val="continue"/>
            <w:tcBorders>
              <w:top w:val="single" w:color="auto" w:sz="4" w:space="0"/>
              <w:left w:val="single" w:color="auto" w:sz="4" w:space="0"/>
              <w:bottom w:val="single" w:color="auto" w:sz="4" w:space="0"/>
              <w:right w:val="single" w:color="auto" w:sz="8" w:space="0"/>
            </w:tcBorders>
            <w:vAlign w:val="center"/>
          </w:tcPr>
          <w:p>
            <w:pPr>
              <w:widowControl/>
              <w:spacing w:line="240" w:lineRule="atLeast"/>
              <w:jc w:val="left"/>
              <w:rPr>
                <w:rFonts w:hint="eastAsia" w:ascii="宋体" w:hAnsi="宋体" w:eastAsia="宋体" w:cs="宋体"/>
                <w:color w:val="auto"/>
                <w:szCs w:val="21"/>
              </w:rPr>
            </w:pPr>
          </w:p>
        </w:tc>
        <w:tc>
          <w:tcPr>
            <w:tcW w:w="2005" w:type="pct"/>
            <w:tcBorders>
              <w:top w:val="single" w:color="auto" w:sz="4" w:space="0"/>
              <w:left w:val="nil"/>
              <w:bottom w:val="single" w:color="auto" w:sz="8" w:space="0"/>
              <w:right w:val="single" w:color="auto" w:sz="8"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环境监控</w:t>
            </w:r>
          </w:p>
        </w:tc>
        <w:tc>
          <w:tcPr>
            <w:tcW w:w="549" w:type="pct"/>
            <w:tcBorders>
              <w:top w:val="single" w:color="auto" w:sz="4" w:space="0"/>
              <w:left w:val="nil"/>
              <w:bottom w:val="single" w:color="auto" w:sz="8" w:space="0"/>
              <w:right w:val="single" w:color="auto" w:sz="8"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single" w:color="auto" w:sz="4" w:space="0"/>
              <w:left w:val="nil"/>
              <w:bottom w:val="single" w:color="auto" w:sz="8" w:space="0"/>
              <w:right w:val="single" w:color="auto" w:sz="8"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632" w:type="pct"/>
            <w:tcBorders>
              <w:top w:val="single" w:color="auto" w:sz="4" w:space="0"/>
              <w:left w:val="nil"/>
              <w:bottom w:val="single" w:color="auto" w:sz="8" w:space="0"/>
              <w:right w:val="single" w:color="auto" w:sz="8" w:space="0"/>
            </w:tcBorders>
            <w:vAlign w:val="center"/>
          </w:tcPr>
          <w:p>
            <w:pPr>
              <w:widowControl/>
              <w:spacing w:line="240" w:lineRule="atLeast"/>
              <w:jc w:val="center"/>
              <w:rPr>
                <w:rFonts w:hint="eastAsia" w:ascii="宋体" w:hAnsi="宋体" w:eastAsia="宋体" w:cs="宋体"/>
                <w:color w:val="auto"/>
                <w:szCs w:val="21"/>
              </w:rPr>
            </w:pPr>
          </w:p>
        </w:tc>
      </w:tr>
      <w:tr>
        <w:tblPrEx>
          <w:tblCellMar>
            <w:top w:w="0" w:type="dxa"/>
            <w:left w:w="108" w:type="dxa"/>
            <w:bottom w:w="0" w:type="dxa"/>
            <w:right w:w="108" w:type="dxa"/>
          </w:tblCellMar>
        </w:tblPrEx>
        <w:trPr>
          <w:trHeight w:val="454" w:hRule="atLeast"/>
          <w:jc w:val="center"/>
        </w:trPr>
        <w:tc>
          <w:tcPr>
            <w:tcW w:w="396" w:type="pct"/>
            <w:tcBorders>
              <w:top w:val="single" w:color="auto" w:sz="4" w:space="0"/>
              <w:left w:val="single" w:color="auto" w:sz="8" w:space="0"/>
              <w:bottom w:val="single" w:color="auto" w:sz="8" w:space="0"/>
              <w:right w:val="single" w:color="auto" w:sz="8" w:space="0"/>
            </w:tcBorders>
            <w:vAlign w:val="center"/>
          </w:tcPr>
          <w:p>
            <w:pPr>
              <w:widowControl/>
              <w:numPr>
                <w:ilvl w:val="0"/>
                <w:numId w:val="1"/>
              </w:numPr>
              <w:spacing w:line="240" w:lineRule="atLeast"/>
              <w:jc w:val="center"/>
              <w:rPr>
                <w:rFonts w:hint="eastAsia" w:ascii="宋体" w:hAnsi="宋体" w:eastAsia="宋体" w:cs="宋体"/>
                <w:color w:val="auto"/>
                <w:szCs w:val="21"/>
              </w:rPr>
            </w:pPr>
          </w:p>
        </w:tc>
        <w:tc>
          <w:tcPr>
            <w:tcW w:w="655" w:type="pct"/>
            <w:tcBorders>
              <w:top w:val="single" w:color="auto" w:sz="4" w:space="0"/>
              <w:left w:val="nil"/>
              <w:bottom w:val="single" w:color="auto" w:sz="4" w:space="0"/>
              <w:right w:val="single" w:color="auto" w:sz="8"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不可抗力风险</w:t>
            </w:r>
          </w:p>
        </w:tc>
        <w:tc>
          <w:tcPr>
            <w:tcW w:w="2005" w:type="pct"/>
            <w:tcBorders>
              <w:top w:val="nil"/>
              <w:left w:val="nil"/>
              <w:bottom w:val="single" w:color="auto" w:sz="8" w:space="0"/>
              <w:right w:val="single" w:color="auto" w:sz="8" w:space="0"/>
            </w:tcBorders>
            <w:vAlign w:val="center"/>
          </w:tcPr>
          <w:p>
            <w:pPr>
              <w:widowControl/>
              <w:spacing w:line="240" w:lineRule="atLeast"/>
              <w:rPr>
                <w:rFonts w:hint="eastAsia" w:ascii="宋体" w:hAnsi="宋体" w:eastAsia="宋体" w:cs="宋体"/>
                <w:color w:val="auto"/>
                <w:szCs w:val="21"/>
              </w:rPr>
            </w:pPr>
            <w:r>
              <w:rPr>
                <w:rFonts w:hint="eastAsia" w:ascii="宋体" w:hAnsi="宋体" w:eastAsia="宋体" w:cs="宋体"/>
                <w:color w:val="auto"/>
                <w:szCs w:val="21"/>
              </w:rPr>
              <w:t>不可抗力</w:t>
            </w:r>
          </w:p>
        </w:tc>
        <w:tc>
          <w:tcPr>
            <w:tcW w:w="549" w:type="pct"/>
            <w:tcBorders>
              <w:top w:val="nil"/>
              <w:left w:val="nil"/>
              <w:bottom w:val="single" w:color="auto" w:sz="8" w:space="0"/>
              <w:right w:val="single" w:color="auto" w:sz="8" w:space="0"/>
            </w:tcBorders>
            <w:vAlign w:val="center"/>
          </w:tcPr>
          <w:p>
            <w:pPr>
              <w:widowControl/>
              <w:spacing w:line="240" w:lineRule="atLeast"/>
              <w:jc w:val="center"/>
              <w:rPr>
                <w:rFonts w:hint="eastAsia" w:ascii="宋体" w:hAnsi="宋体" w:eastAsia="宋体" w:cs="宋体"/>
                <w:color w:val="auto"/>
                <w:szCs w:val="21"/>
              </w:rPr>
            </w:pPr>
          </w:p>
        </w:tc>
        <w:tc>
          <w:tcPr>
            <w:tcW w:w="761" w:type="pct"/>
            <w:tcBorders>
              <w:top w:val="nil"/>
              <w:left w:val="nil"/>
              <w:bottom w:val="single" w:color="auto" w:sz="8" w:space="0"/>
              <w:right w:val="single" w:color="auto" w:sz="8" w:space="0"/>
            </w:tcBorders>
            <w:vAlign w:val="center"/>
          </w:tcPr>
          <w:p>
            <w:pPr>
              <w:widowControl/>
              <w:spacing w:line="240" w:lineRule="atLeast"/>
              <w:jc w:val="center"/>
              <w:rPr>
                <w:rFonts w:hint="eastAsia" w:ascii="宋体" w:hAnsi="宋体" w:eastAsia="宋体" w:cs="宋体"/>
                <w:color w:val="auto"/>
                <w:szCs w:val="21"/>
              </w:rPr>
            </w:pPr>
          </w:p>
        </w:tc>
        <w:tc>
          <w:tcPr>
            <w:tcW w:w="632" w:type="pct"/>
            <w:tcBorders>
              <w:top w:val="nil"/>
              <w:left w:val="nil"/>
              <w:bottom w:val="single" w:color="auto" w:sz="8" w:space="0"/>
              <w:right w:val="single" w:color="auto" w:sz="8" w:space="0"/>
            </w:tcBorders>
            <w:vAlign w:val="center"/>
          </w:tcPr>
          <w:p>
            <w:pPr>
              <w:widowControl/>
              <w:spacing w:line="240" w:lineRule="atLeast"/>
              <w:jc w:val="center"/>
              <w:rPr>
                <w:rFonts w:hint="eastAsia" w:ascii="宋体" w:hAnsi="宋体" w:eastAsia="宋体" w:cs="宋体"/>
                <w:color w:val="auto"/>
                <w:szCs w:val="21"/>
              </w:rPr>
            </w:pPr>
            <w:r>
              <w:rPr>
                <w:rFonts w:hint="eastAsia" w:ascii="宋体" w:hAnsi="宋体" w:eastAsia="宋体" w:cs="宋体"/>
                <w:color w:val="auto"/>
                <w:szCs w:val="21"/>
              </w:rPr>
              <w:t>□</w:t>
            </w:r>
          </w:p>
        </w:tc>
      </w:tr>
    </w:tbl>
    <w:p>
      <w:pPr>
        <w:adjustRightInd w:val="0"/>
        <w:snapToGrid w:val="0"/>
        <w:spacing w:line="360" w:lineRule="auto"/>
        <w:rPr>
          <w:rFonts w:hint="eastAsia" w:ascii="宋体" w:hAnsi="宋体" w:eastAsia="宋体" w:cs="宋体"/>
          <w:color w:val="auto"/>
        </w:rPr>
        <w:sectPr>
          <w:pgSz w:w="11850" w:h="16783"/>
          <w:pgMar w:top="1587" w:right="1701" w:bottom="1587" w:left="1701" w:header="851" w:footer="992" w:gutter="0"/>
          <w:cols w:space="720" w:num="1"/>
          <w:docGrid w:linePitch="317" w:charSpace="0"/>
        </w:sectPr>
      </w:pPr>
    </w:p>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Pr>
        <w:snapToGrid w:val="0"/>
        <w:spacing w:line="360" w:lineRule="auto"/>
        <w:rPr>
          <w:rFonts w:hint="eastAsia" w:ascii="宋体" w:hAnsi="宋体" w:eastAsia="宋体" w:cs="宋体"/>
          <w:b/>
          <w:color w:val="auto"/>
          <w:kern w:val="44"/>
          <w:sz w:val="44"/>
        </w:rPr>
      </w:pPr>
    </w:p>
    <w:p>
      <w:pPr>
        <w:pStyle w:val="4"/>
        <w:spacing w:line="240" w:lineRule="auto"/>
        <w:jc w:val="center"/>
        <w:rPr>
          <w:rFonts w:hint="eastAsia" w:ascii="宋体" w:hAnsi="宋体" w:eastAsia="宋体" w:cs="宋体"/>
          <w:color w:val="auto"/>
        </w:rPr>
      </w:pPr>
      <w:bookmarkStart w:id="256" w:name="_Toc16199"/>
      <w:r>
        <w:rPr>
          <w:rFonts w:hint="eastAsia" w:ascii="宋体" w:hAnsi="宋体" w:eastAsia="宋体" w:cs="宋体"/>
          <w:color w:val="auto"/>
        </w:rPr>
        <w:t>第三章 投标人须知</w:t>
      </w:r>
      <w:bookmarkEnd w:id="256"/>
      <w:bookmarkStart w:id="257" w:name="_Toc51540410"/>
    </w:p>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投标人须知前附表</w:t>
      </w:r>
      <w:bookmarkEnd w:id="257"/>
    </w:p>
    <w:p>
      <w:pPr>
        <w:spacing w:before="120" w:after="120" w:line="360" w:lineRule="auto"/>
        <w:ind w:firstLine="480" w:firstLineChars="200"/>
        <w:rPr>
          <w:rStyle w:val="39"/>
          <w:rFonts w:hint="eastAsia" w:ascii="宋体" w:hAnsi="宋体" w:eastAsia="宋体" w:cs="宋体"/>
          <w:b/>
          <w:color w:val="auto"/>
          <w:sz w:val="24"/>
        </w:rPr>
      </w:pPr>
      <w:r>
        <w:rPr>
          <w:rStyle w:val="39"/>
          <w:rFonts w:hint="eastAsia" w:ascii="宋体" w:hAnsi="宋体" w:eastAsia="宋体" w:cs="宋体"/>
          <w:color w:val="auto"/>
          <w:sz w:val="24"/>
        </w:rPr>
        <w:t>本表是关于本次招标项目的具体资料，是对后列条款的具体补充和修改。所有与本次采购有关的事宜，以本表规定的为准。</w:t>
      </w:r>
    </w:p>
    <w:p>
      <w:pPr>
        <w:pStyle w:val="2"/>
        <w:rPr>
          <w:rFonts w:hint="eastAsia" w:ascii="宋体" w:hAnsi="宋体" w:eastAsia="宋体" w:cs="宋体"/>
          <w:color w:val="auto"/>
        </w:rPr>
      </w:pPr>
    </w:p>
    <w:tbl>
      <w:tblPr>
        <w:tblStyle w:val="23"/>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2389"/>
        <w:gridCol w:w="6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Align w:val="center"/>
          </w:tcPr>
          <w:p>
            <w:pPr>
              <w:pStyle w:val="12"/>
              <w:snapToGrid w:val="0"/>
              <w:spacing w:line="420" w:lineRule="exact"/>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条款号</w:t>
            </w:r>
          </w:p>
        </w:tc>
        <w:tc>
          <w:tcPr>
            <w:tcW w:w="2389" w:type="dxa"/>
            <w:vAlign w:val="center"/>
          </w:tcPr>
          <w:p>
            <w:pPr>
              <w:pStyle w:val="12"/>
              <w:snapToGrid w:val="0"/>
              <w:spacing w:line="420" w:lineRule="exact"/>
              <w:ind w:firstLine="710" w:firstLineChars="296"/>
              <w:rPr>
                <w:rFonts w:hint="eastAsia" w:ascii="宋体" w:hAnsi="宋体" w:eastAsia="宋体" w:cs="宋体"/>
                <w:bCs/>
                <w:color w:val="auto"/>
                <w:sz w:val="24"/>
                <w:szCs w:val="24"/>
              </w:rPr>
            </w:pPr>
            <w:r>
              <w:rPr>
                <w:rFonts w:hint="eastAsia" w:ascii="宋体" w:hAnsi="宋体" w:eastAsia="宋体" w:cs="宋体"/>
                <w:bCs/>
                <w:color w:val="auto"/>
                <w:sz w:val="24"/>
                <w:szCs w:val="24"/>
              </w:rPr>
              <w:t>条款名称</w:t>
            </w:r>
          </w:p>
        </w:tc>
        <w:tc>
          <w:tcPr>
            <w:tcW w:w="6548" w:type="dxa"/>
            <w:vAlign w:val="center"/>
          </w:tcPr>
          <w:p>
            <w:pPr>
              <w:pStyle w:val="12"/>
              <w:snapToGrid w:val="0"/>
              <w:spacing w:line="420" w:lineRule="exact"/>
              <w:ind w:firstLine="2630" w:firstLineChars="1096"/>
              <w:rPr>
                <w:rFonts w:hint="eastAsia" w:ascii="宋体" w:hAnsi="宋体" w:eastAsia="宋体" w:cs="宋体"/>
                <w:bCs/>
                <w:color w:val="auto"/>
                <w:sz w:val="24"/>
                <w:szCs w:val="24"/>
              </w:rPr>
            </w:pPr>
            <w:r>
              <w:rPr>
                <w:rFonts w:hint="eastAsia" w:ascii="宋体" w:hAnsi="宋体" w:eastAsia="宋体" w:cs="宋体"/>
                <w:bCs/>
                <w:color w:val="auto"/>
                <w:sz w:val="24"/>
                <w:szCs w:val="24"/>
              </w:rPr>
              <w:t>详细内容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Align w:val="center"/>
          </w:tcPr>
          <w:p>
            <w:pPr>
              <w:pStyle w:val="12"/>
              <w:snapToGrid w:val="0"/>
              <w:spacing w:line="420" w:lineRule="exact"/>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1.1</w:t>
            </w:r>
          </w:p>
        </w:tc>
        <w:tc>
          <w:tcPr>
            <w:tcW w:w="2389" w:type="dxa"/>
            <w:vAlign w:val="center"/>
          </w:tcPr>
          <w:p>
            <w:pPr>
              <w:pStyle w:val="12"/>
              <w:snapToGrid w:val="0"/>
              <w:spacing w:line="420" w:lineRule="exact"/>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采购人</w:t>
            </w:r>
          </w:p>
        </w:tc>
        <w:tc>
          <w:tcPr>
            <w:tcW w:w="6548" w:type="dxa"/>
            <w:vAlign w:val="center"/>
          </w:tcPr>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bCs/>
                <w:color w:val="auto"/>
                <w:sz w:val="24"/>
                <w:szCs w:val="24"/>
              </w:rPr>
              <w:t>采购人：</w:t>
            </w:r>
            <w:r>
              <w:rPr>
                <w:rFonts w:hint="eastAsia" w:ascii="宋体" w:hAnsi="宋体" w:eastAsia="宋体" w:cs="宋体"/>
                <w:color w:val="auto"/>
                <w:sz w:val="24"/>
                <w:szCs w:val="24"/>
              </w:rPr>
              <w:t>南宁市保障住房建设管理服务中心</w:t>
            </w:r>
          </w:p>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bCs/>
                <w:color w:val="auto"/>
                <w:sz w:val="24"/>
                <w:szCs w:val="24"/>
              </w:rPr>
              <w:t>地址：南宁市园湖北路37号</w:t>
            </w:r>
          </w:p>
          <w:p>
            <w:pPr>
              <w:pStyle w:val="12"/>
              <w:snapToGrid w:val="0"/>
              <w:spacing w:line="420" w:lineRule="exact"/>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联系人：</w:t>
            </w:r>
            <w:r>
              <w:rPr>
                <w:rFonts w:hint="eastAsia" w:ascii="宋体" w:hAnsi="宋体" w:eastAsia="宋体" w:cs="宋体"/>
                <w:bCs/>
                <w:color w:val="auto"/>
                <w:sz w:val="24"/>
                <w:szCs w:val="24"/>
                <w:lang w:val="en-US" w:eastAsia="zh-CN"/>
              </w:rPr>
              <w:t>万春晖</w:t>
            </w:r>
          </w:p>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bCs/>
                <w:color w:val="auto"/>
                <w:sz w:val="24"/>
                <w:szCs w:val="24"/>
              </w:rPr>
              <w:t>电话：0771</w:t>
            </w:r>
            <w:r>
              <w:rPr>
                <w:rFonts w:hint="eastAsia" w:ascii="宋体" w:hAnsi="宋体" w:eastAsia="宋体" w:cs="宋体"/>
                <w:bCs/>
                <w:color w:val="auto"/>
                <w:sz w:val="24"/>
                <w:szCs w:val="24"/>
                <w:lang w:val="en-US" w:eastAsia="zh-CN"/>
              </w:rPr>
              <w:t>-</w:t>
            </w:r>
            <w:r>
              <w:rPr>
                <w:rFonts w:hint="eastAsia" w:ascii="宋体" w:hAnsi="宋体" w:eastAsia="宋体" w:cs="宋体"/>
                <w:bCs/>
                <w:color w:val="auto"/>
                <w:sz w:val="24"/>
                <w:szCs w:val="24"/>
              </w:rPr>
              <w:t>2817503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Align w:val="center"/>
          </w:tcPr>
          <w:p>
            <w:pPr>
              <w:pStyle w:val="12"/>
              <w:snapToGrid w:val="0"/>
              <w:spacing w:line="420" w:lineRule="exact"/>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1.2</w:t>
            </w:r>
          </w:p>
        </w:tc>
        <w:tc>
          <w:tcPr>
            <w:tcW w:w="2389" w:type="dxa"/>
            <w:vAlign w:val="center"/>
          </w:tcPr>
          <w:p>
            <w:pPr>
              <w:pStyle w:val="12"/>
              <w:snapToGrid w:val="0"/>
              <w:spacing w:line="420" w:lineRule="exact"/>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采购代理机构</w:t>
            </w:r>
          </w:p>
        </w:tc>
        <w:tc>
          <w:tcPr>
            <w:tcW w:w="6548" w:type="dxa"/>
            <w:vAlign w:val="center"/>
          </w:tcPr>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bCs/>
                <w:color w:val="auto"/>
                <w:sz w:val="24"/>
                <w:szCs w:val="24"/>
              </w:rPr>
              <w:t>名称：广西景钲工程咨询有限公司</w:t>
            </w:r>
          </w:p>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地址：南宁市良庆区盘歌路6号富雅·国际生活广场A座五层509号房 </w:t>
            </w:r>
          </w:p>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项目负责人：黄国明   </w:t>
            </w:r>
          </w:p>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电话：0771-2833331 </w:t>
            </w:r>
            <w:r>
              <w:rPr>
                <w:rFonts w:hint="eastAsia" w:ascii="宋体" w:hAnsi="宋体" w:eastAsia="宋体" w:cs="宋体"/>
                <w:color w:val="auto"/>
                <w:sz w:val="24"/>
                <w:szCs w:val="24"/>
              </w:rPr>
              <w:t xml:space="preserve"> </w:t>
            </w:r>
            <w:r>
              <w:rPr>
                <w:rFonts w:hint="eastAsia" w:ascii="宋体" w:hAnsi="宋体" w:eastAsia="宋体" w:cs="宋体"/>
                <w:bCs/>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Align w:val="center"/>
          </w:tcPr>
          <w:p>
            <w:pPr>
              <w:pStyle w:val="12"/>
              <w:snapToGrid w:val="0"/>
              <w:spacing w:line="420" w:lineRule="exact"/>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1.3</w:t>
            </w:r>
          </w:p>
        </w:tc>
        <w:tc>
          <w:tcPr>
            <w:tcW w:w="2389" w:type="dxa"/>
            <w:vAlign w:val="center"/>
          </w:tcPr>
          <w:p>
            <w:pPr>
              <w:pStyle w:val="12"/>
              <w:snapToGrid w:val="0"/>
              <w:spacing w:line="420" w:lineRule="exact"/>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项目名称</w:t>
            </w:r>
          </w:p>
        </w:tc>
        <w:tc>
          <w:tcPr>
            <w:tcW w:w="6548" w:type="dxa"/>
            <w:vAlign w:val="center"/>
          </w:tcPr>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color w:val="auto"/>
                <w:sz w:val="24"/>
                <w:szCs w:val="24"/>
              </w:rPr>
              <w:t>南宁市2020年第三批城镇老旧小区改造PPP项目社会资本方采购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25" w:type="dxa"/>
            <w:vAlign w:val="center"/>
          </w:tcPr>
          <w:p>
            <w:pPr>
              <w:pStyle w:val="12"/>
              <w:snapToGrid w:val="0"/>
              <w:spacing w:line="420" w:lineRule="exact"/>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1.4</w:t>
            </w:r>
          </w:p>
        </w:tc>
        <w:tc>
          <w:tcPr>
            <w:tcW w:w="2389" w:type="dxa"/>
            <w:vAlign w:val="center"/>
          </w:tcPr>
          <w:p>
            <w:pPr>
              <w:pStyle w:val="12"/>
              <w:snapToGrid w:val="0"/>
              <w:spacing w:line="420" w:lineRule="exact"/>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项目编号</w:t>
            </w:r>
          </w:p>
        </w:tc>
        <w:tc>
          <w:tcPr>
            <w:tcW w:w="6548" w:type="dxa"/>
            <w:vAlign w:val="center"/>
          </w:tcPr>
          <w:p>
            <w:pPr>
              <w:pStyle w:val="12"/>
              <w:snapToGrid w:val="0"/>
              <w:spacing w:line="420" w:lineRule="exact"/>
              <w:rPr>
                <w:rFonts w:hint="eastAsia" w:ascii="宋体" w:hAnsi="宋体" w:eastAsia="宋体" w:cs="宋体"/>
                <w:bCs/>
                <w:color w:val="auto"/>
                <w:sz w:val="24"/>
                <w:szCs w:val="24"/>
              </w:rPr>
            </w:pPr>
            <w:r>
              <w:rPr>
                <w:rFonts w:hint="eastAsia" w:ascii="宋体" w:hAnsi="宋体" w:cs="宋体"/>
                <w:color w:val="auto"/>
                <w:sz w:val="24"/>
                <w:szCs w:val="24"/>
                <w:highlight w:val="yellow"/>
                <w:lang w:eastAsia="zh-CN"/>
              </w:rPr>
              <w:t>NNZC2021-G3-990602-GXJZ-1</w:t>
            </w:r>
            <w:r>
              <w:rPr>
                <w:rFonts w:hint="eastAsia" w:ascii="宋体" w:hAnsi="宋体" w:eastAsia="宋体" w:cs="宋体"/>
                <w:color w:val="auto"/>
                <w:sz w:val="24"/>
                <w:szCs w:val="24"/>
                <w:highlight w:val="yellow"/>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025" w:type="dxa"/>
            <w:vAlign w:val="center"/>
          </w:tcPr>
          <w:p>
            <w:pPr>
              <w:pStyle w:val="12"/>
              <w:snapToGrid w:val="0"/>
              <w:spacing w:line="420" w:lineRule="exact"/>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1.5</w:t>
            </w:r>
          </w:p>
        </w:tc>
        <w:tc>
          <w:tcPr>
            <w:tcW w:w="2389" w:type="dxa"/>
            <w:vAlign w:val="center"/>
          </w:tcPr>
          <w:p>
            <w:pPr>
              <w:pStyle w:val="12"/>
              <w:snapToGrid w:val="0"/>
              <w:spacing w:line="420" w:lineRule="exact"/>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采购预算</w:t>
            </w:r>
          </w:p>
        </w:tc>
        <w:tc>
          <w:tcPr>
            <w:tcW w:w="6548" w:type="dxa"/>
            <w:vAlign w:val="center"/>
          </w:tcPr>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bCs/>
                <w:color w:val="auto"/>
                <w:sz w:val="24"/>
                <w:szCs w:val="24"/>
              </w:rPr>
              <w:t>详见第二章“采购需求”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025" w:type="dxa"/>
            <w:vAlign w:val="center"/>
          </w:tcPr>
          <w:p>
            <w:pPr>
              <w:pStyle w:val="12"/>
              <w:snapToGrid w:val="0"/>
              <w:spacing w:line="420" w:lineRule="exact"/>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1.6</w:t>
            </w:r>
          </w:p>
        </w:tc>
        <w:tc>
          <w:tcPr>
            <w:tcW w:w="2389" w:type="dxa"/>
            <w:vAlign w:val="center"/>
          </w:tcPr>
          <w:p>
            <w:pPr>
              <w:pStyle w:val="12"/>
              <w:snapToGrid w:val="0"/>
              <w:spacing w:line="420" w:lineRule="exact"/>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资金来源</w:t>
            </w:r>
          </w:p>
        </w:tc>
        <w:tc>
          <w:tcPr>
            <w:tcW w:w="6548" w:type="dxa"/>
            <w:vAlign w:val="center"/>
          </w:tcPr>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bCs/>
                <w:color w:val="auto"/>
                <w:sz w:val="24"/>
                <w:szCs w:val="24"/>
              </w:rPr>
              <w:t>项目资金来源为政府方投资及项目公司筹措，其中，工程费由政府方统筹中央、自治区补助资金支付，工程建设其他费由社会资本方筹措。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025" w:type="dxa"/>
            <w:vAlign w:val="center"/>
          </w:tcPr>
          <w:p>
            <w:pPr>
              <w:pStyle w:val="12"/>
              <w:snapToGrid w:val="0"/>
              <w:spacing w:line="420" w:lineRule="exact"/>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1.7</w:t>
            </w:r>
          </w:p>
        </w:tc>
        <w:tc>
          <w:tcPr>
            <w:tcW w:w="2389" w:type="dxa"/>
            <w:vAlign w:val="center"/>
          </w:tcPr>
          <w:p>
            <w:pPr>
              <w:pStyle w:val="12"/>
              <w:snapToGrid w:val="0"/>
              <w:spacing w:line="420" w:lineRule="exact"/>
              <w:ind w:firstLine="710" w:firstLineChars="296"/>
              <w:rPr>
                <w:rFonts w:hint="eastAsia" w:ascii="宋体" w:hAnsi="宋体" w:eastAsia="宋体" w:cs="宋体"/>
                <w:bCs/>
                <w:color w:val="auto"/>
                <w:sz w:val="24"/>
                <w:szCs w:val="24"/>
              </w:rPr>
            </w:pPr>
            <w:r>
              <w:rPr>
                <w:rFonts w:hint="eastAsia" w:ascii="宋体" w:hAnsi="宋体" w:eastAsia="宋体" w:cs="宋体"/>
                <w:bCs/>
                <w:color w:val="auto"/>
                <w:sz w:val="24"/>
                <w:szCs w:val="24"/>
              </w:rPr>
              <w:t>招标依据</w:t>
            </w:r>
          </w:p>
        </w:tc>
        <w:tc>
          <w:tcPr>
            <w:tcW w:w="6548" w:type="dxa"/>
            <w:vAlign w:val="center"/>
          </w:tcPr>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bCs/>
                <w:color w:val="auto"/>
                <w:sz w:val="24"/>
                <w:szCs w:val="24"/>
              </w:rPr>
              <w:t>本项目招标按照《中华人民共和国政府采购法》、《中华人民共和国政府采购法实施条例》、《基础设施和公用事业特许经营管理办法》（六部委2015年25号令）、《政府和社会资本方合作模式操作指南》（财金〔2014〕113号）、《政府和社会资本方合作项目政府采购管理办法》（财库〔2014〕215号）《国家发展改革委关于印发《传统基础设施领域实施政府和社会资本合作项目工作导则》的通知》（发改投资〔2016〕2231号）等有关法律、法规，择优选定南宁市2020年第三批城镇老旧小区改造PPP项目社会资本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025" w:type="dxa"/>
            <w:vAlign w:val="center"/>
          </w:tcPr>
          <w:p>
            <w:pPr>
              <w:pStyle w:val="12"/>
              <w:snapToGrid w:val="0"/>
              <w:spacing w:line="420" w:lineRule="exact"/>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1.8</w:t>
            </w:r>
          </w:p>
        </w:tc>
        <w:tc>
          <w:tcPr>
            <w:tcW w:w="2389" w:type="dxa"/>
            <w:vAlign w:val="center"/>
          </w:tcPr>
          <w:p>
            <w:pPr>
              <w:pStyle w:val="12"/>
              <w:snapToGrid w:val="0"/>
              <w:spacing w:line="420" w:lineRule="exact"/>
              <w:ind w:firstLine="710" w:firstLineChars="296"/>
              <w:rPr>
                <w:rFonts w:hint="eastAsia" w:ascii="宋体" w:hAnsi="宋体" w:eastAsia="宋体" w:cs="宋体"/>
                <w:bCs/>
                <w:color w:val="auto"/>
                <w:sz w:val="24"/>
                <w:szCs w:val="24"/>
              </w:rPr>
            </w:pPr>
            <w:r>
              <w:rPr>
                <w:rFonts w:hint="eastAsia" w:ascii="宋体" w:hAnsi="宋体" w:eastAsia="宋体" w:cs="宋体"/>
                <w:bCs/>
                <w:color w:val="auto"/>
                <w:sz w:val="24"/>
                <w:szCs w:val="24"/>
              </w:rPr>
              <w:t>招标目的</w:t>
            </w:r>
          </w:p>
        </w:tc>
        <w:tc>
          <w:tcPr>
            <w:tcW w:w="6548" w:type="dxa"/>
            <w:vAlign w:val="center"/>
          </w:tcPr>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bCs/>
                <w:color w:val="auto"/>
                <w:sz w:val="24"/>
                <w:szCs w:val="24"/>
              </w:rPr>
              <w:t>通过采用PPP模式引入社会资本，由社会资本方、项目公司负责本项目的投融资、建设、运营、维护、管理、移交等工作，既可以解决项目资金问题，缓解政府直接投资压力，有效增加城市其他基础设施的供给，提高财政资金使用效率，又可以减少政府新增债务，缓解地方政府性债务压力，规范政府债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025" w:type="dxa"/>
            <w:vAlign w:val="center"/>
          </w:tcPr>
          <w:p>
            <w:pPr>
              <w:pStyle w:val="12"/>
              <w:snapToGrid w:val="0"/>
              <w:spacing w:line="420" w:lineRule="exact"/>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1.9</w:t>
            </w:r>
          </w:p>
        </w:tc>
        <w:tc>
          <w:tcPr>
            <w:tcW w:w="2389" w:type="dxa"/>
            <w:vAlign w:val="center"/>
          </w:tcPr>
          <w:p>
            <w:pPr>
              <w:pStyle w:val="12"/>
              <w:snapToGrid w:val="0"/>
              <w:spacing w:line="420" w:lineRule="exact"/>
              <w:jc w:val="center"/>
              <w:rPr>
                <w:rFonts w:hint="eastAsia" w:ascii="宋体" w:hAnsi="宋体" w:eastAsia="宋体" w:cs="宋体"/>
                <w:bCs/>
                <w:color w:val="auto"/>
                <w:sz w:val="24"/>
                <w:szCs w:val="24"/>
              </w:rPr>
            </w:pPr>
            <w:r>
              <w:rPr>
                <w:rFonts w:hint="eastAsia" w:ascii="宋体" w:hAnsi="宋体" w:eastAsia="宋体" w:cs="宋体"/>
                <w:b/>
                <w:color w:val="auto"/>
                <w:sz w:val="24"/>
                <w:szCs w:val="24"/>
              </w:rPr>
              <w:t>获取招标文件的时间、地点、方式及招标文件售价</w:t>
            </w:r>
          </w:p>
        </w:tc>
        <w:tc>
          <w:tcPr>
            <w:tcW w:w="6548" w:type="dxa"/>
            <w:vAlign w:val="center"/>
          </w:tcPr>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b/>
                <w:bCs/>
                <w:color w:val="auto"/>
                <w:sz w:val="24"/>
                <w:szCs w:val="24"/>
              </w:rPr>
              <w:t>时间：2021年07月02 日0时00分至2021年07月23 日</w:t>
            </w:r>
            <w:r>
              <w:rPr>
                <w:rFonts w:hint="eastAsia" w:ascii="宋体" w:hAnsi="宋体" w:cs="宋体"/>
                <w:b/>
                <w:bCs/>
                <w:color w:val="auto"/>
                <w:sz w:val="24"/>
                <w:szCs w:val="24"/>
                <w:lang w:val="en-US" w:eastAsia="zh-CN"/>
              </w:rPr>
              <w:t>13</w:t>
            </w:r>
            <w:r>
              <w:rPr>
                <w:rFonts w:hint="eastAsia" w:ascii="宋体" w:hAnsi="宋体" w:eastAsia="宋体" w:cs="宋体"/>
                <w:b/>
                <w:bCs/>
                <w:color w:val="auto"/>
                <w:sz w:val="24"/>
                <w:szCs w:val="24"/>
              </w:rPr>
              <w:t>时</w:t>
            </w:r>
            <w:r>
              <w:rPr>
                <w:rFonts w:hint="eastAsia" w:ascii="宋体" w:hAnsi="宋体" w:cs="宋体"/>
                <w:b/>
                <w:bCs/>
                <w:color w:val="auto"/>
                <w:sz w:val="24"/>
                <w:szCs w:val="24"/>
                <w:lang w:val="en-US" w:eastAsia="zh-CN"/>
              </w:rPr>
              <w:t>0</w:t>
            </w:r>
            <w:r>
              <w:rPr>
                <w:rFonts w:hint="eastAsia" w:ascii="宋体" w:hAnsi="宋体" w:eastAsia="宋体" w:cs="宋体"/>
                <w:b/>
                <w:bCs/>
                <w:color w:val="auto"/>
                <w:sz w:val="24"/>
                <w:szCs w:val="24"/>
              </w:rPr>
              <w:t>0分</w:t>
            </w:r>
          </w:p>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b/>
                <w:bCs/>
                <w:color w:val="auto"/>
                <w:sz w:val="24"/>
                <w:szCs w:val="24"/>
              </w:rPr>
              <w:t>地点：</w:t>
            </w:r>
            <w:r>
              <w:rPr>
                <w:rFonts w:hint="eastAsia" w:ascii="宋体" w:hAnsi="宋体" w:eastAsia="宋体" w:cs="宋体"/>
                <w:bCs/>
                <w:color w:val="auto"/>
                <w:sz w:val="24"/>
                <w:szCs w:val="24"/>
              </w:rPr>
              <w:t>南宁市公共资源交易中心网https://www.nnggzy.org.cn/ gxnnzbw/的信息公告处。</w:t>
            </w:r>
          </w:p>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b/>
                <w:bCs/>
                <w:color w:val="auto"/>
                <w:sz w:val="24"/>
                <w:szCs w:val="24"/>
              </w:rPr>
              <w:t>方式：</w:t>
            </w:r>
            <w:r>
              <w:rPr>
                <w:rFonts w:hint="eastAsia" w:ascii="宋体" w:hAnsi="宋体" w:eastAsia="宋体" w:cs="宋体"/>
                <w:bCs/>
                <w:color w:val="auto"/>
                <w:sz w:val="24"/>
                <w:szCs w:val="24"/>
              </w:rPr>
              <w:t>本项目不发放纸质文件，投标人自行在南宁市公共资源交易中心网https://www.nnggzy.org.cn/ gxnnzbw/的信息公告处下载招标文件。</w:t>
            </w:r>
          </w:p>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b/>
                <w:bCs/>
                <w:color w:val="auto"/>
                <w:sz w:val="24"/>
                <w:szCs w:val="24"/>
              </w:rPr>
              <w:t>售价：</w:t>
            </w:r>
            <w:r>
              <w:rPr>
                <w:rFonts w:hint="eastAsia" w:ascii="宋体" w:hAnsi="宋体" w:eastAsia="宋体" w:cs="宋体"/>
                <w:bCs/>
                <w:color w:val="auto"/>
                <w:sz w:val="24"/>
                <w:szCs w:val="24"/>
              </w:rPr>
              <w:t>招标文件不收取费用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025" w:type="dxa"/>
            <w:vAlign w:val="center"/>
          </w:tcPr>
          <w:p>
            <w:pPr>
              <w:pStyle w:val="12"/>
              <w:snapToGrid w:val="0"/>
              <w:spacing w:line="420" w:lineRule="exact"/>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3.2</w:t>
            </w:r>
          </w:p>
        </w:tc>
        <w:tc>
          <w:tcPr>
            <w:tcW w:w="2389" w:type="dxa"/>
            <w:vAlign w:val="center"/>
          </w:tcPr>
          <w:p>
            <w:pPr>
              <w:pStyle w:val="12"/>
              <w:snapToGrid w:val="0"/>
              <w:spacing w:line="420" w:lineRule="exact"/>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投标人应具备</w:t>
            </w:r>
          </w:p>
          <w:p>
            <w:pPr>
              <w:pStyle w:val="12"/>
              <w:snapToGrid w:val="0"/>
              <w:spacing w:line="420" w:lineRule="exact"/>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的特定条件</w:t>
            </w:r>
          </w:p>
        </w:tc>
        <w:tc>
          <w:tcPr>
            <w:tcW w:w="6548" w:type="dxa"/>
            <w:vAlign w:val="center"/>
          </w:tcPr>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bCs/>
                <w:color w:val="auto"/>
                <w:sz w:val="24"/>
                <w:szCs w:val="24"/>
              </w:rPr>
              <w:t>1、通过资格预审的投标人（含联合体投标人）。不允许未通过资格预审的投标人参与投标。</w:t>
            </w:r>
          </w:p>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bCs/>
                <w:color w:val="auto"/>
                <w:sz w:val="24"/>
                <w:szCs w:val="24"/>
              </w:rPr>
              <w:t>2、投标人在提交投标文件之后，如果发生任何实质性变化，影响其管理、技术、财务或法律状况，不能满足采购文件要求的，将失去竞争资格，由此产生的一切责任由投标人自行承担。</w:t>
            </w:r>
          </w:p>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bCs/>
                <w:color w:val="auto"/>
                <w:sz w:val="24"/>
                <w:szCs w:val="24"/>
              </w:rPr>
              <w:t>3、投标人提供虚假、重大不完整材料或隐瞒可能会影响其技术、财务或法律状况的实质性变化情形的，采购人可在核实后取消该投标人参加投标的资格。</w:t>
            </w:r>
          </w:p>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bCs/>
                <w:color w:val="auto"/>
                <w:sz w:val="24"/>
                <w:szCs w:val="24"/>
              </w:rPr>
              <w:t>4、投标人不得直接或间接地与为本次采购的项目内容进行设计、编制规范和其他文件的咨询公司、采购人、采购代理机构或其附属机构有任何关联。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025" w:type="dxa"/>
            <w:vAlign w:val="center"/>
          </w:tcPr>
          <w:p>
            <w:pPr>
              <w:pStyle w:val="12"/>
              <w:snapToGrid w:val="0"/>
              <w:spacing w:line="420" w:lineRule="exact"/>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3.3</w:t>
            </w:r>
          </w:p>
        </w:tc>
        <w:tc>
          <w:tcPr>
            <w:tcW w:w="2389" w:type="dxa"/>
            <w:vAlign w:val="center"/>
          </w:tcPr>
          <w:p>
            <w:pPr>
              <w:pStyle w:val="12"/>
              <w:snapToGrid w:val="0"/>
              <w:spacing w:line="420" w:lineRule="exact"/>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是否接受</w:t>
            </w:r>
          </w:p>
          <w:p>
            <w:pPr>
              <w:pStyle w:val="12"/>
              <w:snapToGrid w:val="0"/>
              <w:spacing w:line="420" w:lineRule="exact"/>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联合体投标</w:t>
            </w:r>
          </w:p>
        </w:tc>
        <w:tc>
          <w:tcPr>
            <w:tcW w:w="6548" w:type="dxa"/>
            <w:vAlign w:val="center"/>
          </w:tcPr>
          <w:p>
            <w:pPr>
              <w:spacing w:line="276" w:lineRule="auto"/>
              <w:rPr>
                <w:rFonts w:hint="eastAsia" w:ascii="宋体" w:hAnsi="宋体" w:eastAsia="宋体" w:cs="宋体"/>
                <w:color w:val="auto"/>
                <w:spacing w:val="-4"/>
                <w:kern w:val="0"/>
                <w:sz w:val="24"/>
              </w:rPr>
            </w:pPr>
            <w:r>
              <w:rPr>
                <w:rFonts w:hint="eastAsia" w:ascii="宋体" w:hAnsi="宋体" w:eastAsia="宋体" w:cs="宋体"/>
                <w:bCs/>
                <w:color w:val="auto"/>
                <w:sz w:val="24"/>
              </w:rPr>
              <w:t>本项目接受联合体投标。要求与通过资格预审的投标人的组织形式一致。</w:t>
            </w:r>
            <w:r>
              <w:rPr>
                <w:rFonts w:hint="eastAsia" w:ascii="宋体" w:hAnsi="宋体" w:eastAsia="宋体" w:cs="宋体"/>
                <w:color w:val="auto"/>
                <w:spacing w:val="-4"/>
                <w:kern w:val="0"/>
                <w:sz w:val="24"/>
              </w:rPr>
              <w:t>投标人为联合体的成员单位名称需全部写上。</w:t>
            </w:r>
          </w:p>
          <w:p>
            <w:pPr>
              <w:pStyle w:val="12"/>
              <w:snapToGrid w:val="0"/>
              <w:spacing w:line="420" w:lineRule="exact"/>
              <w:rPr>
                <w:rFonts w:hint="eastAsia" w:ascii="宋体" w:hAnsi="宋体" w:eastAsia="宋体" w:cs="宋体"/>
                <w:bCs/>
                <w:color w:val="auto"/>
                <w:sz w:val="24"/>
                <w:szCs w:val="24"/>
              </w:rPr>
            </w:pPr>
            <w:r>
              <w:rPr>
                <w:rFonts w:hint="eastAsia" w:ascii="宋体" w:hAnsi="宋体" w:eastAsia="宋体" w:cs="宋体"/>
                <w:color w:val="auto"/>
                <w:spacing w:val="-4"/>
                <w:kern w:val="0"/>
                <w:sz w:val="24"/>
                <w:szCs w:val="24"/>
              </w:rPr>
              <w:t>若联合体成员方法定代表人发生变更，或者其他与资格预审申请文件中的条件发生重大变化时，须明确更改情况，并附有关材料。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025" w:type="dxa"/>
            <w:vAlign w:val="center"/>
          </w:tcPr>
          <w:p>
            <w:pPr>
              <w:pStyle w:val="12"/>
              <w:snapToGrid w:val="0"/>
              <w:spacing w:line="420" w:lineRule="exact"/>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4.1</w:t>
            </w:r>
          </w:p>
        </w:tc>
        <w:tc>
          <w:tcPr>
            <w:tcW w:w="2389" w:type="dxa"/>
            <w:vAlign w:val="center"/>
          </w:tcPr>
          <w:p>
            <w:pPr>
              <w:spacing w:before="48" w:after="48" w:line="320" w:lineRule="exact"/>
              <w:jc w:val="center"/>
              <w:rPr>
                <w:rFonts w:hint="eastAsia" w:ascii="宋体" w:hAnsi="宋体" w:eastAsia="宋体" w:cs="宋体"/>
                <w:color w:val="auto"/>
                <w:sz w:val="24"/>
              </w:rPr>
            </w:pPr>
            <w:r>
              <w:rPr>
                <w:rStyle w:val="39"/>
                <w:rFonts w:hint="eastAsia" w:ascii="宋体" w:hAnsi="宋体" w:eastAsia="宋体" w:cs="宋体"/>
                <w:color w:val="auto"/>
                <w:sz w:val="24"/>
              </w:rPr>
              <w:t>质疑书的提交地点和质疑受理电话</w:t>
            </w:r>
          </w:p>
        </w:tc>
        <w:tc>
          <w:tcPr>
            <w:tcW w:w="6548" w:type="dxa"/>
            <w:vAlign w:val="center"/>
          </w:tcPr>
          <w:p>
            <w:pPr>
              <w:spacing w:before="48" w:after="48" w:line="320" w:lineRule="exact"/>
              <w:rPr>
                <w:rFonts w:hint="eastAsia" w:ascii="宋体" w:hAnsi="宋体" w:eastAsia="宋体" w:cs="宋体"/>
                <w:color w:val="auto"/>
                <w:sz w:val="24"/>
              </w:rPr>
            </w:pPr>
            <w:r>
              <w:rPr>
                <w:rStyle w:val="39"/>
                <w:rFonts w:hint="eastAsia" w:ascii="宋体" w:hAnsi="宋体" w:eastAsia="宋体" w:cs="宋体"/>
                <w:color w:val="auto"/>
                <w:sz w:val="24"/>
              </w:rPr>
              <w:t xml:space="preserve">南宁市良庆区盘歌路6号富雅·国际生活广场A座五层509号房、电话：0771-2833331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025" w:type="dxa"/>
            <w:vAlign w:val="center"/>
          </w:tcPr>
          <w:p>
            <w:pPr>
              <w:adjustRightInd w:val="0"/>
              <w:spacing w:line="276"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7.1</w:t>
            </w:r>
          </w:p>
        </w:tc>
        <w:tc>
          <w:tcPr>
            <w:tcW w:w="2389" w:type="dxa"/>
            <w:vAlign w:val="center"/>
          </w:tcPr>
          <w:p>
            <w:pPr>
              <w:spacing w:line="276"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采购人澄清、修改招标文件的截止时间</w:t>
            </w:r>
          </w:p>
        </w:tc>
        <w:tc>
          <w:tcPr>
            <w:tcW w:w="6548" w:type="dxa"/>
            <w:vAlign w:val="center"/>
          </w:tcPr>
          <w:p>
            <w:pPr>
              <w:spacing w:line="276" w:lineRule="auto"/>
              <w:rPr>
                <w:rFonts w:hint="eastAsia" w:ascii="宋体" w:hAnsi="宋体" w:eastAsia="宋体" w:cs="宋体"/>
                <w:color w:val="auto"/>
                <w:kern w:val="0"/>
                <w:sz w:val="24"/>
              </w:rPr>
            </w:pPr>
            <w:r>
              <w:rPr>
                <w:rFonts w:hint="eastAsia" w:ascii="宋体" w:hAnsi="宋体" w:eastAsia="宋体" w:cs="宋体"/>
                <w:color w:val="auto"/>
                <w:kern w:val="0"/>
                <w:sz w:val="24"/>
              </w:rPr>
              <w:t>投标文件递交截止日时间十五日前，如果修改招标文件的时间距投标截止时间不足十五日，则相应延长投标截止时间。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025" w:type="dxa"/>
            <w:vAlign w:val="center"/>
          </w:tcPr>
          <w:p>
            <w:pPr>
              <w:pStyle w:val="12"/>
              <w:snapToGrid w:val="0"/>
              <w:spacing w:line="420" w:lineRule="exact"/>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8.7</w:t>
            </w:r>
          </w:p>
        </w:tc>
        <w:tc>
          <w:tcPr>
            <w:tcW w:w="2389" w:type="dxa"/>
            <w:vAlign w:val="center"/>
          </w:tcPr>
          <w:p>
            <w:pPr>
              <w:spacing w:before="48" w:after="48" w:line="320" w:lineRule="exact"/>
              <w:jc w:val="center"/>
              <w:rPr>
                <w:rFonts w:hint="eastAsia" w:ascii="宋体" w:hAnsi="宋体" w:eastAsia="宋体" w:cs="宋体"/>
                <w:color w:val="auto"/>
                <w:sz w:val="24"/>
              </w:rPr>
            </w:pPr>
            <w:r>
              <w:rPr>
                <w:rStyle w:val="39"/>
                <w:rFonts w:hint="eastAsia" w:ascii="宋体" w:hAnsi="宋体" w:eastAsia="宋体" w:cs="宋体"/>
                <w:color w:val="auto"/>
                <w:sz w:val="24"/>
              </w:rPr>
              <w:t>投标文件份数</w:t>
            </w:r>
          </w:p>
        </w:tc>
        <w:tc>
          <w:tcPr>
            <w:tcW w:w="6548" w:type="dxa"/>
            <w:vAlign w:val="center"/>
          </w:tcPr>
          <w:p>
            <w:pPr>
              <w:spacing w:before="48" w:after="48" w:line="320" w:lineRule="exact"/>
              <w:rPr>
                <w:rStyle w:val="39"/>
                <w:rFonts w:hint="eastAsia" w:ascii="宋体" w:hAnsi="宋体" w:eastAsia="宋体" w:cs="宋体"/>
                <w:color w:val="auto"/>
                <w:sz w:val="24"/>
              </w:rPr>
            </w:pPr>
            <w:r>
              <w:rPr>
                <w:rStyle w:val="39"/>
                <w:rFonts w:hint="eastAsia" w:ascii="宋体" w:hAnsi="宋体" w:eastAsia="宋体" w:cs="宋体"/>
                <w:color w:val="auto"/>
                <w:sz w:val="24"/>
              </w:rPr>
              <w:t>报价文件：正本1份，副本6份</w:t>
            </w:r>
          </w:p>
          <w:p>
            <w:pPr>
              <w:spacing w:before="48" w:after="48" w:line="320" w:lineRule="exact"/>
              <w:rPr>
                <w:rStyle w:val="39"/>
                <w:rFonts w:hint="eastAsia" w:ascii="宋体" w:hAnsi="宋体" w:eastAsia="宋体" w:cs="宋体"/>
                <w:color w:val="auto"/>
                <w:sz w:val="24"/>
              </w:rPr>
            </w:pPr>
            <w:r>
              <w:rPr>
                <w:rStyle w:val="39"/>
                <w:rFonts w:hint="eastAsia" w:ascii="宋体" w:hAnsi="宋体" w:eastAsia="宋体" w:cs="宋体"/>
                <w:color w:val="auto"/>
                <w:sz w:val="24"/>
              </w:rPr>
              <w:t>商务文件：正本1份，副本6份</w:t>
            </w:r>
          </w:p>
          <w:p>
            <w:pPr>
              <w:spacing w:before="48" w:after="48" w:line="320" w:lineRule="exact"/>
              <w:rPr>
                <w:rStyle w:val="39"/>
                <w:rFonts w:hint="eastAsia" w:ascii="宋体" w:hAnsi="宋体" w:eastAsia="宋体" w:cs="宋体"/>
                <w:color w:val="auto"/>
                <w:sz w:val="24"/>
              </w:rPr>
            </w:pPr>
            <w:r>
              <w:rPr>
                <w:rStyle w:val="39"/>
                <w:rFonts w:hint="eastAsia" w:ascii="宋体" w:hAnsi="宋体" w:eastAsia="宋体" w:cs="宋体"/>
                <w:color w:val="auto"/>
                <w:sz w:val="24"/>
              </w:rPr>
              <w:t>技术文件：正本1份，副本6份</w:t>
            </w:r>
          </w:p>
          <w:p>
            <w:pPr>
              <w:spacing w:before="48" w:after="48" w:line="320" w:lineRule="exact"/>
              <w:rPr>
                <w:rFonts w:hint="eastAsia" w:ascii="宋体" w:hAnsi="宋体" w:eastAsia="宋体" w:cs="宋体"/>
                <w:color w:val="auto"/>
                <w:sz w:val="24"/>
              </w:rPr>
            </w:pPr>
            <w:r>
              <w:rPr>
                <w:rStyle w:val="39"/>
                <w:rFonts w:hint="eastAsia" w:ascii="宋体" w:hAnsi="宋体" w:eastAsia="宋体" w:cs="宋体"/>
                <w:color w:val="auto"/>
                <w:sz w:val="24"/>
              </w:rPr>
              <w:t>以上整套文件提供1份电子版（以光盘或U盘形式）。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025" w:type="dxa"/>
            <w:vAlign w:val="center"/>
          </w:tcPr>
          <w:p>
            <w:pPr>
              <w:pStyle w:val="12"/>
              <w:snapToGrid w:val="0"/>
              <w:spacing w:line="420" w:lineRule="exact"/>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12.1</w:t>
            </w:r>
          </w:p>
        </w:tc>
        <w:tc>
          <w:tcPr>
            <w:tcW w:w="2389" w:type="dxa"/>
            <w:vAlign w:val="center"/>
          </w:tcPr>
          <w:p>
            <w:pPr>
              <w:spacing w:before="48" w:after="48" w:line="320" w:lineRule="exact"/>
              <w:jc w:val="center"/>
              <w:rPr>
                <w:rFonts w:hint="eastAsia" w:ascii="宋体" w:hAnsi="宋体" w:eastAsia="宋体" w:cs="宋体"/>
                <w:color w:val="auto"/>
                <w:sz w:val="24"/>
              </w:rPr>
            </w:pPr>
            <w:r>
              <w:rPr>
                <w:rStyle w:val="39"/>
                <w:rFonts w:hint="eastAsia" w:ascii="宋体" w:hAnsi="宋体" w:eastAsia="宋体" w:cs="宋体"/>
                <w:color w:val="auto"/>
                <w:sz w:val="24"/>
              </w:rPr>
              <w:t>投标有效期</w:t>
            </w:r>
          </w:p>
        </w:tc>
        <w:tc>
          <w:tcPr>
            <w:tcW w:w="6548" w:type="dxa"/>
            <w:vAlign w:val="center"/>
          </w:tcPr>
          <w:p>
            <w:pPr>
              <w:spacing w:before="48" w:after="48" w:line="320" w:lineRule="exact"/>
              <w:rPr>
                <w:rFonts w:hint="eastAsia" w:ascii="宋体" w:hAnsi="宋体" w:eastAsia="宋体" w:cs="宋体"/>
                <w:color w:val="auto"/>
                <w:sz w:val="24"/>
              </w:rPr>
            </w:pPr>
            <w:r>
              <w:rPr>
                <w:rStyle w:val="39"/>
                <w:rFonts w:hint="eastAsia" w:ascii="宋体" w:hAnsi="宋体" w:eastAsia="宋体" w:cs="宋体"/>
                <w:color w:val="auto"/>
                <w:sz w:val="24"/>
              </w:rPr>
              <w:t>自投标截止时间起180日。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025" w:type="dxa"/>
            <w:vAlign w:val="center"/>
          </w:tcPr>
          <w:p>
            <w:pPr>
              <w:pStyle w:val="12"/>
              <w:snapToGrid w:val="0"/>
              <w:spacing w:line="420" w:lineRule="exact"/>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14.1</w:t>
            </w:r>
          </w:p>
        </w:tc>
        <w:tc>
          <w:tcPr>
            <w:tcW w:w="2389" w:type="dxa"/>
            <w:vAlign w:val="center"/>
          </w:tcPr>
          <w:p>
            <w:pPr>
              <w:spacing w:before="48" w:after="48" w:line="320" w:lineRule="exact"/>
              <w:jc w:val="center"/>
              <w:rPr>
                <w:rStyle w:val="39"/>
                <w:rFonts w:hint="eastAsia" w:ascii="宋体" w:hAnsi="宋体" w:eastAsia="宋体" w:cs="宋体"/>
                <w:color w:val="auto"/>
                <w:sz w:val="24"/>
              </w:rPr>
            </w:pPr>
            <w:r>
              <w:rPr>
                <w:rStyle w:val="39"/>
                <w:rFonts w:hint="eastAsia" w:ascii="宋体" w:hAnsi="宋体" w:eastAsia="宋体" w:cs="宋体"/>
                <w:color w:val="auto"/>
                <w:sz w:val="24"/>
              </w:rPr>
              <w:t>投标截止时间</w:t>
            </w:r>
          </w:p>
          <w:p>
            <w:pPr>
              <w:spacing w:before="48" w:after="48" w:line="320" w:lineRule="exact"/>
              <w:jc w:val="center"/>
              <w:rPr>
                <w:rFonts w:hint="eastAsia" w:ascii="宋体" w:hAnsi="宋体" w:eastAsia="宋体" w:cs="宋体"/>
                <w:color w:val="auto"/>
                <w:sz w:val="24"/>
              </w:rPr>
            </w:pPr>
            <w:r>
              <w:rPr>
                <w:rStyle w:val="39"/>
                <w:rFonts w:hint="eastAsia" w:ascii="宋体" w:hAnsi="宋体" w:eastAsia="宋体" w:cs="宋体"/>
                <w:color w:val="auto"/>
                <w:sz w:val="24"/>
              </w:rPr>
              <w:t>（开标时间）</w:t>
            </w:r>
          </w:p>
        </w:tc>
        <w:tc>
          <w:tcPr>
            <w:tcW w:w="6548" w:type="dxa"/>
            <w:vAlign w:val="center"/>
          </w:tcPr>
          <w:p>
            <w:pPr>
              <w:spacing w:before="48" w:after="48" w:line="320" w:lineRule="exact"/>
              <w:rPr>
                <w:rFonts w:hint="eastAsia" w:ascii="宋体" w:hAnsi="宋体" w:eastAsia="宋体" w:cs="宋体"/>
                <w:b/>
                <w:color w:val="auto"/>
                <w:sz w:val="24"/>
              </w:rPr>
            </w:pPr>
            <w:r>
              <w:rPr>
                <w:rFonts w:hint="eastAsia" w:ascii="宋体" w:hAnsi="宋体" w:eastAsia="宋体" w:cs="宋体"/>
                <w:b/>
                <w:color w:val="auto"/>
                <w:sz w:val="24"/>
              </w:rPr>
              <w:t>2021年07月23日13时00分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Align w:val="center"/>
          </w:tcPr>
          <w:p>
            <w:pPr>
              <w:pStyle w:val="12"/>
              <w:snapToGrid w:val="0"/>
              <w:spacing w:line="420" w:lineRule="exact"/>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14.2</w:t>
            </w:r>
          </w:p>
        </w:tc>
        <w:tc>
          <w:tcPr>
            <w:tcW w:w="2389" w:type="dxa"/>
            <w:vAlign w:val="center"/>
          </w:tcPr>
          <w:p>
            <w:pPr>
              <w:spacing w:before="48" w:after="48" w:line="320" w:lineRule="exact"/>
              <w:jc w:val="center"/>
              <w:rPr>
                <w:rFonts w:hint="eastAsia" w:ascii="宋体" w:hAnsi="宋体" w:eastAsia="宋体" w:cs="宋体"/>
                <w:color w:val="auto"/>
                <w:sz w:val="24"/>
              </w:rPr>
            </w:pPr>
            <w:r>
              <w:rPr>
                <w:rStyle w:val="39"/>
                <w:rFonts w:hint="eastAsia" w:ascii="宋体" w:hAnsi="宋体" w:eastAsia="宋体" w:cs="宋体"/>
                <w:color w:val="auto"/>
                <w:sz w:val="24"/>
              </w:rPr>
              <w:t>递交投标文件地点</w:t>
            </w:r>
          </w:p>
        </w:tc>
        <w:tc>
          <w:tcPr>
            <w:tcW w:w="6548" w:type="dxa"/>
            <w:vAlign w:val="center"/>
          </w:tcPr>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南宁市公共资源交易中心9楼（南宁市良庆区玉洞大道33号南宁市民中心）（具体详见9楼电子显示屏场地安排）</w:t>
            </w:r>
          </w:p>
          <w:p>
            <w:pPr>
              <w:spacing w:line="360" w:lineRule="auto"/>
              <w:jc w:val="left"/>
              <w:rPr>
                <w:rFonts w:hint="eastAsia" w:ascii="宋体" w:hAnsi="宋体" w:eastAsia="宋体" w:cs="宋体"/>
                <w:b/>
                <w:color w:val="auto"/>
                <w:kern w:val="0"/>
                <w:sz w:val="24"/>
                <w:u w:val="single"/>
              </w:rPr>
            </w:pPr>
            <w:r>
              <w:rPr>
                <w:rFonts w:hint="eastAsia" w:ascii="宋体" w:hAnsi="宋体" w:eastAsia="宋体" w:cs="宋体"/>
                <w:b/>
                <w:color w:val="auto"/>
                <w:kern w:val="0"/>
                <w:sz w:val="24"/>
                <w:u w:val="single"/>
              </w:rPr>
              <w:t>投标人可自行选择到现场递交投标文件或通过邮寄方式寄送，相关说明如下：</w:t>
            </w:r>
          </w:p>
          <w:p>
            <w:pPr>
              <w:pStyle w:val="30"/>
              <w:ind w:firstLine="520" w:firstLineChars="200"/>
              <w:rPr>
                <w:rFonts w:hint="eastAsia" w:ascii="宋体" w:hAnsi="宋体" w:eastAsia="宋体" w:cs="宋体"/>
                <w:color w:val="auto"/>
              </w:rPr>
            </w:pPr>
            <w:r>
              <w:rPr>
                <w:rFonts w:hint="eastAsia" w:ascii="宋体" w:hAnsi="宋体" w:eastAsia="宋体" w:cs="宋体"/>
                <w:color w:val="auto"/>
              </w:rPr>
              <w:t>根据《南宁市机关事务管理局关于恢复非全流程电子招标采购项目现场递交投标（响应）文件模式的通知》南机事函【2021】71号文规定，自2021年4月1日起，凡进入南宁市公共资源统一交易平台（含各县区分支机构）招标采购的非全流程电子化（纸质标）项目，投标人可自行选择到现场递交投标文件或通过邮寄方式寄送，自行决定是否安排授权代表（限1人）现场参加项目的开标活动，并对投标文件作出澄清、说明或补正（如评标评审过程中需要）。</w:t>
            </w:r>
          </w:p>
          <w:p>
            <w:pPr>
              <w:pStyle w:val="30"/>
              <w:rPr>
                <w:rFonts w:hint="eastAsia" w:ascii="宋体" w:hAnsi="宋体" w:eastAsia="宋体" w:cs="宋体"/>
                <w:color w:val="auto"/>
              </w:rPr>
            </w:pPr>
            <w:r>
              <w:rPr>
                <w:rFonts w:hint="eastAsia" w:ascii="宋体" w:hAnsi="宋体" w:eastAsia="宋体" w:cs="宋体"/>
                <w:color w:val="auto"/>
              </w:rPr>
              <w:t xml:space="preserve">（1）现场递交投标文件的，投标人应于投标文件递交截止时间前，将投标文件密封提交到南宁市良庆区玉洞大道33号（青少年活动中心旁）南宁市民中心9楼南宁市公共资源交易中心交易厅（详见9楼电子显示屏场地安排），逾期送达的将予以拒收。(注：现场递交投标文件的每家投标人代表仅限1人参加，并严格按照交易中心现场疫情防控各项要求，各自做好相关防护工作，若因投标人代表不符合交易中心现场疫情防控各项要求而无法就进入交易中心，导致无法按时投标的，后果由投标人自行负责) </w:t>
            </w:r>
          </w:p>
          <w:p>
            <w:pPr>
              <w:pStyle w:val="2"/>
              <w:ind w:firstLine="480" w:firstLineChars="200"/>
              <w:rPr>
                <w:rFonts w:hint="eastAsia" w:ascii="宋体" w:hAnsi="宋体" w:eastAsia="宋体" w:cs="宋体"/>
                <w:color w:val="auto"/>
              </w:rPr>
            </w:pPr>
            <w:r>
              <w:rPr>
                <w:rFonts w:hint="eastAsia" w:ascii="宋体" w:hAnsi="宋体" w:eastAsia="宋体" w:cs="宋体"/>
                <w:color w:val="auto"/>
              </w:rPr>
              <w:t>（2）投标文件通过邮寄快递的方式送达的按以下要求：①投标文件邮寄地址：南宁市盘歌路6号富雅•国际生活广场1号楼五层509号房 ；收件人：黄国明 ；联系电话：0771-2833331   ②接收邮寄包裹的时间为工作日9：00～17：00。投标文件必须在投标文件递交截止时间前送达，且须交由采购代理机构当面签收。采购代理机构签收邮寄包裹的时间即为投标人投标文件的送达时间，逾期送达的投标文件无效，后果由投标人自行承担。 ③采购代理机构将在投标文件递交截止时间前一个半小时</w:t>
            </w:r>
            <w:r>
              <w:rPr>
                <w:rFonts w:hint="eastAsia" w:ascii="宋体" w:hAnsi="宋体" w:eastAsia="宋体" w:cs="宋体"/>
                <w:color w:val="auto"/>
                <w:highlight w:val="yellow"/>
              </w:rPr>
              <w:t>（即8时00分）</w:t>
            </w:r>
            <w:r>
              <w:rPr>
                <w:rFonts w:hint="eastAsia" w:ascii="宋体" w:hAnsi="宋体" w:eastAsia="宋体" w:cs="宋体"/>
                <w:color w:val="auto"/>
              </w:rPr>
              <w:t>统一将收到的投标文件运送至南宁市公共资源交易中心，以确保本项目能在投标文件递交截止（开标）时间准时截标。投标人应充分预留投标文件邮寄、送达所需要的时间。为确保疫情防控期间邮寄包裹能及时送达，应选择邮寄运送时间有保障的快递公司寄送投标文件，并确保在投标文件递交截止日期1日前送达。 ④投标人在按照采购文件的要求装订、密封好投标文件后，应使用不透明、防水的邮寄袋或箱子再次包裹已密封好的投标文件，并在邮寄袋或箱子上粘牢注明项目名称、项目编号、项目开标日期、有效的电子邮箱、投标人名称、联系人及联系方式等内容的纸质表格。如采购人或采购代理机构收到的邮寄包裹未按上述要求进行标识，造成无法将投标文件提交至该项目截标评审环节的，由此产生的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Align w:val="center"/>
          </w:tcPr>
          <w:p>
            <w:pPr>
              <w:spacing w:before="48" w:after="48" w:line="320" w:lineRule="exact"/>
              <w:jc w:val="center"/>
              <w:rPr>
                <w:rFonts w:hint="eastAsia" w:ascii="宋体" w:hAnsi="宋体" w:eastAsia="宋体" w:cs="宋体"/>
                <w:color w:val="auto"/>
                <w:sz w:val="24"/>
              </w:rPr>
            </w:pPr>
            <w:r>
              <w:rPr>
                <w:rStyle w:val="39"/>
                <w:rFonts w:hint="eastAsia" w:ascii="宋体" w:hAnsi="宋体" w:eastAsia="宋体" w:cs="宋体"/>
                <w:color w:val="auto"/>
                <w:sz w:val="24"/>
              </w:rPr>
              <w:t>15.1</w:t>
            </w:r>
          </w:p>
        </w:tc>
        <w:tc>
          <w:tcPr>
            <w:tcW w:w="2389" w:type="dxa"/>
            <w:vAlign w:val="center"/>
          </w:tcPr>
          <w:p>
            <w:pPr>
              <w:spacing w:before="48" w:after="48" w:line="320" w:lineRule="exact"/>
              <w:jc w:val="center"/>
              <w:rPr>
                <w:rFonts w:hint="eastAsia" w:ascii="宋体" w:hAnsi="宋体" w:eastAsia="宋体" w:cs="宋体"/>
                <w:color w:val="auto"/>
                <w:sz w:val="24"/>
              </w:rPr>
            </w:pPr>
            <w:r>
              <w:rPr>
                <w:rStyle w:val="39"/>
                <w:rFonts w:hint="eastAsia" w:ascii="宋体" w:hAnsi="宋体" w:eastAsia="宋体" w:cs="宋体"/>
                <w:color w:val="auto"/>
                <w:sz w:val="24"/>
              </w:rPr>
              <w:t>开标地点</w:t>
            </w:r>
          </w:p>
        </w:tc>
        <w:tc>
          <w:tcPr>
            <w:tcW w:w="6548" w:type="dxa"/>
            <w:vAlign w:val="center"/>
          </w:tcPr>
          <w:p>
            <w:pPr>
              <w:spacing w:before="48" w:after="48" w:line="320" w:lineRule="exact"/>
              <w:rPr>
                <w:rFonts w:hint="eastAsia" w:ascii="宋体" w:hAnsi="宋体" w:eastAsia="宋体" w:cs="宋体"/>
                <w:color w:val="auto"/>
                <w:sz w:val="24"/>
              </w:rPr>
            </w:pPr>
            <w:r>
              <w:rPr>
                <w:rStyle w:val="39"/>
                <w:rFonts w:hint="eastAsia" w:ascii="宋体" w:hAnsi="宋体" w:eastAsia="宋体" w:cs="宋体"/>
                <w:color w:val="auto"/>
                <w:sz w:val="24"/>
              </w:rPr>
              <w:t>与递交投标文件地点相同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Align w:val="center"/>
          </w:tcPr>
          <w:p>
            <w:pPr>
              <w:adjustRightInd w:val="0"/>
              <w:spacing w:line="276"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16.1</w:t>
            </w:r>
          </w:p>
        </w:tc>
        <w:tc>
          <w:tcPr>
            <w:tcW w:w="2389" w:type="dxa"/>
            <w:vAlign w:val="center"/>
          </w:tcPr>
          <w:p>
            <w:pPr>
              <w:spacing w:line="276"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评标委员会（评审小组）</w:t>
            </w:r>
          </w:p>
        </w:tc>
        <w:tc>
          <w:tcPr>
            <w:tcW w:w="6548" w:type="dxa"/>
            <w:vAlign w:val="center"/>
          </w:tcPr>
          <w:p>
            <w:pPr>
              <w:spacing w:line="276" w:lineRule="auto"/>
              <w:rPr>
                <w:rFonts w:hint="eastAsia" w:ascii="宋体" w:hAnsi="宋体" w:eastAsia="宋体" w:cs="宋体"/>
                <w:color w:val="auto"/>
                <w:kern w:val="0"/>
                <w:sz w:val="24"/>
              </w:rPr>
            </w:pPr>
            <w:r>
              <w:rPr>
                <w:rFonts w:hint="eastAsia" w:ascii="宋体" w:hAnsi="宋体" w:eastAsia="宋体" w:cs="宋体"/>
                <w:color w:val="auto"/>
                <w:kern w:val="0"/>
                <w:sz w:val="24"/>
              </w:rPr>
              <w:t>评标委员会（评审小组）参照《中华人民共和国政府采购法》、《政府和社会资本合作项目政府采购管理办法》（财库〔2014〕215号）、《南宁市财政局关于贯彻落实﹤政府采购货物和服务招标投标管理办法﹥（财政部令第87号）专题会议纪要》（〔2017〕9号）等相关法规、政策的规定组建。</w:t>
            </w:r>
          </w:p>
          <w:p>
            <w:pPr>
              <w:spacing w:line="276" w:lineRule="auto"/>
              <w:rPr>
                <w:rFonts w:hint="eastAsia" w:ascii="宋体" w:hAnsi="宋体" w:eastAsia="宋体" w:cs="宋体"/>
                <w:b/>
                <w:color w:val="auto"/>
                <w:kern w:val="0"/>
                <w:sz w:val="24"/>
              </w:rPr>
            </w:pPr>
            <w:r>
              <w:rPr>
                <w:rFonts w:hint="eastAsia" w:ascii="宋体" w:hAnsi="宋体" w:eastAsia="宋体" w:cs="宋体"/>
                <w:b/>
                <w:color w:val="auto"/>
                <w:kern w:val="0"/>
                <w:sz w:val="24"/>
              </w:rPr>
              <w:t>总数7人，其中业主代表1人，评审专家6人；评审专家由有关房建工程技术、法律、财务、金融、造价、物业等方面专家组成。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Align w:val="center"/>
          </w:tcPr>
          <w:p>
            <w:pPr>
              <w:adjustRightInd w:val="0"/>
              <w:spacing w:line="276"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16.3</w:t>
            </w:r>
          </w:p>
        </w:tc>
        <w:tc>
          <w:tcPr>
            <w:tcW w:w="2389" w:type="dxa"/>
            <w:vAlign w:val="center"/>
          </w:tcPr>
          <w:p>
            <w:pPr>
              <w:spacing w:before="48" w:after="48" w:line="320" w:lineRule="exact"/>
              <w:jc w:val="center"/>
              <w:rPr>
                <w:rFonts w:hint="eastAsia" w:ascii="宋体" w:hAnsi="宋体" w:eastAsia="宋体" w:cs="宋体"/>
                <w:color w:val="auto"/>
                <w:sz w:val="24"/>
              </w:rPr>
            </w:pPr>
            <w:r>
              <w:rPr>
                <w:rStyle w:val="39"/>
                <w:rFonts w:hint="eastAsia" w:ascii="宋体" w:hAnsi="宋体" w:eastAsia="宋体" w:cs="宋体"/>
                <w:color w:val="auto"/>
                <w:sz w:val="24"/>
              </w:rPr>
              <w:t>评标方法</w:t>
            </w:r>
          </w:p>
        </w:tc>
        <w:tc>
          <w:tcPr>
            <w:tcW w:w="6548" w:type="dxa"/>
            <w:vAlign w:val="center"/>
          </w:tcPr>
          <w:p>
            <w:pPr>
              <w:spacing w:before="48" w:after="48" w:line="320" w:lineRule="exact"/>
              <w:rPr>
                <w:rFonts w:hint="eastAsia" w:ascii="宋体" w:hAnsi="宋体" w:eastAsia="宋体" w:cs="宋体"/>
                <w:color w:val="auto"/>
                <w:sz w:val="24"/>
              </w:rPr>
            </w:pPr>
            <w:r>
              <w:rPr>
                <w:rStyle w:val="39"/>
                <w:rFonts w:hint="eastAsia" w:ascii="宋体" w:hAnsi="宋体" w:eastAsia="宋体" w:cs="宋体"/>
                <w:color w:val="auto"/>
                <w:sz w:val="24"/>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Align w:val="center"/>
          </w:tcPr>
          <w:p>
            <w:pPr>
              <w:adjustRightInd w:val="0"/>
              <w:spacing w:line="276"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22.1</w:t>
            </w:r>
          </w:p>
        </w:tc>
        <w:tc>
          <w:tcPr>
            <w:tcW w:w="2389" w:type="dxa"/>
            <w:vAlign w:val="center"/>
          </w:tcPr>
          <w:p>
            <w:pPr>
              <w:spacing w:before="48" w:after="48" w:line="320" w:lineRule="exact"/>
              <w:jc w:val="center"/>
              <w:rPr>
                <w:rStyle w:val="39"/>
                <w:rFonts w:hint="eastAsia" w:ascii="宋体" w:hAnsi="宋体" w:eastAsia="宋体" w:cs="宋体"/>
                <w:color w:val="auto"/>
                <w:sz w:val="24"/>
              </w:rPr>
            </w:pPr>
            <w:r>
              <w:rPr>
                <w:rStyle w:val="39"/>
                <w:rFonts w:hint="eastAsia" w:ascii="宋体" w:hAnsi="宋体" w:eastAsia="宋体" w:cs="宋体"/>
                <w:b/>
                <w:bCs/>
                <w:color w:val="auto"/>
                <w:sz w:val="24"/>
              </w:rPr>
              <w:t>中标人的确定</w:t>
            </w:r>
          </w:p>
        </w:tc>
        <w:tc>
          <w:tcPr>
            <w:tcW w:w="6548" w:type="dxa"/>
            <w:vAlign w:val="center"/>
          </w:tcPr>
          <w:p>
            <w:pPr>
              <w:spacing w:line="276" w:lineRule="auto"/>
              <w:rPr>
                <w:rFonts w:hint="eastAsia" w:ascii="宋体" w:hAnsi="宋体" w:eastAsia="宋体" w:cs="宋体"/>
                <w:color w:val="auto"/>
                <w:kern w:val="0"/>
                <w:sz w:val="24"/>
              </w:rPr>
            </w:pPr>
            <w:r>
              <w:rPr>
                <w:rFonts w:hint="eastAsia" w:ascii="宋体" w:hAnsi="宋体" w:eastAsia="宋体" w:cs="宋体"/>
                <w:color w:val="auto"/>
                <w:kern w:val="0"/>
                <w:sz w:val="24"/>
              </w:rPr>
              <w:t>1、评标结束后进行项目采购结果确认谈判工作，确认谈判结束后，预中标结果由采购代理机构在本章第2项规定的政府采购信息发布媒体上公示，公示期为五个工作日，公示期满无异议的，由采购代理机构发布中标公告，同时向中标人发出中标通知书。</w:t>
            </w:r>
          </w:p>
          <w:p>
            <w:pPr>
              <w:spacing w:line="276" w:lineRule="auto"/>
              <w:rPr>
                <w:rStyle w:val="39"/>
                <w:rFonts w:hint="eastAsia" w:ascii="宋体" w:hAnsi="宋体" w:eastAsia="宋体" w:cs="宋体"/>
                <w:color w:val="auto"/>
                <w:sz w:val="24"/>
              </w:rPr>
            </w:pPr>
            <w:r>
              <w:rPr>
                <w:rFonts w:hint="eastAsia" w:ascii="宋体" w:hAnsi="宋体" w:eastAsia="宋体" w:cs="宋体"/>
                <w:color w:val="auto"/>
                <w:kern w:val="0"/>
                <w:sz w:val="24"/>
              </w:rPr>
              <w:t>2、中标通知书对采购人和中标人具有同等法律效力。中标通知书发出后，采购人改变中标结果，或者中标人放弃中标，应当承担相应的法律责任。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0" w:hRule="atLeast"/>
          <w:jc w:val="center"/>
        </w:trPr>
        <w:tc>
          <w:tcPr>
            <w:tcW w:w="1025" w:type="dxa"/>
            <w:vAlign w:val="center"/>
          </w:tcPr>
          <w:p>
            <w:pPr>
              <w:spacing w:before="48" w:after="48" w:line="320" w:lineRule="exact"/>
              <w:jc w:val="center"/>
              <w:rPr>
                <w:rStyle w:val="39"/>
                <w:rFonts w:hint="eastAsia" w:ascii="宋体" w:hAnsi="宋体" w:eastAsia="宋体" w:cs="宋体"/>
                <w:color w:val="auto"/>
                <w:sz w:val="24"/>
              </w:rPr>
            </w:pPr>
            <w:r>
              <w:rPr>
                <w:rStyle w:val="39"/>
                <w:rFonts w:hint="eastAsia" w:ascii="宋体" w:hAnsi="宋体" w:eastAsia="宋体" w:cs="宋体"/>
                <w:color w:val="auto"/>
                <w:sz w:val="24"/>
              </w:rPr>
              <w:t>28</w:t>
            </w:r>
          </w:p>
        </w:tc>
        <w:tc>
          <w:tcPr>
            <w:tcW w:w="2389" w:type="dxa"/>
            <w:vAlign w:val="center"/>
          </w:tcPr>
          <w:p>
            <w:pPr>
              <w:spacing w:before="48" w:after="48" w:line="320" w:lineRule="exact"/>
              <w:jc w:val="center"/>
              <w:rPr>
                <w:rStyle w:val="39"/>
                <w:rFonts w:hint="eastAsia" w:ascii="宋体" w:hAnsi="宋体" w:eastAsia="宋体" w:cs="宋体"/>
                <w:color w:val="auto"/>
                <w:sz w:val="24"/>
              </w:rPr>
            </w:pPr>
            <w:r>
              <w:rPr>
                <w:rStyle w:val="39"/>
                <w:rFonts w:hint="eastAsia" w:ascii="宋体" w:hAnsi="宋体" w:eastAsia="宋体" w:cs="宋体"/>
                <w:color w:val="auto"/>
                <w:sz w:val="24"/>
              </w:rPr>
              <w:t>需要补充</w:t>
            </w:r>
          </w:p>
          <w:p>
            <w:pPr>
              <w:spacing w:before="48" w:after="48" w:line="320" w:lineRule="exact"/>
              <w:jc w:val="center"/>
              <w:rPr>
                <w:rStyle w:val="39"/>
                <w:rFonts w:hint="eastAsia" w:ascii="宋体" w:hAnsi="宋体" w:eastAsia="宋体" w:cs="宋体"/>
                <w:color w:val="auto"/>
                <w:sz w:val="24"/>
              </w:rPr>
            </w:pPr>
            <w:r>
              <w:rPr>
                <w:rStyle w:val="39"/>
                <w:rFonts w:hint="eastAsia" w:ascii="宋体" w:hAnsi="宋体" w:eastAsia="宋体" w:cs="宋体"/>
                <w:color w:val="auto"/>
                <w:sz w:val="24"/>
              </w:rPr>
              <w:t>的其他内容</w:t>
            </w:r>
          </w:p>
        </w:tc>
        <w:tc>
          <w:tcPr>
            <w:tcW w:w="6548" w:type="dxa"/>
            <w:vAlign w:val="center"/>
          </w:tcPr>
          <w:p>
            <w:pPr>
              <w:spacing w:before="48" w:after="48" w:line="320" w:lineRule="exact"/>
              <w:rPr>
                <w:rFonts w:hint="eastAsia" w:ascii="宋体" w:hAnsi="宋体" w:eastAsia="宋体" w:cs="宋体"/>
                <w:b/>
                <w:bCs/>
                <w:color w:val="auto"/>
                <w:sz w:val="24"/>
              </w:rPr>
            </w:pPr>
            <w:r>
              <w:rPr>
                <w:rFonts w:hint="eastAsia" w:ascii="宋体" w:hAnsi="宋体" w:eastAsia="宋体" w:cs="宋体"/>
                <w:b/>
                <w:bCs/>
                <w:color w:val="auto"/>
                <w:sz w:val="24"/>
              </w:rPr>
              <w:t>本招标文件所用的术语具有本条所指定的特定意义：</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（1）采购方：采购人和采购代理机构的合称；</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（2）投标人：指按照本招标文件的要求提交投标文件参与本次招标竞争活动的单个公司或联合体；</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（3）联合体：指两家及以上的法人按照报名的规定组成一个整体参加招标竞争活动的投标人；本项目接受联合体投标；</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（4）招标文件：指提供给投标人，包含本次招标活动的程序、要求、条件等内容的正式文件；</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（5）投标文件：指投标人根据招标文件的要求制作并提交的要约性文件；</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（6）投标：指投标人为争取成为中标人而进行的活动，包括但不限于参加招标项目的前期调查、制作并提交投标文件等活动；</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（7）评标委员会：指采购方为评审投标人的投标文件而组建的评审机构；</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（8）中标人：指通过评标委员会的评审和采购方的确定，确定为南宁市2020年第三批城镇老旧小区改造PPP项目社会资本方采购的投标人；</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（9）法律文件：指中标人及其组建的项目公司与采购人就本招标项目所达成的一系列合同和协议，包括投标文件中就本项目的承诺和保证、《PPP项目合同》等；</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（10）项目公司：指中标人和政府方为运营本项目而成立的新公司，该公司系独立法人；</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（11）日历日：指公历日，招标文件中提到天数若未作特别说明，均指日历日；</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（12）工作日：指日历日中除法定节假日以外的公历日；</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（13）不可抗力：指不能合理预见、不能克服和不能避免的事件或情形；</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14）中国法律：指中国各级立法机关和其它主管机关正式颁布的法律、法规、规章、标准、规范和司法解释及其不时之修订或修改；为本协议的目的，不包括香港特别行政区、澳门特别行政区和台湾地区的法律。</w:t>
            </w:r>
          </w:p>
          <w:p>
            <w:pPr>
              <w:spacing w:before="48" w:after="48" w:line="320" w:lineRule="exact"/>
              <w:rPr>
                <w:rFonts w:hint="eastAsia" w:ascii="宋体" w:hAnsi="宋体" w:eastAsia="宋体" w:cs="宋体"/>
                <w:b/>
                <w:bCs/>
                <w:color w:val="auto"/>
                <w:sz w:val="24"/>
                <w:lang w:eastAsia="zh-CN"/>
              </w:rPr>
            </w:pPr>
            <w:r>
              <w:rPr>
                <w:rFonts w:hint="eastAsia" w:ascii="宋体" w:hAnsi="宋体" w:eastAsia="宋体" w:cs="宋体"/>
                <w:b/>
                <w:bCs/>
                <w:color w:val="auto"/>
                <w:sz w:val="24"/>
              </w:rPr>
              <w:t>解释</w:t>
            </w:r>
            <w:r>
              <w:rPr>
                <w:rFonts w:hint="eastAsia" w:ascii="宋体" w:hAnsi="宋体" w:cs="宋体"/>
                <w:b/>
                <w:bCs/>
                <w:color w:val="auto"/>
                <w:sz w:val="24"/>
                <w:lang w:eastAsia="zh-CN"/>
              </w:rPr>
              <w:t>：</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对本招标文件的解释应依照以下原则进行：</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（1）除非本招标文件另有规定或明示，其中提到的条款和附件均指本招标文件的条款和附件。</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（2）除非本招标文件另有明确规定，当使用词组“包括”时，无论其是否包含“但不限于”字样，仍应视为包括本招标文件全部其它相关条款。</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（3）本招标文件任何章、条或款的小标题不应视为对招标文件的当然解释，本招标文件的各个组成部分都具有同样的法律效力和同等的重要性。</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（4）在本招标文件中，无论何处及由任何人发出或颁发任何通知、同意、批准、证明或决定，除另有说明外，均指其书面形式。</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5）提及本招标文件时应包括以任何方式修改、补充和替代的本招标文件及其附件。本招标文件的附件为招标文件不可分割的组成部分。如招标文件的条款与本招标文件的修改、补充条款、招标文件附件条款有抵触之处，以形成时间在后的文件条款为准。</w:t>
            </w:r>
          </w:p>
          <w:p>
            <w:pPr>
              <w:spacing w:before="48" w:after="48" w:line="320" w:lineRule="exact"/>
              <w:rPr>
                <w:rFonts w:hint="eastAsia" w:ascii="宋体" w:hAnsi="宋体" w:eastAsia="宋体" w:cs="宋体"/>
                <w:color w:val="auto"/>
                <w:sz w:val="24"/>
              </w:rPr>
            </w:pPr>
            <w:r>
              <w:rPr>
                <w:rFonts w:hint="eastAsia" w:ascii="宋体" w:hAnsi="宋体" w:eastAsia="宋体" w:cs="宋体"/>
                <w:color w:val="auto"/>
                <w:sz w:val="24"/>
              </w:rPr>
              <w:t>（6）如本招标文件的条款存在矛盾或模糊之处，以采购方的书面解释为准。</w:t>
            </w:r>
          </w:p>
          <w:p>
            <w:pPr>
              <w:spacing w:before="48" w:after="48" w:line="320" w:lineRule="exact"/>
              <w:rPr>
                <w:rFonts w:hint="eastAsia" w:ascii="宋体" w:hAnsi="宋体" w:eastAsia="宋体" w:cs="宋体"/>
                <w:b/>
                <w:bCs/>
                <w:color w:val="auto"/>
                <w:sz w:val="24"/>
                <w:lang w:eastAsia="zh-CN"/>
              </w:rPr>
            </w:pPr>
            <w:r>
              <w:rPr>
                <w:rFonts w:hint="eastAsia" w:ascii="宋体" w:hAnsi="宋体" w:eastAsia="宋体" w:cs="宋体"/>
                <w:b/>
                <w:bCs/>
                <w:color w:val="auto"/>
                <w:sz w:val="24"/>
              </w:rPr>
              <w:t>采购代理服务费</w:t>
            </w:r>
            <w:r>
              <w:rPr>
                <w:rFonts w:hint="eastAsia" w:ascii="宋体" w:hAnsi="宋体" w:cs="宋体"/>
                <w:b/>
                <w:bCs/>
                <w:color w:val="auto"/>
                <w:sz w:val="24"/>
                <w:lang w:eastAsia="zh-CN"/>
              </w:rPr>
              <w:t>：</w:t>
            </w:r>
          </w:p>
          <w:p>
            <w:pPr>
              <w:numPr>
                <w:ilvl w:val="0"/>
                <w:numId w:val="0"/>
              </w:numPr>
              <w:spacing w:before="48" w:after="48" w:line="320" w:lineRule="exact"/>
              <w:ind w:firstLine="240" w:firstLineChars="100"/>
              <w:rPr>
                <w:rFonts w:hint="eastAsia" w:ascii="宋体" w:hAnsi="宋体" w:eastAsia="宋体" w:cs="宋体"/>
                <w:color w:val="auto"/>
                <w:sz w:val="24"/>
              </w:rPr>
            </w:pPr>
            <w:r>
              <w:rPr>
                <w:rFonts w:hint="eastAsia" w:ascii="宋体" w:hAnsi="宋体" w:eastAsia="宋体" w:cs="宋体"/>
                <w:color w:val="auto"/>
                <w:sz w:val="24"/>
              </w:rPr>
              <w:t>本项目招标代理服务收费标准以本项目总投资估算金额为计算基数，参照国家计委《招标代理服务收费管理暂行办法》（计价格〔2002〕1980号）收费标准（服务类）计算，由采购代理机构向中标人收取。</w:t>
            </w:r>
          </w:p>
          <w:p>
            <w:pPr>
              <w:numPr>
                <w:ilvl w:val="0"/>
                <w:numId w:val="0"/>
              </w:numPr>
              <w:spacing w:before="48" w:after="48" w:line="320" w:lineRule="exact"/>
              <w:rPr>
                <w:rFonts w:hint="eastAsia" w:ascii="宋体" w:hAnsi="宋体" w:cs="宋体"/>
                <w:b/>
                <w:bCs/>
                <w:color w:val="auto"/>
                <w:sz w:val="24"/>
                <w:lang w:val="en-US" w:eastAsia="zh-CN"/>
              </w:rPr>
            </w:pPr>
            <w:r>
              <w:rPr>
                <w:rFonts w:hint="eastAsia" w:ascii="宋体" w:hAnsi="宋体" w:cs="宋体"/>
                <w:b/>
                <w:bCs/>
                <w:color w:val="auto"/>
                <w:sz w:val="24"/>
                <w:lang w:val="en-US" w:eastAsia="zh-CN"/>
              </w:rPr>
              <w:t>联合体投标签字盖章要求：</w:t>
            </w:r>
          </w:p>
          <w:p>
            <w:pPr>
              <w:numPr>
                <w:ilvl w:val="0"/>
                <w:numId w:val="0"/>
              </w:numPr>
              <w:spacing w:before="48" w:after="48" w:line="320" w:lineRule="exact"/>
              <w:ind w:firstLine="240" w:firstLineChars="100"/>
              <w:rPr>
                <w:rFonts w:hint="eastAsia" w:ascii="宋体" w:hAnsi="宋体" w:eastAsia="宋体" w:cs="宋体"/>
                <w:bCs/>
                <w:color w:val="auto"/>
              </w:rPr>
            </w:pPr>
            <w:r>
              <w:rPr>
                <w:rFonts w:hint="default" w:ascii="宋体" w:hAnsi="宋体" w:eastAsia="宋体" w:cs="宋体"/>
                <w:color w:val="auto"/>
                <w:sz w:val="24"/>
                <w:lang w:val="en-US" w:eastAsia="zh-CN"/>
              </w:rPr>
              <w:t>以联合体形式参加投标的，除联合体协议书必须由联合体各方加盖投标人单位公章和法定代表人签字或盖章外，投标文件的其他内容均只需加盖联合体牵头人单位公章和法定代表人或其委托代理人签字或盖章即可。如要求填写“投标人名称”但又没有指定联合体成员要填写的，由牵头单位填写其单位名称即可。招标文件其他部分盖章要求与本项不一致的以本项为准。</w:t>
            </w:r>
          </w:p>
        </w:tc>
      </w:tr>
    </w:tbl>
    <w:p>
      <w:pPr>
        <w:rPr>
          <w:rFonts w:hint="eastAsia" w:ascii="宋体" w:hAnsi="宋体" w:eastAsia="宋体" w:cs="宋体"/>
          <w:color w:val="auto"/>
        </w:rPr>
      </w:pPr>
    </w:p>
    <w:p>
      <w:pPr>
        <w:pStyle w:val="42"/>
        <w:rPr>
          <w:rFonts w:hint="eastAsia" w:ascii="宋体" w:hAnsi="宋体" w:eastAsia="宋体" w:cs="宋体"/>
          <w:color w:val="auto"/>
        </w:rPr>
      </w:pPr>
    </w:p>
    <w:p>
      <w:pPr>
        <w:pStyle w:val="42"/>
        <w:rPr>
          <w:rFonts w:hint="eastAsia" w:ascii="宋体" w:hAnsi="宋体" w:eastAsia="宋体" w:cs="宋体"/>
          <w:color w:val="auto"/>
        </w:rPr>
      </w:pPr>
    </w:p>
    <w:p>
      <w:pPr>
        <w:pStyle w:val="42"/>
        <w:rPr>
          <w:rFonts w:hint="eastAsia" w:ascii="宋体" w:hAnsi="宋体" w:eastAsia="宋体" w:cs="宋体"/>
          <w:color w:val="auto"/>
        </w:rPr>
      </w:pPr>
    </w:p>
    <w:p>
      <w:pPr>
        <w:pStyle w:val="42"/>
        <w:rPr>
          <w:rFonts w:hint="eastAsia" w:ascii="宋体" w:hAnsi="宋体" w:eastAsia="宋体" w:cs="宋体"/>
          <w:color w:val="auto"/>
        </w:rPr>
      </w:pPr>
    </w:p>
    <w:p>
      <w:pPr>
        <w:pStyle w:val="42"/>
        <w:rPr>
          <w:rFonts w:hint="eastAsia" w:ascii="宋体" w:hAnsi="宋体" w:eastAsia="宋体" w:cs="宋体"/>
          <w:color w:val="auto"/>
        </w:rPr>
      </w:pPr>
    </w:p>
    <w:p>
      <w:pPr>
        <w:pStyle w:val="42"/>
        <w:rPr>
          <w:rFonts w:hint="eastAsia" w:ascii="宋体" w:hAnsi="宋体" w:eastAsia="宋体" w:cs="宋体"/>
          <w:color w:val="auto"/>
        </w:rPr>
      </w:pPr>
    </w:p>
    <w:p>
      <w:pPr>
        <w:pStyle w:val="42"/>
        <w:rPr>
          <w:rFonts w:hint="eastAsia" w:ascii="宋体" w:hAnsi="宋体" w:eastAsia="宋体" w:cs="宋体"/>
          <w:color w:val="auto"/>
        </w:rPr>
      </w:pPr>
    </w:p>
    <w:p>
      <w:pPr>
        <w:widowControl/>
        <w:jc w:val="left"/>
        <w:rPr>
          <w:rStyle w:val="39"/>
          <w:rFonts w:hint="eastAsia" w:ascii="宋体" w:hAnsi="宋体" w:eastAsia="宋体" w:cs="宋体"/>
          <w:b/>
          <w:bCs/>
          <w:color w:val="auto"/>
          <w:sz w:val="24"/>
        </w:rPr>
      </w:pPr>
      <w:bookmarkStart w:id="258" w:name="_Toc54622553"/>
      <w:r>
        <w:rPr>
          <w:rStyle w:val="39"/>
          <w:rFonts w:hint="eastAsia" w:ascii="宋体" w:hAnsi="宋体" w:eastAsia="宋体" w:cs="宋体"/>
          <w:color w:val="auto"/>
          <w:sz w:val="24"/>
        </w:rPr>
        <w:br w:type="page"/>
      </w:r>
    </w:p>
    <w:p>
      <w:pPr>
        <w:pStyle w:val="5"/>
        <w:rPr>
          <w:rStyle w:val="39"/>
          <w:rFonts w:hint="eastAsia" w:ascii="宋体" w:hAnsi="宋体" w:eastAsia="宋体" w:cs="宋体"/>
          <w:b w:val="0"/>
          <w:bCs w:val="0"/>
          <w:color w:val="auto"/>
          <w:sz w:val="32"/>
          <w:szCs w:val="32"/>
        </w:rPr>
      </w:pPr>
      <w:bookmarkStart w:id="259" w:name="_Toc4108"/>
      <w:bookmarkStart w:id="260" w:name="_Toc18059"/>
      <w:bookmarkStart w:id="261" w:name="_Toc26973"/>
      <w:r>
        <w:rPr>
          <w:rStyle w:val="39"/>
          <w:rFonts w:hint="eastAsia" w:ascii="宋体" w:hAnsi="宋体" w:eastAsia="宋体" w:cs="宋体"/>
          <w:color w:val="auto"/>
          <w:sz w:val="32"/>
          <w:szCs w:val="32"/>
        </w:rPr>
        <w:t>一、总则</w:t>
      </w:r>
      <w:bookmarkEnd w:id="258"/>
      <w:bookmarkEnd w:id="259"/>
      <w:bookmarkEnd w:id="260"/>
      <w:bookmarkEnd w:id="261"/>
    </w:p>
    <w:p>
      <w:pPr>
        <w:spacing w:before="120" w:after="120" w:line="360" w:lineRule="auto"/>
        <w:ind w:left="1"/>
        <w:jc w:val="left"/>
        <w:rPr>
          <w:rStyle w:val="39"/>
          <w:rFonts w:hint="eastAsia" w:ascii="宋体" w:hAnsi="宋体" w:eastAsia="宋体" w:cs="宋体"/>
          <w:b/>
          <w:bCs/>
          <w:color w:val="auto"/>
          <w:sz w:val="24"/>
        </w:rPr>
      </w:pPr>
      <w:r>
        <w:rPr>
          <w:rStyle w:val="39"/>
          <w:rFonts w:hint="eastAsia" w:ascii="宋体" w:hAnsi="宋体" w:eastAsia="宋体" w:cs="宋体"/>
          <w:b/>
          <w:bCs/>
          <w:color w:val="auto"/>
          <w:sz w:val="24"/>
        </w:rPr>
        <w:t>1.项目概况</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1.1  采购人：见投标人须知前附表。</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1.2  采购代理机构：见投标人须知前附表。</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1.3  项目名称：见投标人须知前附表。</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1.4  项目编号：见投标人须知前附表</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1.5  采购预算：见投标人须知前附表。</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1.6  资金来源：见投标人须知前附表。</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1.7  招标依据：见投标人须知前附表。</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1.8  招标目的：见投标人须知前附表。</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1.9  获取招标文件的时间、地点、方式及招标文件售价要求：见投标人须知前附表。</w:t>
      </w:r>
    </w:p>
    <w:p>
      <w:pPr>
        <w:spacing w:before="120" w:after="120" w:line="360" w:lineRule="auto"/>
        <w:jc w:val="left"/>
        <w:rPr>
          <w:rStyle w:val="39"/>
          <w:rFonts w:hint="eastAsia" w:ascii="宋体" w:hAnsi="宋体" w:eastAsia="宋体" w:cs="宋体"/>
          <w:b/>
          <w:bCs/>
          <w:color w:val="auto"/>
          <w:sz w:val="24"/>
        </w:rPr>
      </w:pPr>
      <w:r>
        <w:rPr>
          <w:rStyle w:val="39"/>
          <w:rFonts w:hint="eastAsia" w:ascii="宋体" w:hAnsi="宋体" w:eastAsia="宋体" w:cs="宋体"/>
          <w:b/>
          <w:bCs/>
          <w:color w:val="auto"/>
          <w:sz w:val="24"/>
        </w:rPr>
        <w:t>2.政府采购信息发布媒体：</w:t>
      </w:r>
    </w:p>
    <w:p>
      <w:pPr>
        <w:spacing w:before="120" w:after="120" w:line="360" w:lineRule="auto"/>
        <w:ind w:firstLine="480" w:firstLineChars="200"/>
        <w:rPr>
          <w:rFonts w:hint="eastAsia" w:ascii="宋体" w:hAnsi="宋体" w:eastAsia="宋体" w:cs="宋体"/>
          <w:color w:val="auto"/>
          <w:sz w:val="24"/>
        </w:rPr>
      </w:pPr>
      <w:r>
        <w:rPr>
          <w:rStyle w:val="39"/>
          <w:rFonts w:hint="eastAsia" w:ascii="宋体" w:hAnsi="宋体" w:eastAsia="宋体" w:cs="宋体"/>
          <w:color w:val="auto"/>
          <w:sz w:val="24"/>
        </w:rPr>
        <w:t>2.1 与本项目相关的政府采购业务信息（包括公开招标公告、中标公告及其更正事项等）将在以下媒体上发布：</w:t>
      </w:r>
      <w:r>
        <w:rPr>
          <w:rFonts w:hint="eastAsia" w:ascii="宋体" w:hAnsi="宋体" w:eastAsia="宋体" w:cs="宋体"/>
          <w:color w:val="auto"/>
          <w:sz w:val="24"/>
        </w:rPr>
        <w:t xml:space="preserve">中国政府采购网: </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"http://www.ccgp.gov.cn/" </w:instrText>
      </w:r>
      <w:r>
        <w:rPr>
          <w:rFonts w:hint="eastAsia" w:ascii="宋体" w:hAnsi="宋体" w:eastAsia="宋体" w:cs="宋体"/>
          <w:color w:val="auto"/>
        </w:rPr>
        <w:fldChar w:fldCharType="separate"/>
      </w:r>
      <w:r>
        <w:rPr>
          <w:rStyle w:val="27"/>
          <w:rFonts w:hint="eastAsia" w:ascii="宋体" w:hAnsi="宋体" w:eastAsia="宋体" w:cs="宋体"/>
          <w:color w:val="auto"/>
          <w:sz w:val="24"/>
        </w:rPr>
        <w:t>http://www.ccgp.gov.cn/</w:t>
      </w:r>
      <w:r>
        <w:rPr>
          <w:rStyle w:val="27"/>
          <w:rFonts w:hint="eastAsia" w:ascii="宋体" w:hAnsi="宋体" w:eastAsia="宋体" w:cs="宋体"/>
          <w:color w:val="auto"/>
          <w:sz w:val="24"/>
        </w:rPr>
        <w:fldChar w:fldCharType="end"/>
      </w:r>
      <w:r>
        <w:rPr>
          <w:rFonts w:hint="eastAsia" w:ascii="宋体" w:hAnsi="宋体" w:eastAsia="宋体" w:cs="宋体"/>
          <w:color w:val="auto"/>
          <w:sz w:val="24"/>
        </w:rPr>
        <w:t>、广西壮族自治区政府采购网：</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"http://zfcg.gxzf.gov.cn/" </w:instrText>
      </w:r>
      <w:r>
        <w:rPr>
          <w:rFonts w:hint="eastAsia" w:ascii="宋体" w:hAnsi="宋体" w:eastAsia="宋体" w:cs="宋体"/>
          <w:color w:val="auto"/>
        </w:rPr>
        <w:fldChar w:fldCharType="separate"/>
      </w:r>
      <w:r>
        <w:rPr>
          <w:rStyle w:val="27"/>
          <w:rFonts w:hint="eastAsia" w:ascii="宋体" w:hAnsi="宋体" w:eastAsia="宋体" w:cs="宋体"/>
          <w:color w:val="auto"/>
          <w:sz w:val="24"/>
        </w:rPr>
        <w:t>http://zfcg.gxzf.gov.cn/</w:t>
      </w:r>
      <w:r>
        <w:rPr>
          <w:rStyle w:val="27"/>
          <w:rFonts w:hint="eastAsia" w:ascii="宋体" w:hAnsi="宋体" w:eastAsia="宋体" w:cs="宋体"/>
          <w:color w:val="auto"/>
          <w:sz w:val="24"/>
        </w:rPr>
        <w:fldChar w:fldCharType="end"/>
      </w:r>
      <w:r>
        <w:rPr>
          <w:rFonts w:hint="eastAsia" w:ascii="宋体" w:hAnsi="宋体" w:eastAsia="宋体" w:cs="宋体"/>
          <w:color w:val="auto"/>
          <w:sz w:val="24"/>
        </w:rPr>
        <w:t>、南宁市公共资源交易中心网（https://www.nnggzy.org.cn/ gxnnzbw/）。</w:t>
      </w:r>
    </w:p>
    <w:p>
      <w:pPr>
        <w:pStyle w:val="30"/>
        <w:ind w:firstLine="520" w:firstLineChars="200"/>
        <w:rPr>
          <w:rFonts w:hint="eastAsia" w:ascii="宋体" w:hAnsi="宋体" w:eastAsia="宋体" w:cs="宋体"/>
          <w:color w:val="auto"/>
        </w:rPr>
      </w:pPr>
      <w:r>
        <w:rPr>
          <w:rFonts w:hint="eastAsia" w:ascii="宋体" w:hAnsi="宋体" w:eastAsia="宋体" w:cs="宋体"/>
          <w:color w:val="auto"/>
        </w:rPr>
        <w:t xml:space="preserve">2.2 </w:t>
      </w:r>
      <w:r>
        <w:rPr>
          <w:rFonts w:hint="eastAsia" w:ascii="宋体" w:hAnsi="宋体" w:eastAsia="宋体" w:cs="宋体"/>
          <w:b/>
          <w:bCs w:val="0"/>
          <w:color w:val="auto"/>
        </w:rPr>
        <w:t>本项目公开招标公告期限为自公告发布之日起5个工作日。</w:t>
      </w:r>
    </w:p>
    <w:p>
      <w:pPr>
        <w:pStyle w:val="30"/>
        <w:rPr>
          <w:rFonts w:hint="eastAsia" w:ascii="宋体" w:hAnsi="宋体" w:eastAsia="宋体" w:cs="宋体"/>
          <w:color w:val="auto"/>
        </w:rPr>
      </w:pPr>
    </w:p>
    <w:p>
      <w:pPr>
        <w:spacing w:before="120" w:after="120" w:line="360" w:lineRule="auto"/>
        <w:ind w:left="1"/>
        <w:jc w:val="left"/>
        <w:rPr>
          <w:rStyle w:val="39"/>
          <w:rFonts w:hint="eastAsia" w:ascii="宋体" w:hAnsi="宋体" w:eastAsia="宋体" w:cs="宋体"/>
          <w:b/>
          <w:bCs/>
          <w:color w:val="auto"/>
        </w:rPr>
      </w:pPr>
      <w:r>
        <w:rPr>
          <w:rStyle w:val="39"/>
          <w:rFonts w:hint="eastAsia" w:ascii="宋体" w:hAnsi="宋体" w:eastAsia="宋体" w:cs="宋体"/>
          <w:b/>
          <w:bCs/>
          <w:color w:val="auto"/>
          <w:sz w:val="24"/>
        </w:rPr>
        <w:t>3.投标人资格要求：</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3.1 已通过资格预审的社会资本。</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3.2针对本项目，投标人应具备的特定条件：见投标人须知前附表。</w:t>
      </w:r>
    </w:p>
    <w:p>
      <w:pPr>
        <w:spacing w:before="120" w:after="120" w:line="360" w:lineRule="auto"/>
        <w:ind w:firstLine="424" w:firstLineChars="177"/>
        <w:rPr>
          <w:rStyle w:val="39"/>
          <w:rFonts w:hint="eastAsia" w:ascii="宋体" w:hAnsi="宋体" w:eastAsia="宋体" w:cs="宋体"/>
          <w:color w:val="auto"/>
          <w:sz w:val="24"/>
        </w:rPr>
      </w:pPr>
      <w:r>
        <w:rPr>
          <w:rStyle w:val="39"/>
          <w:rFonts w:hint="eastAsia" w:ascii="宋体" w:hAnsi="宋体" w:eastAsia="宋体" w:cs="宋体"/>
          <w:color w:val="auto"/>
          <w:sz w:val="24"/>
        </w:rPr>
        <w:t>3.3是否接受联合体投标：见投标人须知前附表。</w:t>
      </w:r>
    </w:p>
    <w:p>
      <w:pPr>
        <w:spacing w:before="120" w:after="120" w:line="360" w:lineRule="auto"/>
        <w:jc w:val="left"/>
        <w:rPr>
          <w:rStyle w:val="39"/>
          <w:rFonts w:hint="eastAsia" w:ascii="宋体" w:hAnsi="宋体" w:eastAsia="宋体" w:cs="宋体"/>
          <w:b/>
          <w:bCs/>
          <w:color w:val="auto"/>
          <w:sz w:val="24"/>
        </w:rPr>
      </w:pPr>
      <w:r>
        <w:rPr>
          <w:rStyle w:val="39"/>
          <w:rFonts w:hint="eastAsia" w:ascii="宋体" w:hAnsi="宋体" w:eastAsia="宋体" w:cs="宋体"/>
          <w:b/>
          <w:bCs/>
          <w:color w:val="auto"/>
          <w:sz w:val="24"/>
        </w:rPr>
        <w:t>4.质疑</w:t>
      </w:r>
    </w:p>
    <w:p>
      <w:pPr>
        <w:spacing w:before="50" w:after="50" w:line="360" w:lineRule="auto"/>
        <w:ind w:firstLine="480" w:firstLineChars="200"/>
        <w:rPr>
          <w:rStyle w:val="39"/>
          <w:rFonts w:hint="eastAsia" w:ascii="宋体" w:hAnsi="宋体" w:eastAsia="宋体" w:cs="宋体"/>
          <w:bCs/>
          <w:color w:val="auto"/>
          <w:sz w:val="24"/>
        </w:rPr>
      </w:pPr>
      <w:r>
        <w:rPr>
          <w:rStyle w:val="39"/>
          <w:rFonts w:hint="eastAsia" w:ascii="宋体" w:hAnsi="宋体" w:eastAsia="宋体" w:cs="宋体"/>
          <w:bCs/>
          <w:color w:val="auto"/>
          <w:sz w:val="24"/>
        </w:rPr>
        <w:t>4.1  投标人</w:t>
      </w:r>
      <w:r>
        <w:rPr>
          <w:rStyle w:val="39"/>
          <w:rFonts w:hint="eastAsia" w:ascii="宋体" w:hAnsi="宋体" w:eastAsia="宋体" w:cs="宋体"/>
          <w:color w:val="auto"/>
          <w:sz w:val="24"/>
        </w:rPr>
        <w:t>对政府采购活动事项有疑问的，可以向采购人或</w:t>
      </w:r>
      <w:r>
        <w:rPr>
          <w:rStyle w:val="39"/>
          <w:rFonts w:hint="eastAsia" w:ascii="宋体" w:hAnsi="宋体" w:eastAsia="宋体" w:cs="宋体"/>
          <w:bCs/>
          <w:color w:val="auto"/>
          <w:sz w:val="24"/>
        </w:rPr>
        <w:t>采购代理机构提出询问</w:t>
      </w:r>
      <w:r>
        <w:rPr>
          <w:rStyle w:val="39"/>
          <w:rFonts w:hint="eastAsia" w:ascii="宋体" w:hAnsi="宋体" w:eastAsia="宋体" w:cs="宋体"/>
          <w:color w:val="auto"/>
          <w:sz w:val="24"/>
        </w:rPr>
        <w:t>；</w:t>
      </w:r>
      <w:r>
        <w:rPr>
          <w:rStyle w:val="39"/>
          <w:rFonts w:hint="eastAsia" w:ascii="宋体" w:hAnsi="宋体" w:eastAsia="宋体" w:cs="宋体"/>
          <w:bCs/>
          <w:color w:val="auto"/>
          <w:sz w:val="24"/>
        </w:rPr>
        <w:t>投标人如认为公开招标文件使自己的权益受到损</w:t>
      </w:r>
      <w:r>
        <w:rPr>
          <w:rStyle w:val="39"/>
          <w:rFonts w:hint="eastAsia" w:ascii="宋体" w:hAnsi="宋体" w:eastAsia="宋体" w:cs="宋体"/>
          <w:color w:val="auto"/>
          <w:sz w:val="24"/>
        </w:rPr>
        <w:t>害的，可以在自招标公告届满之日起七个工作日内</w:t>
      </w:r>
      <w:r>
        <w:rPr>
          <w:rStyle w:val="39"/>
          <w:rFonts w:hint="eastAsia" w:ascii="宋体" w:hAnsi="宋体" w:eastAsia="宋体" w:cs="宋体"/>
          <w:bCs/>
          <w:color w:val="auto"/>
          <w:sz w:val="24"/>
        </w:rPr>
        <w:t>以书面形式向采购代理机构提出质疑；投标截止时间后，采购代理机构不再受理对公开招标文件的询问或质疑。投标人认为</w:t>
      </w:r>
      <w:r>
        <w:rPr>
          <w:rStyle w:val="39"/>
          <w:rFonts w:hint="eastAsia" w:ascii="宋体" w:hAnsi="宋体" w:eastAsia="宋体" w:cs="宋体"/>
          <w:color w:val="auto"/>
          <w:sz w:val="24"/>
        </w:rPr>
        <w:t>采购过程和中标结果使自己的权益受到损害的，可</w:t>
      </w:r>
      <w:r>
        <w:rPr>
          <w:rStyle w:val="39"/>
          <w:rFonts w:hint="eastAsia" w:ascii="宋体" w:hAnsi="宋体" w:eastAsia="宋体" w:cs="宋体"/>
          <w:bCs/>
          <w:color w:val="auto"/>
          <w:sz w:val="24"/>
        </w:rPr>
        <w:t>以</w:t>
      </w:r>
      <w:r>
        <w:rPr>
          <w:rStyle w:val="39"/>
          <w:rFonts w:hint="eastAsia" w:ascii="宋体" w:hAnsi="宋体" w:eastAsia="宋体" w:cs="宋体"/>
          <w:color w:val="auto"/>
          <w:sz w:val="24"/>
        </w:rPr>
        <w:t>在</w:t>
      </w:r>
      <w:r>
        <w:rPr>
          <w:rStyle w:val="39"/>
          <w:rFonts w:hint="eastAsia" w:ascii="宋体" w:hAnsi="宋体" w:eastAsia="宋体" w:cs="宋体"/>
          <w:color w:val="auto"/>
          <w:kern w:val="0"/>
          <w:sz w:val="24"/>
        </w:rPr>
        <w:t>中标结果公示</w:t>
      </w:r>
      <w:r>
        <w:rPr>
          <w:rStyle w:val="39"/>
          <w:rFonts w:hint="eastAsia" w:ascii="宋体" w:hAnsi="宋体" w:eastAsia="宋体" w:cs="宋体"/>
          <w:color w:val="auto"/>
          <w:sz w:val="24"/>
        </w:rPr>
        <w:t>之日起七个工作日内，以书面形式向采购人委托的采购代理机构质疑。质疑书的提交地点和质疑受理电话见投标人须知前附表。</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4.2  投标人质疑实行实名制，其质疑应当有具体的质疑事项及事实根据，不得进行虚假、恶意质疑。</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4.3  投标人质疑时，应当提交质疑书原件，质疑书应当包括下列主要内容：</w:t>
      </w:r>
    </w:p>
    <w:p>
      <w:pPr>
        <w:spacing w:before="120" w:after="120" w:line="360" w:lineRule="auto"/>
        <w:ind w:firstLine="480" w:firstLineChars="200"/>
        <w:rPr>
          <w:rStyle w:val="39"/>
          <w:rFonts w:hint="eastAsia" w:ascii="宋体" w:hAnsi="宋体" w:eastAsia="宋体" w:cs="宋体"/>
          <w:color w:val="auto"/>
          <w:sz w:val="24"/>
        </w:rPr>
      </w:pPr>
      <w:r>
        <w:rPr>
          <w:rFonts w:hint="eastAsia" w:ascii="宋体" w:hAnsi="宋体" w:eastAsia="宋体" w:cs="宋体"/>
          <w:color w:val="auto"/>
          <w:kern w:val="0"/>
          <w:sz w:val="24"/>
        </w:rPr>
        <w:t xml:space="preserve">　  </w:t>
      </w:r>
      <w:r>
        <w:rPr>
          <w:rStyle w:val="39"/>
          <w:rFonts w:hint="eastAsia" w:ascii="宋体" w:hAnsi="宋体" w:eastAsia="宋体" w:cs="宋体"/>
          <w:color w:val="auto"/>
          <w:sz w:val="24"/>
        </w:rPr>
        <w:t>（1）投标人的姓名或者名称、地址、邮编、联系人及联系电话；</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　　（2）质疑项目的名称、编号；</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　　（3）具体、明确的质疑事项和与质疑事项相关的请求；</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　　（4）事实依据；</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　　（5）必要的法律依据；</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　　（6）提出质疑的日期。</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附件材料：营业执照副本内页复印件（要求证件有效并清晰反映企业法人经营范围）；近期连续三个月依法缴纳税收和在职职工社会保障资金证明材料（复印件，原件备查）。</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质疑书应当署名。质疑投标人为自然人的，应当由本人签字；质疑投标人为法人或者其他组织的，应当由法定代表人、主要负责人，或者其授权代表签字或者盖章，并加盖公章。</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4.4  质疑投标人可以委托代理人办理质疑事务。委托代理人应为质疑投标人的正式员工并熟悉相关业务情况。代理人办理质疑事务时，除提交质疑书外，还应当提交质疑投标人的授权委托书，授权委托书应当载明委托代理的具体权限和事项；提交委托代理人身份证明复印件和近期三个月社保缴费证明复印件。</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4.5  质疑投标人提起质疑应当符合下列条件：</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（1）质疑投标人是参与所质疑政府采购活动的投标人；</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（2）质疑书内容符合本章第4.3项的规定；</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（3）在质疑有效期限内提起质疑；</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（4）属于所质疑的采购人或采购人委托的采购代理机构组织的采购活动；</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（5）同一质疑事项未经采购人或采购人委托的采购代理机构质疑处理；</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（6）财政部门规定的其他条件。</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4.6  采购人或采购人委托的采购代理机构自受理质疑之日起七个工作日内，对质疑事项作出答复，并以书面形式通知质疑投标人及其他有关投标人。</w:t>
      </w:r>
    </w:p>
    <w:p>
      <w:pPr>
        <w:spacing w:before="120" w:after="120" w:line="360" w:lineRule="auto"/>
        <w:ind w:left="1"/>
        <w:jc w:val="left"/>
        <w:rPr>
          <w:rStyle w:val="39"/>
          <w:rFonts w:hint="eastAsia" w:ascii="宋体" w:hAnsi="宋体" w:eastAsia="宋体" w:cs="宋体"/>
          <w:b/>
          <w:bCs/>
          <w:color w:val="auto"/>
          <w:sz w:val="24"/>
        </w:rPr>
      </w:pPr>
      <w:r>
        <w:rPr>
          <w:rStyle w:val="39"/>
          <w:rFonts w:hint="eastAsia" w:ascii="宋体" w:hAnsi="宋体" w:eastAsia="宋体" w:cs="宋体"/>
          <w:b/>
          <w:bCs/>
          <w:color w:val="auto"/>
          <w:sz w:val="24"/>
        </w:rPr>
        <w:t>5.投诉</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5.1  投标人认为采购文件、采购过程、</w:t>
      </w:r>
      <w:r>
        <w:rPr>
          <w:rStyle w:val="39"/>
          <w:rFonts w:hint="eastAsia" w:ascii="宋体" w:hAnsi="宋体" w:cs="宋体"/>
          <w:color w:val="auto"/>
          <w:sz w:val="24"/>
          <w:lang w:val="en-US" w:eastAsia="zh-CN"/>
        </w:rPr>
        <w:t>评标</w:t>
      </w:r>
      <w:r>
        <w:rPr>
          <w:rStyle w:val="39"/>
          <w:rFonts w:hint="eastAsia" w:ascii="宋体" w:hAnsi="宋体" w:eastAsia="宋体" w:cs="宋体"/>
          <w:color w:val="auto"/>
          <w:sz w:val="24"/>
        </w:rPr>
        <w:t>和成交结果使自己的合法权益受到损害的，应当首先依法向采购人或采购人委托的采购代理机构提出质疑。对采购人、采购代理机构的答复不满意，或者采购人、采购代理机构未在规定期限内做出答复的，投标人可以在答复期满后十五个工作日内向南宁市政府采购监督管理部门提起投诉。</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5.2  投诉人投诉时，应当提交投诉书，并按照被投诉采购人、采购代理机构和与投诉事项有关的投标人数量提供投诉书的副本。投诉书应当包括下列主要内容（如材料中有外文资料应同时附上对应的中文译本）：</w:t>
      </w:r>
    </w:p>
    <w:p>
      <w:pPr>
        <w:widowControl/>
        <w:spacing w:line="360" w:lineRule="auto"/>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（1）投诉人和被投诉人的姓名或者名称、通讯地址、邮编、联系人及联系电话；</w:t>
      </w:r>
    </w:p>
    <w:p>
      <w:pPr>
        <w:widowControl/>
        <w:spacing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rPr>
        <w:t>　　（2）质疑和质疑答复情况说明及相关证明材料；</w:t>
      </w:r>
    </w:p>
    <w:p>
      <w:pPr>
        <w:widowControl/>
        <w:spacing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rPr>
        <w:t>　　（3）具体、明确的投诉事项和与投诉事项相关的投诉请求；</w:t>
      </w:r>
    </w:p>
    <w:p>
      <w:pPr>
        <w:widowControl/>
        <w:spacing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rPr>
        <w:t>　　（4）事实依据；</w:t>
      </w:r>
    </w:p>
    <w:p>
      <w:pPr>
        <w:widowControl/>
        <w:spacing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rPr>
        <w:t>　　（5）法律依据；</w:t>
      </w:r>
    </w:p>
    <w:p>
      <w:pPr>
        <w:widowControl/>
        <w:spacing w:line="360" w:lineRule="auto"/>
        <w:ind w:firstLine="480"/>
        <w:jc w:val="left"/>
        <w:rPr>
          <w:rFonts w:hint="eastAsia" w:ascii="宋体" w:hAnsi="宋体" w:eastAsia="宋体" w:cs="宋体"/>
          <w:color w:val="auto"/>
          <w:kern w:val="0"/>
          <w:sz w:val="24"/>
        </w:rPr>
      </w:pPr>
      <w:r>
        <w:rPr>
          <w:rFonts w:hint="eastAsia" w:ascii="宋体" w:hAnsi="宋体" w:eastAsia="宋体" w:cs="宋体"/>
          <w:color w:val="auto"/>
          <w:kern w:val="0"/>
          <w:sz w:val="24"/>
        </w:rPr>
        <w:t>（6）提起投诉的日期。</w:t>
      </w:r>
    </w:p>
    <w:p>
      <w:pPr>
        <w:widowControl/>
        <w:ind w:firstLine="480"/>
        <w:jc w:val="left"/>
        <w:rPr>
          <w:rStyle w:val="39"/>
          <w:rFonts w:hint="eastAsia" w:ascii="宋体" w:hAnsi="宋体" w:eastAsia="宋体" w:cs="宋体"/>
          <w:color w:val="auto"/>
          <w:kern w:val="0"/>
          <w:sz w:val="24"/>
        </w:rPr>
      </w:pPr>
      <w:r>
        <w:rPr>
          <w:rFonts w:hint="eastAsia" w:ascii="宋体" w:hAnsi="宋体" w:eastAsia="宋体" w:cs="宋体"/>
          <w:color w:val="auto"/>
          <w:kern w:val="0"/>
          <w:sz w:val="24"/>
        </w:rPr>
        <w:t>附件材料：营业执照副本</w:t>
      </w:r>
      <w:r>
        <w:rPr>
          <w:rStyle w:val="39"/>
          <w:rFonts w:hint="eastAsia" w:ascii="宋体" w:hAnsi="宋体" w:eastAsia="宋体" w:cs="宋体"/>
          <w:color w:val="auto"/>
          <w:sz w:val="24"/>
        </w:rPr>
        <w:t>内页复印件（要求证件有效并清晰反映企业法人经营范围；近期连续三个月依法缴纳税收和在职职工社会保障资金证明材料（复印件，原件备查）。</w:t>
      </w:r>
      <w:r>
        <w:rPr>
          <w:rStyle w:val="39"/>
          <w:rFonts w:hint="eastAsia" w:ascii="宋体" w:hAnsi="宋体" w:eastAsia="宋体" w:cs="宋体"/>
          <w:color w:val="auto"/>
          <w:sz w:val="24"/>
        </w:rPr>
        <w:tab/>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投诉书应当署名。投诉人为自然人的，应当由本人签字；投诉人为法人或者其他组织的，应当由法定代表人、主要负责人，或者其授权代表签字或者盖章，并加盖公章。</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5.3  投诉人可以委托代理人办理投诉事务。委托代理人应为投诉投标人的正式员工并熟悉相关业务情况。代理人办理投诉事务时，除提交投诉书外，还应当提交投诉人的授权委托书，授权委托书应当载明委托代理的具体权限和事项；提交委托代理人身份证明复印件和近期三个月社保缴费证复印件。</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5.4  投诉人提起投诉应当符合下列条件：</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（1）投诉人是参与所投诉政府采购活动的投标人；</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（2）提起投诉前已依法进行质疑；</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（3）投诉书内容符合本章第5.2项的规定；</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（4）在投诉有效期限内提起投诉；</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（5）属于南宁市政府采购监督管理部门管辖；</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 xml:space="preserve">（6）同一投诉事项未经南宁市政府采购监督管理部门投诉处理； </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（7）国务院财政部门规定的其他条件。</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5.5  南宁市政府采购监督管理部门自受理投诉之日起三十个工作日内，对投诉事项作出处理决定，并以书面形式通知投诉人、被投诉人及其他与投诉处理结果有利害关系的政府采购当事人。</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5.6  南宁市政府采购监督管理部门在处理投诉事项期间，可以视具体情况暂停采购活动。</w:t>
      </w:r>
    </w:p>
    <w:p>
      <w:pPr>
        <w:spacing w:before="120" w:after="120" w:line="360" w:lineRule="auto"/>
        <w:rPr>
          <w:rStyle w:val="39"/>
          <w:rFonts w:hint="eastAsia" w:ascii="宋体" w:hAnsi="宋体" w:eastAsia="宋体" w:cs="宋体"/>
          <w:bCs/>
          <w:color w:val="auto"/>
          <w:sz w:val="24"/>
        </w:rPr>
      </w:pPr>
    </w:p>
    <w:p>
      <w:pPr>
        <w:pStyle w:val="5"/>
        <w:rPr>
          <w:rStyle w:val="39"/>
          <w:rFonts w:hint="eastAsia" w:ascii="宋体" w:hAnsi="宋体" w:eastAsia="宋体" w:cs="宋体"/>
          <w:color w:val="auto"/>
          <w:sz w:val="32"/>
          <w:szCs w:val="32"/>
        </w:rPr>
      </w:pPr>
      <w:bookmarkStart w:id="262" w:name="_Toc8902"/>
      <w:bookmarkStart w:id="263" w:name="_Toc54622554"/>
      <w:bookmarkStart w:id="264" w:name="_Toc21155"/>
      <w:bookmarkStart w:id="265" w:name="_Toc6557"/>
      <w:r>
        <w:rPr>
          <w:rStyle w:val="39"/>
          <w:rFonts w:hint="eastAsia" w:ascii="宋体" w:hAnsi="宋体" w:eastAsia="宋体" w:cs="宋体"/>
          <w:color w:val="auto"/>
          <w:sz w:val="32"/>
          <w:szCs w:val="32"/>
        </w:rPr>
        <w:t>二、招标文件</w:t>
      </w:r>
      <w:bookmarkEnd w:id="262"/>
      <w:bookmarkEnd w:id="263"/>
      <w:bookmarkEnd w:id="264"/>
      <w:bookmarkEnd w:id="265"/>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6.招标文件的组成</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6.1  本</w:t>
      </w:r>
      <w:r>
        <w:rPr>
          <w:rStyle w:val="39"/>
          <w:rFonts w:hint="eastAsia" w:ascii="宋体" w:hAnsi="宋体" w:eastAsia="宋体" w:cs="宋体"/>
          <w:bCs/>
          <w:color w:val="auto"/>
          <w:sz w:val="24"/>
        </w:rPr>
        <w:t>招标</w:t>
      </w:r>
      <w:r>
        <w:rPr>
          <w:rStyle w:val="39"/>
          <w:rFonts w:hint="eastAsia" w:ascii="宋体" w:hAnsi="宋体" w:eastAsia="宋体" w:cs="宋体"/>
          <w:color w:val="auto"/>
          <w:sz w:val="24"/>
        </w:rPr>
        <w:t>文件包括六个章节，各章的内容如下：</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第一章  投标邀请书</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第二章  采购需求</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第三章  投标人须知</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第四章  评标办法</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第五章  投标文件格式</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第六章  附件</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6.2  根据 本章第7.1项的规定对招标文件所做的澄清、修改，构成招标文件的组成部分。当招标文件与招标文件的澄清和修改就同一内容的表述不一致时，以最后发出的书面文件为准。</w:t>
      </w:r>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7.招标文件的澄清和修改</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7.1 采购人或采购代理机构对已发出的招标文件进行必要澄清或修改的，应在投标截止时间十五日前，以书面形式（在</w:t>
      </w:r>
      <w:r>
        <w:rPr>
          <w:rStyle w:val="39"/>
          <w:rFonts w:hint="eastAsia" w:ascii="宋体" w:hAnsi="宋体" w:eastAsia="宋体" w:cs="宋体"/>
          <w:color w:val="auto"/>
          <w:kern w:val="0"/>
          <w:sz w:val="24"/>
        </w:rPr>
        <w:t>本章第2条规定的政府采购信息发布媒体上</w:t>
      </w:r>
      <w:r>
        <w:rPr>
          <w:rStyle w:val="39"/>
          <w:rFonts w:hint="eastAsia" w:ascii="宋体" w:hAnsi="宋体" w:eastAsia="宋体" w:cs="宋体"/>
          <w:color w:val="auto"/>
          <w:sz w:val="24"/>
        </w:rPr>
        <w:t>发布更正公告)通知所有招标文件收受人；同时，采购代理机构在本章第2项规定的政府采购信息发布媒体上发布更正公告。如果修改招标文件的时间距投标截止时间不足十五日，则相应延长投标截止时间。</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7.2  采购人和采购代理机构可以视采购具体情况，延长投标截止时间和开标时间，但至少应当在投标截止时间三日前，将变更时间书面通知（在</w:t>
      </w:r>
      <w:r>
        <w:rPr>
          <w:rStyle w:val="39"/>
          <w:rFonts w:hint="eastAsia" w:ascii="宋体" w:hAnsi="宋体" w:eastAsia="宋体" w:cs="宋体"/>
          <w:color w:val="auto"/>
          <w:kern w:val="0"/>
          <w:sz w:val="24"/>
        </w:rPr>
        <w:t>本章第2条规定的政府采购信息发布媒体上</w:t>
      </w:r>
      <w:r>
        <w:rPr>
          <w:rStyle w:val="39"/>
          <w:rFonts w:hint="eastAsia" w:ascii="宋体" w:hAnsi="宋体" w:eastAsia="宋体" w:cs="宋体"/>
          <w:color w:val="auto"/>
          <w:sz w:val="24"/>
        </w:rPr>
        <w:t>发布更正公告)所有招标文件收受人。同时，采购代理机构在本章第2项规定的政府采购信息发布媒体上发布变更公告。</w:t>
      </w:r>
    </w:p>
    <w:p>
      <w:pPr>
        <w:pStyle w:val="5"/>
        <w:rPr>
          <w:rStyle w:val="39"/>
          <w:rFonts w:hint="eastAsia" w:ascii="宋体" w:hAnsi="宋体" w:eastAsia="宋体" w:cs="宋体"/>
          <w:color w:val="auto"/>
          <w:sz w:val="32"/>
          <w:szCs w:val="32"/>
        </w:rPr>
      </w:pPr>
      <w:bookmarkStart w:id="266" w:name="_Toc21243"/>
      <w:bookmarkStart w:id="267" w:name="_Toc9929"/>
      <w:bookmarkStart w:id="268" w:name="_Toc54622555"/>
      <w:bookmarkStart w:id="269" w:name="_Toc9212"/>
      <w:r>
        <w:rPr>
          <w:rStyle w:val="39"/>
          <w:rFonts w:hint="eastAsia" w:ascii="宋体" w:hAnsi="宋体" w:eastAsia="宋体" w:cs="宋体"/>
          <w:color w:val="auto"/>
          <w:sz w:val="32"/>
          <w:szCs w:val="32"/>
        </w:rPr>
        <w:t>三、投标文件</w:t>
      </w:r>
      <w:bookmarkEnd w:id="266"/>
      <w:bookmarkEnd w:id="267"/>
      <w:bookmarkEnd w:id="268"/>
      <w:bookmarkEnd w:id="269"/>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8.投标文件的编制</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8.1  投标人应仔细阅读招标文件，在充分了解招标的内容、技术参数要求和商务条款以及实质性要求和条件后，编写投标文件。</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8.2  对招标文件的要求和条件作出投标是指投标人必须对招标文件中要求的技术参数、商务条款及其它内容作出满足或者优于的承诺。</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8.3  投标文件应用不褪色的材料书写或打印，保证其清楚、工整，相关材料的复印件应清晰可辨认。投标文件字迹潦草、表达不清、模糊无法辨认而导致非唯一理解是投标人的风险，很可能导致该投标无效。</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8.4  第五章“投标文件格式”中规定了投标文件格式的，应按相应格式要求编写。</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8.5  投标文件应由投标人的法定代表人或其委托代理人在凡规定签章处逐一签字或盖章并加盖单位公章。投标文件应尽量避免涂改、行间插字或删除。如果出现上述情况，改动之处应加盖单位公章或由投标人的法定代表人或其委托代理人签字或盖章确认。</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8.6  投标文件应编制目录，且页码清晰准确。</w:t>
      </w:r>
    </w:p>
    <w:p>
      <w:pPr>
        <w:spacing w:before="120" w:after="120" w:line="360" w:lineRule="auto"/>
        <w:ind w:firstLine="480" w:firstLineChars="200"/>
        <w:rPr>
          <w:rStyle w:val="39"/>
          <w:rFonts w:hint="eastAsia" w:ascii="宋体" w:hAnsi="宋体" w:eastAsia="宋体" w:cs="宋体"/>
          <w:color w:val="auto"/>
          <w:kern w:val="24"/>
          <w:sz w:val="24"/>
        </w:rPr>
      </w:pPr>
      <w:r>
        <w:rPr>
          <w:rStyle w:val="39"/>
          <w:rFonts w:hint="eastAsia" w:ascii="宋体" w:hAnsi="宋体" w:eastAsia="宋体" w:cs="宋体"/>
          <w:color w:val="auto"/>
          <w:sz w:val="24"/>
        </w:rPr>
        <w:t xml:space="preserve">8.7  </w:t>
      </w:r>
      <w:r>
        <w:rPr>
          <w:rStyle w:val="39"/>
          <w:rFonts w:hint="eastAsia" w:ascii="宋体" w:hAnsi="宋体" w:eastAsia="宋体" w:cs="宋体"/>
          <w:color w:val="auto"/>
          <w:kern w:val="24"/>
          <w:sz w:val="24"/>
        </w:rPr>
        <w:t>投标文件的正本和副本应分别装订成册，封面上应清楚地标记“正本”或“副本”字样，并标明项目名称、项目编号、投标人名称</w:t>
      </w:r>
      <w:r>
        <w:rPr>
          <w:rStyle w:val="39"/>
          <w:rFonts w:hint="eastAsia" w:ascii="宋体" w:hAnsi="宋体" w:eastAsia="宋体" w:cs="宋体"/>
          <w:b/>
          <w:color w:val="auto"/>
          <w:kern w:val="24"/>
          <w:sz w:val="24"/>
        </w:rPr>
        <w:t>（如为联合体，应列明全部成员单位的名称）</w:t>
      </w:r>
      <w:r>
        <w:rPr>
          <w:rStyle w:val="39"/>
          <w:rFonts w:hint="eastAsia" w:ascii="宋体" w:hAnsi="宋体" w:eastAsia="宋体" w:cs="宋体"/>
          <w:color w:val="auto"/>
          <w:kern w:val="24"/>
          <w:sz w:val="24"/>
        </w:rPr>
        <w:t>等内容，并注明“在投标截止时间</w:t>
      </w:r>
      <w:r>
        <w:rPr>
          <w:rStyle w:val="39"/>
          <w:rFonts w:hint="eastAsia" w:ascii="宋体" w:hAnsi="宋体" w:eastAsia="宋体" w:cs="宋体"/>
          <w:color w:val="auto"/>
          <w:kern w:val="24"/>
          <w:sz w:val="24"/>
          <w:u w:val="thick"/>
        </w:rPr>
        <w:t xml:space="preserve">   </w:t>
      </w:r>
      <w:r>
        <w:rPr>
          <w:rStyle w:val="39"/>
          <w:rFonts w:hint="eastAsia" w:ascii="宋体" w:hAnsi="宋体" w:eastAsia="宋体" w:cs="宋体"/>
          <w:color w:val="auto"/>
          <w:kern w:val="24"/>
          <w:sz w:val="24"/>
        </w:rPr>
        <w:t>年</w:t>
      </w:r>
      <w:r>
        <w:rPr>
          <w:rStyle w:val="39"/>
          <w:rFonts w:hint="eastAsia" w:ascii="宋体" w:hAnsi="宋体" w:eastAsia="宋体" w:cs="宋体"/>
          <w:color w:val="auto"/>
          <w:kern w:val="24"/>
          <w:sz w:val="24"/>
          <w:u w:val="thick"/>
        </w:rPr>
        <w:t xml:space="preserve">   </w:t>
      </w:r>
      <w:r>
        <w:rPr>
          <w:rStyle w:val="39"/>
          <w:rFonts w:hint="eastAsia" w:ascii="宋体" w:hAnsi="宋体" w:eastAsia="宋体" w:cs="宋体"/>
          <w:color w:val="auto"/>
          <w:kern w:val="24"/>
          <w:sz w:val="24"/>
        </w:rPr>
        <w:t>月</w:t>
      </w:r>
      <w:r>
        <w:rPr>
          <w:rStyle w:val="39"/>
          <w:rFonts w:hint="eastAsia" w:ascii="宋体" w:hAnsi="宋体" w:eastAsia="宋体" w:cs="宋体"/>
          <w:color w:val="auto"/>
          <w:kern w:val="24"/>
          <w:sz w:val="24"/>
          <w:u w:val="thick"/>
        </w:rPr>
        <w:t xml:space="preserve">   </w:t>
      </w:r>
      <w:r>
        <w:rPr>
          <w:rStyle w:val="39"/>
          <w:rFonts w:hint="eastAsia" w:ascii="宋体" w:hAnsi="宋体" w:eastAsia="宋体" w:cs="宋体"/>
          <w:color w:val="auto"/>
          <w:kern w:val="24"/>
          <w:sz w:val="24"/>
        </w:rPr>
        <w:t>日</w:t>
      </w:r>
      <w:r>
        <w:rPr>
          <w:rStyle w:val="39"/>
          <w:rFonts w:hint="eastAsia" w:ascii="宋体" w:hAnsi="宋体" w:eastAsia="宋体" w:cs="宋体"/>
          <w:color w:val="auto"/>
          <w:kern w:val="24"/>
          <w:sz w:val="24"/>
          <w:u w:val="thick"/>
        </w:rPr>
        <w:t xml:space="preserve">   </w:t>
      </w:r>
      <w:r>
        <w:rPr>
          <w:rStyle w:val="39"/>
          <w:rFonts w:hint="eastAsia" w:ascii="宋体" w:hAnsi="宋体" w:eastAsia="宋体" w:cs="宋体"/>
          <w:color w:val="auto"/>
          <w:kern w:val="24"/>
          <w:sz w:val="24"/>
        </w:rPr>
        <w:t>时</w:t>
      </w:r>
      <w:r>
        <w:rPr>
          <w:rStyle w:val="39"/>
          <w:rFonts w:hint="eastAsia" w:ascii="宋体" w:hAnsi="宋体" w:eastAsia="宋体" w:cs="宋体"/>
          <w:color w:val="auto"/>
          <w:kern w:val="24"/>
          <w:sz w:val="24"/>
          <w:u w:val="thick"/>
        </w:rPr>
        <w:t xml:space="preserve">  </w:t>
      </w:r>
      <w:r>
        <w:rPr>
          <w:rStyle w:val="39"/>
          <w:rFonts w:hint="eastAsia" w:ascii="宋体" w:hAnsi="宋体" w:eastAsia="宋体" w:cs="宋体"/>
          <w:color w:val="auto"/>
          <w:kern w:val="24"/>
          <w:sz w:val="24"/>
        </w:rPr>
        <w:t>分之前不得启封”字样，包封的骑缝处加盖投标人（</w:t>
      </w:r>
      <w:r>
        <w:rPr>
          <w:rStyle w:val="39"/>
          <w:rFonts w:hint="eastAsia" w:ascii="宋体" w:hAnsi="宋体" w:eastAsia="宋体" w:cs="宋体"/>
          <w:b/>
          <w:color w:val="auto"/>
          <w:kern w:val="24"/>
          <w:sz w:val="24"/>
        </w:rPr>
        <w:t>如为联合体，指牵头方</w:t>
      </w:r>
      <w:r>
        <w:rPr>
          <w:rStyle w:val="39"/>
          <w:rFonts w:hint="eastAsia" w:ascii="宋体" w:hAnsi="宋体" w:eastAsia="宋体" w:cs="宋体"/>
          <w:color w:val="auto"/>
          <w:kern w:val="24"/>
          <w:sz w:val="24"/>
        </w:rPr>
        <w:t>）公章，在未开封的状态下送达采购人规定地点。副本可以采用正本的复印件，当副本和正本不一致时，以正本为准。正本，副本份数见投标人须知前附表。以上整套文件提供1份电子版（以光盘或U盘形式）。</w:t>
      </w:r>
    </w:p>
    <w:p>
      <w:pPr>
        <w:spacing w:before="60" w:after="60" w:line="360" w:lineRule="auto"/>
        <w:ind w:firstLine="480" w:firstLineChars="200"/>
        <w:rPr>
          <w:rStyle w:val="39"/>
          <w:rFonts w:hint="eastAsia" w:ascii="宋体" w:hAnsi="宋体" w:eastAsia="宋体" w:cs="宋体"/>
          <w:color w:val="auto"/>
          <w:kern w:val="24"/>
          <w:sz w:val="24"/>
        </w:rPr>
      </w:pPr>
      <w:r>
        <w:rPr>
          <w:rStyle w:val="39"/>
          <w:rFonts w:hint="eastAsia" w:ascii="宋体" w:hAnsi="宋体" w:eastAsia="宋体" w:cs="宋体"/>
          <w:color w:val="auto"/>
          <w:kern w:val="24"/>
          <w:sz w:val="24"/>
        </w:rPr>
        <w:t>8.8 光盘或U盘应</w:t>
      </w:r>
      <w:r>
        <w:rPr>
          <w:rStyle w:val="39"/>
          <w:rFonts w:hint="eastAsia" w:ascii="宋体" w:hAnsi="宋体" w:eastAsia="宋体" w:cs="宋体"/>
          <w:b/>
          <w:color w:val="auto"/>
          <w:kern w:val="24"/>
          <w:sz w:val="24"/>
        </w:rPr>
        <w:t>单独密封</w:t>
      </w:r>
      <w:r>
        <w:rPr>
          <w:rStyle w:val="39"/>
          <w:rFonts w:hint="eastAsia" w:ascii="宋体" w:hAnsi="宋体" w:eastAsia="宋体" w:cs="宋体"/>
          <w:color w:val="auto"/>
          <w:kern w:val="24"/>
          <w:sz w:val="24"/>
        </w:rPr>
        <w:t>（封套上标明投标人名称，并在骑缝处加盖投标人公章），并与投标文件一起封装。</w:t>
      </w:r>
    </w:p>
    <w:p>
      <w:pPr>
        <w:spacing w:before="60" w:after="60" w:line="360" w:lineRule="auto"/>
        <w:ind w:firstLine="480" w:firstLineChars="200"/>
        <w:rPr>
          <w:rStyle w:val="39"/>
          <w:rFonts w:hint="eastAsia" w:ascii="宋体" w:hAnsi="宋体" w:eastAsia="宋体" w:cs="宋体"/>
          <w:color w:val="auto"/>
          <w:kern w:val="24"/>
          <w:sz w:val="24"/>
        </w:rPr>
      </w:pPr>
      <w:r>
        <w:rPr>
          <w:rStyle w:val="39"/>
          <w:rFonts w:hint="eastAsia" w:ascii="宋体" w:hAnsi="宋体" w:eastAsia="宋体" w:cs="宋体"/>
          <w:color w:val="auto"/>
          <w:kern w:val="24"/>
          <w:sz w:val="24"/>
        </w:rPr>
        <w:t>8.9  递交投标文件后，投标人可在投标文件递交截止时间之前，以书面方式向采购人递交修改或撤回其投标文件的通知，该通知必须加盖投标人公章并经其法定代表人或授权代表人签章，密封并在包封的骑缝处须加盖投标人公章，在密封的状态下递交给采购人，否则该等通知将不会被接受。</w:t>
      </w:r>
    </w:p>
    <w:p>
      <w:pPr>
        <w:spacing w:before="60" w:after="60" w:line="360" w:lineRule="auto"/>
        <w:ind w:firstLine="482" w:firstLineChars="200"/>
        <w:rPr>
          <w:rStyle w:val="39"/>
          <w:rFonts w:hint="eastAsia" w:ascii="宋体" w:hAnsi="宋体" w:eastAsia="宋体" w:cs="宋体"/>
          <w:b/>
          <w:color w:val="auto"/>
          <w:kern w:val="24"/>
          <w:sz w:val="24"/>
        </w:rPr>
      </w:pPr>
      <w:r>
        <w:rPr>
          <w:rStyle w:val="39"/>
          <w:rFonts w:hint="eastAsia" w:ascii="宋体" w:hAnsi="宋体" w:eastAsia="宋体" w:cs="宋体"/>
          <w:b/>
          <w:color w:val="auto"/>
          <w:kern w:val="24"/>
          <w:sz w:val="24"/>
        </w:rPr>
        <w:t>注：除第五章“投标文件格式”有特别要求外，联合体投标的，本“8.投标文件的编制”所述“投标人名称”应填写联合体名称，“投标人公章”仅指联合体牵头方公章，“投标人的法定代表人或其委托代理人”仅指联合体牵头方的法定代表人或委托代理人。</w:t>
      </w:r>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9.投标语言文字及计量单位</w:t>
      </w:r>
    </w:p>
    <w:p>
      <w:pPr>
        <w:spacing w:before="120" w:after="120" w:line="360" w:lineRule="auto"/>
        <w:ind w:firstLine="480" w:firstLineChars="200"/>
        <w:rPr>
          <w:rStyle w:val="39"/>
          <w:rFonts w:hint="eastAsia" w:ascii="宋体" w:hAnsi="宋体" w:eastAsia="宋体" w:cs="宋体"/>
          <w:bCs/>
          <w:color w:val="auto"/>
          <w:sz w:val="24"/>
        </w:rPr>
      </w:pPr>
      <w:r>
        <w:rPr>
          <w:rStyle w:val="39"/>
          <w:rFonts w:hint="eastAsia" w:ascii="宋体" w:hAnsi="宋体" w:eastAsia="宋体" w:cs="宋体"/>
          <w:color w:val="auto"/>
          <w:sz w:val="24"/>
        </w:rPr>
        <w:t>9.1  投标人的投标文件以及投标人与采购人、采购代理机构就有关投标的所有往来函电统一使用中文（特别规定除外）。</w:t>
      </w:r>
    </w:p>
    <w:p>
      <w:pPr>
        <w:spacing w:before="120" w:after="120" w:line="360" w:lineRule="auto"/>
        <w:ind w:firstLine="480" w:firstLineChars="200"/>
        <w:rPr>
          <w:rStyle w:val="39"/>
          <w:rFonts w:hint="eastAsia" w:ascii="宋体" w:hAnsi="宋体" w:eastAsia="宋体" w:cs="宋体"/>
          <w:bCs/>
          <w:color w:val="auto"/>
          <w:sz w:val="24"/>
        </w:rPr>
      </w:pPr>
      <w:r>
        <w:rPr>
          <w:rStyle w:val="39"/>
          <w:rFonts w:hint="eastAsia" w:ascii="宋体" w:hAnsi="宋体" w:eastAsia="宋体" w:cs="宋体"/>
          <w:color w:val="auto"/>
          <w:sz w:val="24"/>
        </w:rPr>
        <w:t>9.2  对不同文字文本投标文件的解释发生异议的，以中文文本为准。</w:t>
      </w:r>
    </w:p>
    <w:p>
      <w:pPr>
        <w:spacing w:before="120" w:after="120" w:line="360" w:lineRule="auto"/>
        <w:ind w:firstLine="480" w:firstLineChars="200"/>
        <w:rPr>
          <w:rStyle w:val="39"/>
          <w:rFonts w:hint="eastAsia" w:ascii="宋体" w:hAnsi="宋体" w:eastAsia="宋体" w:cs="宋体"/>
          <w:bCs/>
          <w:color w:val="auto"/>
          <w:sz w:val="24"/>
        </w:rPr>
      </w:pPr>
      <w:r>
        <w:rPr>
          <w:rStyle w:val="39"/>
          <w:rFonts w:hint="eastAsia" w:ascii="宋体" w:hAnsi="宋体" w:eastAsia="宋体" w:cs="宋体"/>
          <w:color w:val="auto"/>
          <w:sz w:val="24"/>
        </w:rPr>
        <w:t>9.3  投标文件使用的计量单位除招标文件中有特殊规定外，一律使用中华人民共和国法定计量单位。</w:t>
      </w:r>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10.投标文件的组成</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10.1 投标人编写的投标文件应至少包括下列各部分，各部分的具体要求详见本须知第10.2条至第10.4条：</w:t>
      </w:r>
    </w:p>
    <w:p>
      <w:pPr>
        <w:spacing w:before="120" w:after="120" w:line="360" w:lineRule="auto"/>
        <w:ind w:firstLine="482" w:firstLineChars="200"/>
        <w:rPr>
          <w:rStyle w:val="39"/>
          <w:rFonts w:hint="eastAsia" w:ascii="宋体" w:hAnsi="宋体" w:eastAsia="宋体" w:cs="宋体"/>
          <w:color w:val="auto"/>
          <w:sz w:val="24"/>
        </w:rPr>
      </w:pPr>
      <w:r>
        <w:rPr>
          <w:rStyle w:val="39"/>
          <w:rFonts w:hint="eastAsia" w:ascii="宋体" w:hAnsi="宋体" w:eastAsia="宋体" w:cs="宋体"/>
          <w:b/>
          <w:bCs/>
          <w:color w:val="auto"/>
          <w:sz w:val="24"/>
        </w:rPr>
        <w:t>投标文件包括报价文件、商务文件、技术文件分别装订成册</w:t>
      </w:r>
      <w:r>
        <w:rPr>
          <w:rStyle w:val="39"/>
          <w:rFonts w:hint="eastAsia" w:ascii="宋体" w:hAnsi="宋体" w:eastAsia="宋体" w:cs="宋体"/>
          <w:color w:val="auto"/>
          <w:sz w:val="24"/>
        </w:rPr>
        <w:t>。投标人应按下列说明编写和提交。特别注意报价不得出现在技术文件中。应递交的有关文件如未特别注明为原件的，可提交复印件。</w:t>
      </w:r>
    </w:p>
    <w:p>
      <w:pPr>
        <w:spacing w:before="120" w:after="120" w:line="360" w:lineRule="auto"/>
        <w:ind w:firstLine="482" w:firstLineChars="200"/>
        <w:rPr>
          <w:rStyle w:val="39"/>
          <w:rFonts w:hint="eastAsia" w:ascii="宋体" w:hAnsi="宋体" w:eastAsia="宋体" w:cs="宋体"/>
          <w:b/>
          <w:bCs/>
          <w:color w:val="auto"/>
          <w:sz w:val="24"/>
        </w:rPr>
      </w:pPr>
      <w:r>
        <w:rPr>
          <w:rStyle w:val="39"/>
          <w:rFonts w:hint="eastAsia" w:ascii="宋体" w:hAnsi="宋体" w:eastAsia="宋体" w:cs="宋体"/>
          <w:b/>
          <w:bCs/>
          <w:color w:val="auto"/>
          <w:sz w:val="24"/>
        </w:rPr>
        <w:t>10.1报价文件</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 xml:space="preserve">报价文件包括： </w:t>
      </w:r>
    </w:p>
    <w:p>
      <w:pPr>
        <w:pStyle w:val="61"/>
        <w:numPr>
          <w:ilvl w:val="0"/>
          <w:numId w:val="2"/>
        </w:numPr>
        <w:spacing w:before="120" w:after="120" w:line="360" w:lineRule="auto"/>
        <w:ind w:firstLineChars="0"/>
        <w:rPr>
          <w:rStyle w:val="39"/>
          <w:rFonts w:hint="eastAsia" w:ascii="宋体" w:hAnsi="宋体" w:eastAsia="宋体" w:cs="宋体"/>
          <w:color w:val="auto"/>
          <w:sz w:val="24"/>
        </w:rPr>
      </w:pPr>
      <w:r>
        <w:rPr>
          <w:rStyle w:val="39"/>
          <w:rFonts w:hint="eastAsia" w:ascii="宋体" w:hAnsi="宋体" w:eastAsia="宋体" w:cs="宋体"/>
          <w:color w:val="auto"/>
          <w:sz w:val="24"/>
        </w:rPr>
        <w:t>投标函：按第五章 报价文件“一、投标函”的要求填写。</w:t>
      </w:r>
    </w:p>
    <w:p>
      <w:pPr>
        <w:pStyle w:val="61"/>
        <w:numPr>
          <w:ilvl w:val="0"/>
          <w:numId w:val="2"/>
        </w:numPr>
        <w:spacing w:before="120" w:after="120" w:line="360" w:lineRule="auto"/>
        <w:ind w:firstLineChars="0"/>
        <w:rPr>
          <w:rStyle w:val="39"/>
          <w:rFonts w:hint="eastAsia" w:ascii="宋体" w:hAnsi="宋体" w:eastAsia="宋体" w:cs="宋体"/>
          <w:color w:val="auto"/>
          <w:sz w:val="24"/>
        </w:rPr>
      </w:pPr>
      <w:r>
        <w:rPr>
          <w:rStyle w:val="39"/>
          <w:rFonts w:hint="eastAsia" w:ascii="宋体" w:hAnsi="宋体" w:eastAsia="宋体" w:cs="宋体"/>
          <w:color w:val="auto"/>
          <w:sz w:val="24"/>
          <w:szCs w:val="24"/>
        </w:rPr>
        <w:t>报价一览表</w:t>
      </w:r>
      <w:r>
        <w:rPr>
          <w:rStyle w:val="39"/>
          <w:rFonts w:hint="eastAsia" w:ascii="宋体" w:hAnsi="宋体" w:eastAsia="宋体" w:cs="宋体"/>
          <w:color w:val="auto"/>
          <w:sz w:val="24"/>
        </w:rPr>
        <w:t>：按第五章 报价文件“二、</w:t>
      </w:r>
      <w:r>
        <w:rPr>
          <w:rStyle w:val="39"/>
          <w:rFonts w:hint="eastAsia" w:ascii="宋体" w:hAnsi="宋体" w:eastAsia="宋体" w:cs="宋体"/>
          <w:color w:val="auto"/>
          <w:sz w:val="24"/>
          <w:szCs w:val="24"/>
        </w:rPr>
        <w:t>报价一览表</w:t>
      </w:r>
      <w:r>
        <w:rPr>
          <w:rStyle w:val="39"/>
          <w:rFonts w:hint="eastAsia" w:ascii="宋体" w:hAnsi="宋体" w:eastAsia="宋体" w:cs="宋体"/>
          <w:color w:val="auto"/>
          <w:sz w:val="24"/>
        </w:rPr>
        <w:t>”的要求填写。</w:t>
      </w:r>
    </w:p>
    <w:p>
      <w:pPr>
        <w:spacing w:before="120" w:after="120" w:line="360" w:lineRule="auto"/>
        <w:ind w:firstLine="482" w:firstLineChars="200"/>
        <w:rPr>
          <w:rStyle w:val="39"/>
          <w:rFonts w:hint="eastAsia" w:ascii="宋体" w:hAnsi="宋体" w:eastAsia="宋体" w:cs="宋体"/>
          <w:b/>
          <w:bCs/>
          <w:color w:val="auto"/>
          <w:sz w:val="24"/>
        </w:rPr>
      </w:pPr>
      <w:r>
        <w:rPr>
          <w:rStyle w:val="39"/>
          <w:rFonts w:hint="eastAsia" w:ascii="宋体" w:hAnsi="宋体" w:eastAsia="宋体" w:cs="宋体"/>
          <w:b/>
          <w:bCs/>
          <w:color w:val="auto"/>
          <w:sz w:val="24"/>
        </w:rPr>
        <w:t>10.2商务文件</w:t>
      </w:r>
    </w:p>
    <w:p>
      <w:pPr>
        <w:pStyle w:val="30"/>
        <w:spacing w:line="360" w:lineRule="auto"/>
        <w:ind w:firstLine="423" w:firstLineChars="163"/>
        <w:rPr>
          <w:rFonts w:hint="eastAsia" w:ascii="宋体" w:hAnsi="宋体" w:eastAsia="宋体" w:cs="宋体"/>
          <w:color w:val="auto"/>
        </w:rPr>
      </w:pPr>
      <w:bookmarkStart w:id="270" w:name="_Hlk482039483"/>
      <w:r>
        <w:rPr>
          <w:rFonts w:hint="eastAsia" w:ascii="宋体" w:hAnsi="宋体" w:eastAsia="宋体" w:cs="宋体"/>
          <w:color w:val="auto"/>
        </w:rPr>
        <w:t>商务文件包括：</w:t>
      </w:r>
    </w:p>
    <w:p>
      <w:pPr>
        <w:pStyle w:val="30"/>
        <w:numPr>
          <w:ilvl w:val="0"/>
          <w:numId w:val="3"/>
        </w:numPr>
        <w:spacing w:line="360" w:lineRule="auto"/>
        <w:rPr>
          <w:rFonts w:hint="eastAsia" w:ascii="宋体" w:hAnsi="宋体" w:eastAsia="宋体" w:cs="宋体"/>
          <w:color w:val="auto"/>
        </w:rPr>
      </w:pPr>
      <w:r>
        <w:rPr>
          <w:rFonts w:hint="eastAsia" w:ascii="宋体" w:hAnsi="宋体" w:eastAsia="宋体" w:cs="宋体"/>
          <w:color w:val="auto"/>
        </w:rPr>
        <w:t xml:space="preserve">资格条件确认函（格式）； </w:t>
      </w:r>
    </w:p>
    <w:p>
      <w:pPr>
        <w:pStyle w:val="30"/>
        <w:spacing w:line="360" w:lineRule="auto"/>
        <w:ind w:firstLine="423" w:firstLineChars="163"/>
        <w:rPr>
          <w:rStyle w:val="39"/>
          <w:rFonts w:hint="eastAsia" w:ascii="宋体" w:hAnsi="宋体" w:eastAsia="宋体" w:cs="宋体"/>
          <w:color w:val="auto"/>
        </w:rPr>
      </w:pPr>
      <w:r>
        <w:rPr>
          <w:rFonts w:hint="eastAsia" w:ascii="宋体" w:hAnsi="宋体" w:eastAsia="宋体" w:cs="宋体"/>
          <w:color w:val="auto"/>
        </w:rPr>
        <w:t>（2）</w:t>
      </w:r>
      <w:r>
        <w:rPr>
          <w:rStyle w:val="39"/>
          <w:rFonts w:hint="eastAsia" w:ascii="宋体" w:hAnsi="宋体" w:eastAsia="宋体" w:cs="宋体"/>
          <w:color w:val="auto"/>
        </w:rPr>
        <w:t>法定代表人身份证明（格式）；</w:t>
      </w:r>
    </w:p>
    <w:p>
      <w:pPr>
        <w:pStyle w:val="30"/>
        <w:spacing w:line="360" w:lineRule="auto"/>
        <w:ind w:firstLine="423" w:firstLineChars="163"/>
        <w:rPr>
          <w:rStyle w:val="39"/>
          <w:rFonts w:hint="eastAsia" w:ascii="宋体" w:hAnsi="宋体" w:eastAsia="宋体" w:cs="宋体"/>
          <w:color w:val="auto"/>
        </w:rPr>
      </w:pPr>
      <w:r>
        <w:rPr>
          <w:rStyle w:val="39"/>
          <w:rFonts w:hint="eastAsia" w:ascii="宋体" w:hAnsi="宋体" w:eastAsia="宋体" w:cs="宋体"/>
          <w:color w:val="auto"/>
        </w:rPr>
        <w:t xml:space="preserve">（3）法定代表人授权委托书 （格式）；（如为代理人参加投标，则需提供）； </w:t>
      </w:r>
    </w:p>
    <w:p>
      <w:pPr>
        <w:pStyle w:val="30"/>
        <w:spacing w:line="360" w:lineRule="auto"/>
        <w:ind w:firstLine="423" w:firstLineChars="163"/>
        <w:rPr>
          <w:rStyle w:val="39"/>
          <w:rFonts w:hint="eastAsia" w:ascii="宋体" w:hAnsi="宋体" w:eastAsia="宋体" w:cs="宋体"/>
          <w:color w:val="auto"/>
        </w:rPr>
      </w:pPr>
      <w:r>
        <w:rPr>
          <w:rStyle w:val="39"/>
          <w:rFonts w:hint="eastAsia" w:ascii="宋体" w:hAnsi="宋体" w:eastAsia="宋体" w:cs="宋体"/>
          <w:color w:val="auto"/>
        </w:rPr>
        <w:t>（4）联合体协议书（格式）；（如为联合体投标，则需提供）；</w:t>
      </w:r>
    </w:p>
    <w:p>
      <w:pPr>
        <w:pStyle w:val="30"/>
        <w:spacing w:line="360" w:lineRule="auto"/>
        <w:ind w:firstLine="423" w:firstLineChars="163"/>
        <w:rPr>
          <w:rStyle w:val="39"/>
          <w:rFonts w:hint="eastAsia" w:ascii="宋体" w:hAnsi="宋体" w:eastAsia="宋体" w:cs="宋体"/>
          <w:color w:val="auto"/>
        </w:rPr>
      </w:pPr>
      <w:r>
        <w:rPr>
          <w:rStyle w:val="39"/>
          <w:rFonts w:hint="eastAsia" w:ascii="宋体" w:hAnsi="宋体" w:eastAsia="宋体" w:cs="宋体"/>
          <w:color w:val="auto"/>
        </w:rPr>
        <w:t>（5）企业实力、业绩及企业信誉证明材料</w:t>
      </w:r>
    </w:p>
    <w:p>
      <w:pPr>
        <w:pStyle w:val="30"/>
        <w:spacing w:line="360" w:lineRule="auto"/>
        <w:ind w:firstLine="423" w:firstLineChars="163"/>
        <w:rPr>
          <w:rStyle w:val="39"/>
          <w:rFonts w:hint="eastAsia" w:ascii="宋体" w:hAnsi="宋体" w:eastAsia="宋体" w:cs="宋体"/>
          <w:color w:val="auto"/>
        </w:rPr>
      </w:pPr>
      <w:r>
        <w:rPr>
          <w:rStyle w:val="39"/>
          <w:rFonts w:hint="eastAsia" w:ascii="宋体" w:hAnsi="宋体" w:eastAsia="宋体" w:cs="宋体"/>
          <w:color w:val="auto"/>
        </w:rPr>
        <w:t>（6）投标人认为需要提供的其他资料。</w:t>
      </w:r>
      <w:bookmarkEnd w:id="270"/>
    </w:p>
    <w:p>
      <w:pPr>
        <w:spacing w:before="50" w:after="50" w:line="360" w:lineRule="auto"/>
        <w:ind w:firstLine="482" w:firstLineChars="200"/>
        <w:rPr>
          <w:rStyle w:val="39"/>
          <w:rFonts w:hint="eastAsia" w:ascii="宋体" w:hAnsi="宋体" w:eastAsia="宋体" w:cs="宋体"/>
          <w:b/>
          <w:bCs/>
          <w:color w:val="auto"/>
          <w:sz w:val="24"/>
        </w:rPr>
      </w:pPr>
      <w:r>
        <w:rPr>
          <w:rStyle w:val="39"/>
          <w:rFonts w:hint="eastAsia" w:ascii="宋体" w:hAnsi="宋体" w:eastAsia="宋体" w:cs="宋体"/>
          <w:b/>
          <w:bCs/>
          <w:color w:val="auto"/>
          <w:sz w:val="24"/>
        </w:rPr>
        <w:t>10.3 技术文件</w:t>
      </w:r>
    </w:p>
    <w:p>
      <w:pPr>
        <w:spacing w:before="120" w:after="120" w:line="360" w:lineRule="auto"/>
        <w:ind w:firstLine="420" w:firstLineChars="175"/>
        <w:rPr>
          <w:rStyle w:val="39"/>
          <w:rFonts w:hint="eastAsia" w:ascii="宋体" w:hAnsi="宋体" w:eastAsia="宋体" w:cs="宋体"/>
          <w:color w:val="auto"/>
          <w:sz w:val="24"/>
        </w:rPr>
      </w:pPr>
      <w:r>
        <w:rPr>
          <w:rStyle w:val="39"/>
          <w:rFonts w:hint="eastAsia" w:ascii="宋体" w:hAnsi="宋体" w:eastAsia="宋体" w:cs="宋体"/>
          <w:color w:val="auto"/>
          <w:sz w:val="24"/>
        </w:rPr>
        <w:t>（1）投融资方案：格式自拟</w:t>
      </w:r>
    </w:p>
    <w:p>
      <w:pPr>
        <w:spacing w:before="120" w:after="120" w:line="360" w:lineRule="auto"/>
        <w:ind w:firstLine="420" w:firstLineChars="175"/>
        <w:rPr>
          <w:rStyle w:val="39"/>
          <w:rFonts w:hint="eastAsia" w:ascii="宋体" w:hAnsi="宋体" w:eastAsia="宋体" w:cs="宋体"/>
          <w:color w:val="auto"/>
          <w:sz w:val="24"/>
        </w:rPr>
      </w:pPr>
      <w:r>
        <w:rPr>
          <w:rStyle w:val="39"/>
          <w:rFonts w:hint="eastAsia" w:ascii="宋体" w:hAnsi="宋体" w:eastAsia="宋体" w:cs="宋体"/>
          <w:color w:val="auto"/>
          <w:sz w:val="24"/>
        </w:rPr>
        <w:t>（2）项目公司组建计划：格式自拟</w:t>
      </w:r>
    </w:p>
    <w:p>
      <w:pPr>
        <w:spacing w:before="120" w:after="120" w:line="360" w:lineRule="auto"/>
        <w:ind w:firstLine="420" w:firstLineChars="175"/>
        <w:rPr>
          <w:rStyle w:val="39"/>
          <w:rFonts w:hint="eastAsia" w:ascii="宋体" w:hAnsi="宋体" w:eastAsia="宋体" w:cs="宋体"/>
          <w:color w:val="auto"/>
          <w:sz w:val="24"/>
        </w:rPr>
      </w:pPr>
      <w:r>
        <w:rPr>
          <w:rStyle w:val="39"/>
          <w:rFonts w:hint="eastAsia" w:ascii="宋体" w:hAnsi="宋体" w:eastAsia="宋体" w:cs="宋体"/>
          <w:color w:val="auto"/>
          <w:sz w:val="24"/>
        </w:rPr>
        <w:t xml:space="preserve">（3）项目建设管理方案：格式自拟  </w:t>
      </w:r>
    </w:p>
    <w:p>
      <w:pPr>
        <w:pStyle w:val="2"/>
        <w:ind w:firstLine="480" w:firstLineChars="200"/>
        <w:rPr>
          <w:rStyle w:val="39"/>
          <w:rFonts w:hint="eastAsia" w:ascii="宋体" w:hAnsi="宋体" w:eastAsia="宋体" w:cs="宋体"/>
          <w:color w:val="auto"/>
        </w:rPr>
      </w:pPr>
      <w:r>
        <w:rPr>
          <w:rStyle w:val="39"/>
          <w:rFonts w:hint="eastAsia" w:ascii="宋体" w:hAnsi="宋体" w:eastAsia="宋体" w:cs="宋体"/>
          <w:color w:val="auto"/>
        </w:rPr>
        <w:t>（4）环境保护方案：格式自拟</w:t>
      </w:r>
    </w:p>
    <w:p>
      <w:pPr>
        <w:spacing w:before="120" w:after="120" w:line="360" w:lineRule="auto"/>
        <w:ind w:firstLine="420" w:firstLineChars="175"/>
        <w:rPr>
          <w:rStyle w:val="39"/>
          <w:rFonts w:hint="eastAsia" w:ascii="宋体" w:hAnsi="宋体" w:eastAsia="宋体" w:cs="宋体"/>
          <w:color w:val="auto"/>
          <w:sz w:val="24"/>
        </w:rPr>
      </w:pPr>
      <w:r>
        <w:rPr>
          <w:rStyle w:val="39"/>
          <w:rFonts w:hint="eastAsia" w:ascii="宋体" w:hAnsi="宋体" w:eastAsia="宋体" w:cs="宋体"/>
          <w:color w:val="auto"/>
          <w:sz w:val="24"/>
        </w:rPr>
        <w:t xml:space="preserve">（5）项目运营维护方案：格式自拟  </w:t>
      </w:r>
    </w:p>
    <w:p>
      <w:pPr>
        <w:spacing w:before="120" w:after="120" w:line="360" w:lineRule="auto"/>
        <w:ind w:firstLine="420" w:firstLineChars="175"/>
        <w:rPr>
          <w:rStyle w:val="39"/>
          <w:rFonts w:hint="eastAsia" w:ascii="宋体" w:hAnsi="宋体" w:eastAsia="宋体" w:cs="宋体"/>
          <w:color w:val="auto"/>
          <w:sz w:val="24"/>
        </w:rPr>
      </w:pPr>
      <w:r>
        <w:rPr>
          <w:rStyle w:val="39"/>
          <w:rFonts w:hint="eastAsia" w:ascii="宋体" w:hAnsi="宋体" w:eastAsia="宋体" w:cs="宋体"/>
          <w:color w:val="auto"/>
          <w:sz w:val="24"/>
        </w:rPr>
        <w:t xml:space="preserve">（7）项目移交方案：格式自拟 </w:t>
      </w:r>
    </w:p>
    <w:p>
      <w:pPr>
        <w:spacing w:before="120" w:after="120" w:line="360" w:lineRule="auto"/>
        <w:ind w:firstLine="420" w:firstLineChars="175"/>
        <w:rPr>
          <w:rFonts w:hint="eastAsia" w:ascii="宋体" w:hAnsi="宋体" w:eastAsia="宋体" w:cs="宋体"/>
          <w:color w:val="auto"/>
          <w:sz w:val="24"/>
        </w:rPr>
      </w:pPr>
      <w:r>
        <w:rPr>
          <w:rStyle w:val="39"/>
          <w:rFonts w:hint="eastAsia" w:ascii="宋体" w:hAnsi="宋体" w:eastAsia="宋体" w:cs="宋体"/>
          <w:color w:val="auto"/>
          <w:sz w:val="24"/>
        </w:rPr>
        <w:t>（7）投标人认为需要提供的其他资料。</w:t>
      </w:r>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11.投标报价</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11.1  投标人可按第五章“投标文件格式”中的“报价一览表”要求，报出完整且唯一报价，附带有条件的报价将不予接受。</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11.2 请注意有关限价的说明：投标人提交的报价一览表中，各报价项及其分项中任意一项报价有超过其对应报价最高限额的，投标文件将做无效响应处理。</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11.3 投标报价为在采购人指定地点提交服务成果所需的全部费用。</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11.4 不论投标结果如何，投标人均应自行承担与编制和递交投标文件有关的全部费用。</w:t>
      </w:r>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12.投标有效期</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12.1  在投标人须知前附表规定的投标有效期内，投标人不得要求撤销或修改其投标文件。</w:t>
      </w:r>
    </w:p>
    <w:p>
      <w:pPr>
        <w:spacing w:before="50" w:after="50" w:line="360" w:lineRule="auto"/>
        <w:ind w:firstLine="480" w:firstLineChars="200"/>
        <w:rPr>
          <w:rStyle w:val="39"/>
          <w:rFonts w:hint="eastAsia" w:ascii="宋体" w:hAnsi="宋体" w:eastAsia="宋体" w:cs="宋体"/>
          <w:bCs/>
          <w:color w:val="auto"/>
          <w:sz w:val="24"/>
        </w:rPr>
      </w:pPr>
      <w:r>
        <w:rPr>
          <w:rStyle w:val="39"/>
          <w:rFonts w:hint="eastAsia" w:ascii="宋体" w:hAnsi="宋体" w:eastAsia="宋体" w:cs="宋体"/>
          <w:color w:val="auto"/>
          <w:sz w:val="24"/>
        </w:rPr>
        <w:t>12.2  在特殊情况下，采购人或采购代理机构可与投标人协商延长投标有效期，这种要求与答复均应使用书面形式。</w:t>
      </w:r>
    </w:p>
    <w:p>
      <w:pPr>
        <w:spacing w:before="120" w:after="120" w:line="360" w:lineRule="auto"/>
        <w:jc w:val="center"/>
        <w:rPr>
          <w:rStyle w:val="39"/>
          <w:rFonts w:hint="eastAsia" w:ascii="宋体" w:hAnsi="宋体" w:eastAsia="宋体" w:cs="宋体"/>
          <w:b/>
          <w:bCs/>
          <w:color w:val="auto"/>
          <w:sz w:val="24"/>
        </w:rPr>
      </w:pPr>
    </w:p>
    <w:p>
      <w:pPr>
        <w:pStyle w:val="5"/>
        <w:rPr>
          <w:rStyle w:val="39"/>
          <w:rFonts w:hint="eastAsia" w:ascii="宋体" w:hAnsi="宋体" w:eastAsia="宋体" w:cs="宋体"/>
          <w:color w:val="auto"/>
          <w:sz w:val="32"/>
          <w:szCs w:val="32"/>
        </w:rPr>
      </w:pPr>
      <w:bookmarkStart w:id="271" w:name="_Toc23223"/>
      <w:bookmarkStart w:id="272" w:name="_Toc22356"/>
      <w:bookmarkStart w:id="273" w:name="_Toc54622556"/>
      <w:bookmarkStart w:id="274" w:name="_Toc8385"/>
      <w:r>
        <w:rPr>
          <w:rStyle w:val="39"/>
          <w:rFonts w:hint="eastAsia" w:ascii="宋体" w:hAnsi="宋体" w:eastAsia="宋体" w:cs="宋体"/>
          <w:color w:val="auto"/>
          <w:sz w:val="32"/>
          <w:szCs w:val="32"/>
        </w:rPr>
        <w:t>四、投标</w:t>
      </w:r>
      <w:bookmarkEnd w:id="271"/>
      <w:bookmarkEnd w:id="272"/>
      <w:bookmarkEnd w:id="273"/>
      <w:bookmarkEnd w:id="274"/>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13.投标文件的密封</w:t>
      </w:r>
    </w:p>
    <w:p>
      <w:pPr>
        <w:spacing w:before="60" w:after="6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13.1 投标人应将投标正、副本文件分别进行密封包装，包括1份电子版</w:t>
      </w:r>
      <w:r>
        <w:rPr>
          <w:rStyle w:val="39"/>
          <w:rFonts w:hint="eastAsia" w:ascii="宋体" w:hAnsi="宋体" w:eastAsia="宋体" w:cs="宋体"/>
          <w:b/>
          <w:bCs/>
          <w:color w:val="auto"/>
          <w:sz w:val="24"/>
        </w:rPr>
        <w:t>（以光盘或U盘形式）</w:t>
      </w:r>
      <w:r>
        <w:rPr>
          <w:rStyle w:val="39"/>
          <w:rFonts w:hint="eastAsia" w:ascii="宋体" w:hAnsi="宋体" w:eastAsia="宋体" w:cs="宋体"/>
          <w:color w:val="auto"/>
          <w:sz w:val="24"/>
        </w:rPr>
        <w:t>，再密封在一个外层密封袋</w:t>
      </w:r>
      <w:r>
        <w:rPr>
          <w:rStyle w:val="39"/>
          <w:rFonts w:hint="eastAsia" w:ascii="宋体" w:hAnsi="宋体" w:cs="宋体"/>
          <w:color w:val="auto"/>
          <w:sz w:val="24"/>
          <w:lang w:eastAsia="zh-CN"/>
        </w:rPr>
        <w:t>，</w:t>
      </w:r>
      <w:r>
        <w:rPr>
          <w:rStyle w:val="39"/>
          <w:rFonts w:hint="eastAsia" w:ascii="宋体" w:hAnsi="宋体" w:eastAsia="宋体" w:cs="宋体"/>
          <w:color w:val="auto"/>
          <w:sz w:val="24"/>
        </w:rPr>
        <w:t>提交投标文件时应为一个密封袋。</w:t>
      </w:r>
    </w:p>
    <w:p>
      <w:pPr>
        <w:spacing w:before="60" w:after="6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13.2密封包封套上应清楚</w:t>
      </w:r>
      <w:r>
        <w:rPr>
          <w:rStyle w:val="39"/>
          <w:rFonts w:hint="eastAsia" w:ascii="宋体" w:hAnsi="宋体" w:eastAsia="宋体" w:cs="宋体"/>
          <w:b/>
          <w:bCs/>
          <w:color w:val="auto"/>
          <w:sz w:val="24"/>
        </w:rPr>
        <w:t>标记“报价文件”或“商务文件”或“技术文件”字样</w:t>
      </w:r>
      <w:r>
        <w:rPr>
          <w:rStyle w:val="39"/>
          <w:rFonts w:hint="eastAsia" w:ascii="宋体" w:hAnsi="宋体" w:eastAsia="宋体" w:cs="宋体"/>
          <w:color w:val="auto"/>
          <w:sz w:val="24"/>
        </w:rPr>
        <w:t>，并应清楚标明项目名称、项目编号、采购人名称和投标人名称（独立投标人名称或联合体名称），且注明“</w:t>
      </w:r>
      <w:r>
        <w:rPr>
          <w:rStyle w:val="39"/>
          <w:rFonts w:hint="eastAsia" w:ascii="宋体" w:hAnsi="宋体" w:eastAsia="宋体" w:cs="宋体"/>
          <w:color w:val="auto"/>
          <w:kern w:val="24"/>
          <w:sz w:val="24"/>
        </w:rPr>
        <w:t>在投标截止时间</w:t>
      </w:r>
      <w:r>
        <w:rPr>
          <w:rStyle w:val="39"/>
          <w:rFonts w:hint="eastAsia" w:ascii="宋体" w:hAnsi="宋体" w:eastAsia="宋体" w:cs="宋体"/>
          <w:color w:val="auto"/>
          <w:kern w:val="24"/>
          <w:sz w:val="24"/>
          <w:u w:val="thick"/>
        </w:rPr>
        <w:t xml:space="preserve">   </w:t>
      </w:r>
      <w:r>
        <w:rPr>
          <w:rStyle w:val="39"/>
          <w:rFonts w:hint="eastAsia" w:ascii="宋体" w:hAnsi="宋体" w:eastAsia="宋体" w:cs="宋体"/>
          <w:color w:val="auto"/>
          <w:kern w:val="24"/>
          <w:sz w:val="24"/>
        </w:rPr>
        <w:t>年</w:t>
      </w:r>
      <w:r>
        <w:rPr>
          <w:rStyle w:val="39"/>
          <w:rFonts w:hint="eastAsia" w:ascii="宋体" w:hAnsi="宋体" w:eastAsia="宋体" w:cs="宋体"/>
          <w:color w:val="auto"/>
          <w:kern w:val="24"/>
          <w:sz w:val="24"/>
          <w:u w:val="thick"/>
        </w:rPr>
        <w:t xml:space="preserve">   </w:t>
      </w:r>
      <w:r>
        <w:rPr>
          <w:rStyle w:val="39"/>
          <w:rFonts w:hint="eastAsia" w:ascii="宋体" w:hAnsi="宋体" w:eastAsia="宋体" w:cs="宋体"/>
          <w:color w:val="auto"/>
          <w:kern w:val="24"/>
          <w:sz w:val="24"/>
        </w:rPr>
        <w:t>月</w:t>
      </w:r>
      <w:r>
        <w:rPr>
          <w:rStyle w:val="39"/>
          <w:rFonts w:hint="eastAsia" w:ascii="宋体" w:hAnsi="宋体" w:eastAsia="宋体" w:cs="宋体"/>
          <w:color w:val="auto"/>
          <w:kern w:val="24"/>
          <w:sz w:val="24"/>
          <w:u w:val="thick"/>
        </w:rPr>
        <w:t xml:space="preserve">   </w:t>
      </w:r>
      <w:r>
        <w:rPr>
          <w:rStyle w:val="39"/>
          <w:rFonts w:hint="eastAsia" w:ascii="宋体" w:hAnsi="宋体" w:eastAsia="宋体" w:cs="宋体"/>
          <w:color w:val="auto"/>
          <w:kern w:val="24"/>
          <w:sz w:val="24"/>
        </w:rPr>
        <w:t>日</w:t>
      </w:r>
      <w:r>
        <w:rPr>
          <w:rStyle w:val="39"/>
          <w:rFonts w:hint="eastAsia" w:ascii="宋体" w:hAnsi="宋体" w:eastAsia="宋体" w:cs="宋体"/>
          <w:color w:val="auto"/>
          <w:kern w:val="24"/>
          <w:sz w:val="24"/>
          <w:u w:val="thick"/>
        </w:rPr>
        <w:t xml:space="preserve">   </w:t>
      </w:r>
      <w:r>
        <w:rPr>
          <w:rStyle w:val="39"/>
          <w:rFonts w:hint="eastAsia" w:ascii="宋体" w:hAnsi="宋体" w:eastAsia="宋体" w:cs="宋体"/>
          <w:color w:val="auto"/>
          <w:kern w:val="24"/>
          <w:sz w:val="24"/>
        </w:rPr>
        <w:t>时</w:t>
      </w:r>
      <w:r>
        <w:rPr>
          <w:rStyle w:val="39"/>
          <w:rFonts w:hint="eastAsia" w:ascii="宋体" w:hAnsi="宋体" w:eastAsia="宋体" w:cs="宋体"/>
          <w:color w:val="auto"/>
          <w:kern w:val="24"/>
          <w:sz w:val="24"/>
          <w:u w:val="thick"/>
        </w:rPr>
        <w:t xml:space="preserve">  </w:t>
      </w:r>
      <w:r>
        <w:rPr>
          <w:rStyle w:val="39"/>
          <w:rFonts w:hint="eastAsia" w:ascii="宋体" w:hAnsi="宋体" w:eastAsia="宋体" w:cs="宋体"/>
          <w:color w:val="auto"/>
          <w:kern w:val="24"/>
          <w:sz w:val="24"/>
        </w:rPr>
        <w:t>分之前不得启封</w:t>
      </w:r>
      <w:r>
        <w:rPr>
          <w:rStyle w:val="39"/>
          <w:rFonts w:hint="eastAsia" w:ascii="宋体" w:hAnsi="宋体" w:eastAsia="宋体" w:cs="宋体"/>
          <w:color w:val="auto"/>
          <w:sz w:val="24"/>
        </w:rPr>
        <w:t>”，包封的骑缝处加盖投标人公章（如为联合体则为牵头人公章），在未开封的状态下送达采购人规定地点；</w:t>
      </w:r>
    </w:p>
    <w:p>
      <w:pPr>
        <w:spacing w:before="60" w:after="6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13.3 递交投标文件后，投标人可在投标文件递交截止时间以前，以书面方式向采购人递交修改或撤回其投标文件的通知，该通知必须加盖投标人公章并经其法定代表人或委托代理人签章，密封并在包封的骑缝处须加盖投标人公章，在未开封的状态下递交给采购人，否则该等通知将不会被接受。</w:t>
      </w:r>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14.投标文件的递交</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14.1  投标人投标截止时间：见投标人须知前附表。</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14.2  投标人递交投标文件地点：见投标人须知前附表。</w:t>
      </w:r>
    </w:p>
    <w:p>
      <w:pPr>
        <w:pStyle w:val="5"/>
        <w:rPr>
          <w:rStyle w:val="39"/>
          <w:rFonts w:hint="eastAsia" w:ascii="宋体" w:hAnsi="宋体" w:eastAsia="宋体" w:cs="宋体"/>
          <w:color w:val="auto"/>
          <w:sz w:val="32"/>
          <w:szCs w:val="32"/>
        </w:rPr>
      </w:pPr>
      <w:bookmarkStart w:id="275" w:name="_Toc12557"/>
      <w:bookmarkStart w:id="276" w:name="_Toc54622557"/>
      <w:bookmarkStart w:id="277" w:name="_Toc8287"/>
      <w:bookmarkStart w:id="278" w:name="_Toc32607"/>
      <w:r>
        <w:rPr>
          <w:rStyle w:val="39"/>
          <w:rFonts w:hint="eastAsia" w:ascii="宋体" w:hAnsi="宋体" w:eastAsia="宋体" w:cs="宋体"/>
          <w:color w:val="auto"/>
          <w:sz w:val="32"/>
          <w:szCs w:val="32"/>
        </w:rPr>
        <w:t>五、开标与评标</w:t>
      </w:r>
      <w:bookmarkEnd w:id="275"/>
      <w:bookmarkEnd w:id="276"/>
      <w:bookmarkEnd w:id="277"/>
      <w:bookmarkEnd w:id="278"/>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15.开标</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15.1  采购代理机构将在本章第15.1项规定的投标截止时间（即开标时间）和投标人须知前附表规定的地点公开开标，投标人的法定代表人或其委托代理人应准时参加并签到。如未按时签到，由此产生的后果由投标人自行负责。如以邮寄方式提交的,投标人可不到现场开标。</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15.2  开标程序：</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（1）开标会由采购代理机构主持，主持人宣布开标会议开始；</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（2）公布在投标截止时间前递交投标文件的投标人名称，并点名确认投标人是否派人到场；</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（3）宣布开标人、唱标人、记录人、监标人（由第三方监督单位担任）等有关人员姓名；</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（4）投标人代表按本章第14.1项的规定交叉检查投标文件的密封情况，并签字确认；</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5）按各投标人递交投标文件时间的先后顺序当众拆封投标文件，由唱标人宣读投标人名称、项目名称、投标文件正副本数量、投标报价等以及采购代理机构认为有必要宣读的其他内容，记录人负责做开标记录；</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（6）相关人员在开标记录上签字确认；</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（7）宣布评标期间的有关事项；</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（8）开标结束。</w:t>
      </w:r>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16.评标</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16.1  评标委员会：评标由依法组建的评标委员会负责。评标委员会由采购人代表和金融、财务、法务及相关技术等方面的专家组成。</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16.2  评标原则：评标活动遵循公平、公正、科学和择优的原则。</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16.3  评标方法：评标委员会按照投标人须知前附表和第四章“评标办法”规定的方法、评审因素和标准对投标文件进行评审。在评标中，不得改变第四章“评标办法”规定的方法、评审因素和标准；第四章“评标办法”没有规定的方法、评审因素和标准，不作为评标依据。</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 xml:space="preserve">16.4  </w:t>
      </w:r>
      <w:r>
        <w:rPr>
          <w:rStyle w:val="39"/>
          <w:rFonts w:hint="eastAsia" w:ascii="宋体" w:hAnsi="宋体" w:eastAsia="宋体" w:cs="宋体"/>
          <w:bCs/>
          <w:color w:val="auto"/>
          <w:sz w:val="24"/>
        </w:rPr>
        <w:t>评标程序：</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16.4.1  采购代理机构项目负责人宣读评标现场纪律要求，集中管理通讯工具，询问在场人员是否申请回避；</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17.4.2  采购代理机构项目负责人介绍项目概况及评标委员会组成情况（但不得发表影响评审的倾向性、歧视性言论），推选评标组长（原则上采购人不得担任评标组长）；</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17.4.3  评标委员会按分工开展评标工作：</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（1）投标文件初审。初审为符合性检查。</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符合性检查：依据招标文件的规定，从投标文件的有效性、完整性和对招标文件的投标程度进行审查，以确定是否对招标文件的要求和条件作出投标。</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2）澄清有关问题。对投标文件中含义不明确、同类问题表述不一致或者有明显文字和计算错误的内容，评标委员会可以书面形式（应当由评标委员会专家签字）要求投标人作出必要的澄清、说明或者纠正。投标人的澄清、说明或者纠正应当采用书面形式，由法定代表人或其委托代理人签字或盖章确认，且不得超出投标文件的范围或者改变投标文件的实质性内容。该澄清、说明或者纠正是投标文件的组成部分。</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（3）比较与评价。按招标文件中规定的评标方法和标准，对资格性检查和符合性检查合格的投标文件进行商务和技术评估，综合比较与评价。</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（4）按顺序排列中标候选投标人，并编写评标报告，向采购人提交中标候选投标人排序名单。</w:t>
      </w:r>
    </w:p>
    <w:p>
      <w:pPr>
        <w:spacing w:before="50" w:after="50" w:line="360" w:lineRule="auto"/>
        <w:ind w:firstLine="480" w:firstLineChars="200"/>
        <w:rPr>
          <w:rStyle w:val="39"/>
          <w:rFonts w:hint="eastAsia" w:ascii="宋体" w:hAnsi="宋体" w:eastAsia="宋体" w:cs="宋体"/>
          <w:bCs/>
          <w:color w:val="auto"/>
          <w:sz w:val="24"/>
        </w:rPr>
      </w:pPr>
      <w:r>
        <w:rPr>
          <w:rStyle w:val="39"/>
          <w:rFonts w:hint="eastAsia" w:ascii="宋体" w:hAnsi="宋体" w:eastAsia="宋体" w:cs="宋体"/>
          <w:color w:val="auto"/>
          <w:sz w:val="24"/>
        </w:rPr>
        <w:t>16.4.4  采购代理机构对评标过程和评分、评标结论进行整理，如有错漏，请当事评委进行校正，按校正后的结果确定中标候选投标人排序。</w:t>
      </w:r>
    </w:p>
    <w:p>
      <w:pPr>
        <w:spacing w:before="50" w:after="50" w:line="360" w:lineRule="auto"/>
        <w:ind w:firstLine="480" w:firstLineChars="200"/>
        <w:rPr>
          <w:rStyle w:val="39"/>
          <w:rFonts w:hint="eastAsia" w:ascii="宋体" w:hAnsi="宋体" w:eastAsia="宋体" w:cs="宋体"/>
          <w:bCs/>
          <w:color w:val="auto"/>
          <w:sz w:val="24"/>
        </w:rPr>
      </w:pPr>
      <w:r>
        <w:rPr>
          <w:rStyle w:val="39"/>
          <w:rFonts w:hint="eastAsia" w:ascii="宋体" w:hAnsi="宋体" w:eastAsia="宋体" w:cs="宋体"/>
          <w:color w:val="auto"/>
          <w:sz w:val="24"/>
        </w:rPr>
        <w:t>16.5  在确定中标人前，采购人或采购代理机构不得与投标人就投标价格、投标方案等实质性内容进行谈判。</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16.6  评标过程的保密。评标在严格保密的情况下进行，任何单位和个人不得非法干预、影响评标办法的确定，以及评标过程和结果。评标委员会成员和参与评标的有关工作人员不得透露对投标文件的评审和比较、中标候选人的推荐情况以及与评标有关的其他情况。</w:t>
      </w:r>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17采购结果谈判确认</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17.1 采购结果确认谈判工作组：成员和数量由采购人确定，包括财政部门以及财务、法律等方面的专家。评审小组成员可以作为采购结果确认谈判工作组成员参与采购结果确认谈判。</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17.2 评审结束后，评标委员会出具评审报告。</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采购人根据评审报告推荐的候选社会资本方排名，依次与候选社会资本方及与其合作的金融机构就项目</w:t>
      </w:r>
      <w:r>
        <w:rPr>
          <w:rStyle w:val="39"/>
          <w:rFonts w:hint="eastAsia" w:ascii="宋体" w:hAnsi="宋体" w:eastAsia="宋体" w:cs="宋体"/>
          <w:color w:val="auto"/>
          <w:kern w:val="0"/>
          <w:sz w:val="24"/>
        </w:rPr>
        <w:t>协议</w:t>
      </w:r>
      <w:r>
        <w:rPr>
          <w:rStyle w:val="39"/>
          <w:rFonts w:hint="eastAsia" w:ascii="宋体" w:hAnsi="宋体" w:eastAsia="宋体" w:cs="宋体"/>
          <w:color w:val="auto"/>
          <w:sz w:val="24"/>
        </w:rPr>
        <w:t>中可变的细节问题进行项目</w:t>
      </w:r>
      <w:r>
        <w:rPr>
          <w:rStyle w:val="39"/>
          <w:rFonts w:hint="eastAsia" w:ascii="宋体" w:hAnsi="宋体" w:eastAsia="宋体" w:cs="宋体"/>
          <w:color w:val="auto"/>
          <w:kern w:val="0"/>
          <w:sz w:val="24"/>
        </w:rPr>
        <w:t>合同</w:t>
      </w:r>
      <w:r>
        <w:rPr>
          <w:rStyle w:val="39"/>
          <w:rFonts w:hint="eastAsia" w:ascii="宋体" w:hAnsi="宋体" w:eastAsia="宋体" w:cs="宋体"/>
          <w:color w:val="auto"/>
          <w:sz w:val="24"/>
        </w:rPr>
        <w:t>签署前的确认谈判，率先达成一致的候选社会资本方即为预中标社会资本方，并签订采购结果确认谈判备忘录。</w:t>
      </w:r>
    </w:p>
    <w:p>
      <w:pPr>
        <w:spacing w:before="50" w:after="50" w:line="360" w:lineRule="auto"/>
        <w:ind w:firstLine="480" w:firstLineChars="200"/>
        <w:rPr>
          <w:rStyle w:val="39"/>
          <w:rFonts w:hint="eastAsia" w:ascii="宋体" w:hAnsi="宋体" w:eastAsia="宋体" w:cs="宋体"/>
          <w:b/>
          <w:color w:val="auto"/>
          <w:sz w:val="24"/>
        </w:rPr>
      </w:pPr>
      <w:r>
        <w:rPr>
          <w:rStyle w:val="39"/>
          <w:rFonts w:hint="eastAsia" w:ascii="宋体" w:hAnsi="宋体" w:eastAsia="宋体" w:cs="宋体"/>
          <w:color w:val="auto"/>
          <w:sz w:val="24"/>
        </w:rPr>
        <w:t>17.3 招标结果谈判确认时间根据评审情况确定，投标人应在开标场所等候通知。接到谈判通知的投标人应在通知要求的时间内，凭本人身份证和法定代表人身份证明文件，或法定代表人授权委托书，到达指定场所参加谈判。逾期未到达视为放弃谈判，采购人依照程序通知排名下一位投标人进行谈判。</w:t>
      </w:r>
    </w:p>
    <w:p>
      <w:pPr>
        <w:spacing w:before="50" w:after="5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17.4招标结果确认谈判不得改变合同实质性内容，其中合同中的可变的细节问题包括：采购需求的明确细化、绩效考核标准。</w:t>
      </w:r>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18.投标文件的修正</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18.1  如果出现计算或表达上的错误，修正的原则如下：</w:t>
      </w:r>
    </w:p>
    <w:p>
      <w:pPr>
        <w:spacing w:before="120" w:after="120" w:line="360" w:lineRule="auto"/>
        <w:ind w:firstLine="480" w:firstLineChars="200"/>
        <w:rPr>
          <w:rStyle w:val="39"/>
          <w:rFonts w:hint="eastAsia" w:ascii="宋体" w:hAnsi="宋体" w:eastAsia="宋体" w:cs="宋体"/>
          <w:bCs/>
          <w:color w:val="auto"/>
          <w:sz w:val="24"/>
        </w:rPr>
      </w:pPr>
      <w:r>
        <w:rPr>
          <w:rStyle w:val="39"/>
          <w:rFonts w:hint="eastAsia" w:ascii="宋体" w:hAnsi="宋体" w:eastAsia="宋体" w:cs="宋体"/>
          <w:color w:val="auto"/>
          <w:sz w:val="24"/>
        </w:rPr>
        <w:t>（1）开标时，投标文件中投标函内容与投标报价表内容不一致的，以投标函为准；</w:t>
      </w:r>
    </w:p>
    <w:p>
      <w:pPr>
        <w:spacing w:before="120" w:after="120" w:line="360" w:lineRule="auto"/>
        <w:ind w:firstLine="480" w:firstLineChars="200"/>
        <w:rPr>
          <w:rStyle w:val="39"/>
          <w:rFonts w:hint="eastAsia" w:ascii="宋体" w:hAnsi="宋体" w:eastAsia="宋体" w:cs="宋体"/>
          <w:bCs/>
          <w:color w:val="auto"/>
          <w:sz w:val="24"/>
        </w:rPr>
      </w:pPr>
      <w:r>
        <w:rPr>
          <w:rStyle w:val="39"/>
          <w:rFonts w:hint="eastAsia" w:ascii="宋体" w:hAnsi="宋体" w:eastAsia="宋体" w:cs="宋体"/>
          <w:color w:val="auto"/>
          <w:sz w:val="24"/>
        </w:rPr>
        <w:t>（2）投标文件的大写金额和小写金额不一致的，以大写金额为准；</w:t>
      </w:r>
    </w:p>
    <w:p>
      <w:pPr>
        <w:spacing w:before="120" w:after="120" w:line="360" w:lineRule="auto"/>
        <w:ind w:firstLine="480" w:firstLineChars="200"/>
        <w:rPr>
          <w:rStyle w:val="39"/>
          <w:rFonts w:hint="eastAsia" w:ascii="宋体" w:hAnsi="宋体" w:eastAsia="宋体" w:cs="宋体"/>
          <w:bCs/>
          <w:color w:val="auto"/>
          <w:sz w:val="24"/>
        </w:rPr>
      </w:pPr>
      <w:r>
        <w:rPr>
          <w:rStyle w:val="39"/>
          <w:rFonts w:hint="eastAsia" w:ascii="宋体" w:hAnsi="宋体" w:eastAsia="宋体" w:cs="宋体"/>
          <w:color w:val="auto"/>
          <w:sz w:val="24"/>
        </w:rPr>
        <w:t>（3）总价金额与按单价汇总金额不一致的，以单价金额计算结果为准；</w:t>
      </w:r>
    </w:p>
    <w:p>
      <w:pPr>
        <w:spacing w:before="120" w:after="120" w:line="360" w:lineRule="auto"/>
        <w:ind w:firstLine="480" w:firstLineChars="200"/>
        <w:rPr>
          <w:rStyle w:val="39"/>
          <w:rFonts w:hint="eastAsia" w:ascii="宋体" w:hAnsi="宋体" w:eastAsia="宋体" w:cs="宋体"/>
          <w:bCs/>
          <w:color w:val="auto"/>
          <w:sz w:val="24"/>
        </w:rPr>
      </w:pPr>
      <w:r>
        <w:rPr>
          <w:rStyle w:val="39"/>
          <w:rFonts w:hint="eastAsia" w:ascii="宋体" w:hAnsi="宋体" w:eastAsia="宋体" w:cs="宋体"/>
          <w:color w:val="auto"/>
          <w:sz w:val="24"/>
        </w:rPr>
        <w:t>（4）单价金额小数点有明显错位的，应以总价为准，并修改单价。</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18.2  按上述修正原则修正后的投标报价经投标人书面确认后对投标人具有约束力。如果投标人不接受修正后的投标报价，则其投标无效。</w:t>
      </w:r>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19.拒绝接收</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投标人未在本章第15.1项规定的时间之前将投标文件送达至本章第15.2项指定地点的，采购代理机构应当拒绝接收该投标人的投标文件。</w:t>
      </w:r>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20.无效投标</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20.1  属下列情形之一的，投标人的投标无效：</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（1）投标人不具备本章第3项规定的投标人资格要求的；</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（2）投标文件未按本章第8.7项的规定标识或未按规定的正、副本数量递交的；</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（3）投标文件未按本章第10.1项的规定编写和提交的（包括缺少应提交的文件或格式不符合第五章“投标文件格式”的要求）；</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（4）投标文件不符合本章第10.2项规定的；</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（5）投标报价不符合本章第11项规定的或超过采购预算的；</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（6）投标文件不符合本章第14.1项规定的；</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（7）投标人出现本章第21.1项所述情形的；</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（8）投标文件未对招标文件提出的要求和条件作出实质响应的；</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（9）投标文件附有采购需求以外的条件使评标委员会认为不能接受的；</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（10）投标人在投标过程中提供虚假材料的；</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（11）投标文件含有违反国家法律、法规的内容。</w:t>
      </w:r>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21.废标</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21.1  在招标过程中，出现下列情形之一的，予以废标：</w:t>
      </w:r>
    </w:p>
    <w:p>
      <w:pPr>
        <w:spacing w:before="120" w:after="120" w:line="360" w:lineRule="auto"/>
        <w:ind w:firstLine="420"/>
        <w:rPr>
          <w:rStyle w:val="39"/>
          <w:rFonts w:hint="eastAsia" w:ascii="宋体" w:hAnsi="宋体" w:eastAsia="宋体" w:cs="宋体"/>
          <w:color w:val="auto"/>
          <w:sz w:val="24"/>
        </w:rPr>
      </w:pPr>
      <w:r>
        <w:rPr>
          <w:rStyle w:val="39"/>
          <w:rFonts w:hint="eastAsia" w:ascii="宋体" w:hAnsi="宋体" w:eastAsia="宋体" w:cs="宋体"/>
          <w:color w:val="auto"/>
          <w:sz w:val="24"/>
        </w:rPr>
        <w:t>（1）符合专业条件的投标人或者对招标文件作实质响应的投标人不足三家的；</w:t>
      </w:r>
    </w:p>
    <w:p>
      <w:pPr>
        <w:spacing w:before="120" w:after="120" w:line="360" w:lineRule="auto"/>
        <w:ind w:firstLine="420"/>
        <w:rPr>
          <w:rStyle w:val="39"/>
          <w:rFonts w:hint="eastAsia" w:ascii="宋体" w:hAnsi="宋体" w:eastAsia="宋体" w:cs="宋体"/>
          <w:bCs/>
          <w:color w:val="auto"/>
          <w:sz w:val="24"/>
        </w:rPr>
      </w:pPr>
      <w:r>
        <w:rPr>
          <w:rStyle w:val="39"/>
          <w:rFonts w:hint="eastAsia" w:ascii="宋体" w:hAnsi="宋体" w:eastAsia="宋体" w:cs="宋体"/>
          <w:color w:val="auto"/>
          <w:sz w:val="24"/>
        </w:rPr>
        <w:t>（2）出现影响采购公正的违法、违规行为的；</w:t>
      </w:r>
    </w:p>
    <w:p>
      <w:pPr>
        <w:spacing w:before="120" w:after="120" w:line="360" w:lineRule="auto"/>
        <w:ind w:firstLine="420"/>
        <w:rPr>
          <w:rStyle w:val="39"/>
          <w:rFonts w:hint="eastAsia" w:ascii="宋体" w:hAnsi="宋体" w:eastAsia="宋体" w:cs="宋体"/>
          <w:color w:val="auto"/>
          <w:sz w:val="24"/>
        </w:rPr>
      </w:pPr>
      <w:r>
        <w:rPr>
          <w:rStyle w:val="39"/>
          <w:rFonts w:hint="eastAsia" w:ascii="宋体" w:hAnsi="宋体" w:eastAsia="宋体" w:cs="宋体"/>
          <w:color w:val="auto"/>
          <w:sz w:val="24"/>
        </w:rPr>
        <w:t>（3）投标人的报价均超过了采购预算，采购人不能支付的；</w:t>
      </w:r>
    </w:p>
    <w:p>
      <w:pPr>
        <w:spacing w:before="120" w:after="120" w:line="360" w:lineRule="auto"/>
        <w:ind w:firstLine="420"/>
        <w:rPr>
          <w:rStyle w:val="39"/>
          <w:rFonts w:hint="eastAsia" w:ascii="宋体" w:hAnsi="宋体" w:eastAsia="宋体" w:cs="宋体"/>
          <w:color w:val="auto"/>
          <w:sz w:val="24"/>
        </w:rPr>
      </w:pPr>
      <w:r>
        <w:rPr>
          <w:rStyle w:val="39"/>
          <w:rFonts w:hint="eastAsia" w:ascii="宋体" w:hAnsi="宋体" w:eastAsia="宋体" w:cs="宋体"/>
          <w:color w:val="auto"/>
          <w:sz w:val="24"/>
        </w:rPr>
        <w:t>（4）因重大变故，采购任务取消的。</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21.2  废标后，采购代理机构将在本章第2项规定的政府采购信息发布媒体上公告废标理由，不再另行通知。</w:t>
      </w:r>
    </w:p>
    <w:p>
      <w:pPr>
        <w:pStyle w:val="5"/>
        <w:rPr>
          <w:rStyle w:val="39"/>
          <w:rFonts w:hint="eastAsia" w:ascii="宋体" w:hAnsi="宋体" w:eastAsia="宋体" w:cs="宋体"/>
          <w:color w:val="auto"/>
          <w:sz w:val="32"/>
          <w:szCs w:val="32"/>
        </w:rPr>
      </w:pPr>
      <w:bookmarkStart w:id="279" w:name="_Toc19627"/>
      <w:bookmarkStart w:id="280" w:name="_Toc3855"/>
      <w:bookmarkStart w:id="281" w:name="_Toc8512"/>
      <w:bookmarkStart w:id="282" w:name="_Toc54622558"/>
      <w:r>
        <w:rPr>
          <w:rStyle w:val="39"/>
          <w:rFonts w:hint="eastAsia" w:ascii="宋体" w:hAnsi="宋体" w:eastAsia="宋体" w:cs="宋体"/>
          <w:color w:val="auto"/>
          <w:sz w:val="32"/>
          <w:szCs w:val="32"/>
        </w:rPr>
        <w:t>六、PPP项目合同授予</w:t>
      </w:r>
      <w:bookmarkEnd w:id="279"/>
      <w:bookmarkEnd w:id="280"/>
      <w:bookmarkEnd w:id="281"/>
      <w:bookmarkEnd w:id="282"/>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22.中标人的确定</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22.1根据评标委员会按第四章“评标办法”的规定排列中标候选投标人顺序，由采购结果确认谈判工作组依照谈判结果确定中标候选人。</w:t>
      </w:r>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23.中标公告及中标通知书</w:t>
      </w:r>
    </w:p>
    <w:p>
      <w:pPr>
        <w:spacing w:before="120" w:after="120" w:line="360" w:lineRule="auto"/>
        <w:ind w:firstLine="480" w:firstLineChars="200"/>
        <w:rPr>
          <w:rStyle w:val="39"/>
          <w:rFonts w:hint="eastAsia" w:ascii="宋体" w:hAnsi="宋体" w:eastAsia="宋体" w:cs="宋体"/>
          <w:color w:val="auto"/>
          <w:kern w:val="0"/>
          <w:sz w:val="24"/>
        </w:rPr>
      </w:pPr>
      <w:r>
        <w:rPr>
          <w:rStyle w:val="39"/>
          <w:rFonts w:hint="eastAsia" w:ascii="宋体" w:hAnsi="宋体" w:eastAsia="宋体" w:cs="宋体"/>
          <w:color w:val="auto"/>
          <w:sz w:val="24"/>
        </w:rPr>
        <w:t>23.1</w:t>
      </w:r>
      <w:r>
        <w:rPr>
          <w:rStyle w:val="39"/>
          <w:rFonts w:hint="eastAsia" w:ascii="宋体" w:hAnsi="宋体" w:eastAsia="宋体" w:cs="宋体"/>
          <w:color w:val="auto"/>
          <w:kern w:val="0"/>
          <w:sz w:val="24"/>
        </w:rPr>
        <w:t>评标结束后进行项目</w:t>
      </w:r>
      <w:r>
        <w:rPr>
          <w:rStyle w:val="39"/>
          <w:rFonts w:hint="eastAsia" w:ascii="宋体" w:hAnsi="宋体" w:eastAsia="宋体" w:cs="宋体"/>
          <w:color w:val="auto"/>
          <w:sz w:val="24"/>
        </w:rPr>
        <w:t>确认谈判工作，确认谈判结束后，预中标</w:t>
      </w:r>
      <w:r>
        <w:rPr>
          <w:rStyle w:val="39"/>
          <w:rFonts w:hint="eastAsia" w:ascii="宋体" w:hAnsi="宋体" w:eastAsia="宋体" w:cs="宋体"/>
          <w:color w:val="auto"/>
          <w:kern w:val="0"/>
          <w:sz w:val="24"/>
        </w:rPr>
        <w:t>结果由采购代理机构在本章</w:t>
      </w:r>
      <w:r>
        <w:rPr>
          <w:rStyle w:val="39"/>
          <w:rFonts w:hint="eastAsia" w:ascii="宋体" w:hAnsi="宋体" w:eastAsia="宋体" w:cs="宋体"/>
          <w:color w:val="auto"/>
          <w:sz w:val="24"/>
        </w:rPr>
        <w:t>第2项</w:t>
      </w:r>
      <w:r>
        <w:rPr>
          <w:rStyle w:val="39"/>
          <w:rFonts w:hint="eastAsia" w:ascii="宋体" w:hAnsi="宋体" w:eastAsia="宋体" w:cs="宋体"/>
          <w:color w:val="auto"/>
          <w:kern w:val="0"/>
          <w:sz w:val="24"/>
        </w:rPr>
        <w:t>规定的政府采购信息发布媒体上公示，公示期为五个工作日，公示期满无异议的，由采购代理机构发布中标公告，同时向中标人发出中标通知书。</w:t>
      </w:r>
    </w:p>
    <w:p>
      <w:pPr>
        <w:spacing w:before="120" w:after="120" w:line="360" w:lineRule="auto"/>
        <w:ind w:firstLine="480" w:firstLineChars="200"/>
        <w:rPr>
          <w:rStyle w:val="39"/>
          <w:rFonts w:hint="eastAsia" w:ascii="宋体" w:hAnsi="宋体" w:eastAsia="宋体" w:cs="宋体"/>
          <w:color w:val="auto"/>
          <w:kern w:val="0"/>
          <w:sz w:val="24"/>
        </w:rPr>
      </w:pPr>
      <w:r>
        <w:rPr>
          <w:rStyle w:val="39"/>
          <w:rFonts w:hint="eastAsia" w:ascii="宋体" w:hAnsi="宋体" w:eastAsia="宋体" w:cs="宋体"/>
          <w:color w:val="auto"/>
          <w:kern w:val="0"/>
          <w:sz w:val="24"/>
        </w:rPr>
        <w:t>23.2 中标通知书对采购人和中标人具有同等法律效力。中标通知书发出后，采购人改变中标结果，或者中标人放弃中标，应当承担相应的法律责任。</w:t>
      </w:r>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24.投标文件退回</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采购人及采购代理机构无义务向未中标人解释其未中标原因和退回投标文件。</w:t>
      </w:r>
    </w:p>
    <w:p>
      <w:pPr>
        <w:tabs>
          <w:tab w:val="left" w:pos="630"/>
        </w:tabs>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25.签订《PPP项目合同》</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25.1 社会资本采购中标通知书发出后5个工作日内，成交社会资本和实施机构签订PPP项目合作协议，成交社会资本在签订PPP项目合作协议后5个工作日内依法在南宁市成立项目公司；项目公司成立后5个工作日内与实施机构、社会资本签署经南宁市人民政府审核同意的PPP项目合同，并将签订的PPP项目合同报南宁市财政局、南宁市PPP办存档备案，由采购代理机构公告正式签订的PPP项目合同。</w:t>
      </w:r>
    </w:p>
    <w:p>
      <w:pPr>
        <w:spacing w:before="120" w:after="120" w:line="360" w:lineRule="auto"/>
        <w:ind w:firstLine="480" w:firstLineChars="200"/>
        <w:rPr>
          <w:rStyle w:val="39"/>
          <w:rFonts w:hint="eastAsia" w:ascii="宋体" w:hAnsi="宋体" w:eastAsia="宋体" w:cs="宋体"/>
          <w:color w:val="auto"/>
          <w:kern w:val="0"/>
          <w:sz w:val="24"/>
        </w:rPr>
      </w:pPr>
      <w:r>
        <w:rPr>
          <w:rStyle w:val="39"/>
          <w:rFonts w:hint="eastAsia" w:ascii="宋体" w:hAnsi="宋体" w:eastAsia="宋体" w:cs="宋体"/>
          <w:color w:val="auto"/>
          <w:kern w:val="0"/>
          <w:sz w:val="24"/>
        </w:rPr>
        <w:t>25.2 《PPP项目合同》应当内容完整、盖章齐全；《PPP项目合同》的各要素和内容应与招标文件、中标人的承诺、中标通知书等的内容一致；《PPP项目合同》附件齐全；多页《PPP项目合同》每页应按顺序标出页码并盖骑缝章。PPP项目合同模板详见本招标文件附件部分内容。</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kern w:val="0"/>
          <w:sz w:val="24"/>
        </w:rPr>
        <w:t>25.3 《PPP项目合同》（正本、副本）自签订之日起三个工作日内，将副本送南宁市财政局、</w:t>
      </w:r>
      <w:r>
        <w:rPr>
          <w:rStyle w:val="39"/>
          <w:rFonts w:hint="eastAsia" w:ascii="宋体" w:hAnsi="宋体" w:eastAsia="宋体" w:cs="宋体"/>
          <w:color w:val="auto"/>
          <w:sz w:val="24"/>
        </w:rPr>
        <w:t>南宁市PPP办</w:t>
      </w:r>
      <w:r>
        <w:rPr>
          <w:rStyle w:val="39"/>
          <w:rFonts w:hint="eastAsia" w:ascii="宋体" w:hAnsi="宋体" w:eastAsia="宋体" w:cs="宋体"/>
          <w:color w:val="auto"/>
          <w:kern w:val="0"/>
          <w:sz w:val="24"/>
        </w:rPr>
        <w:t>备案。</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25.4 中标通知书发出后，中标人有本章第13.5项第（3）至（6）项情形之一的，中标无效，采购人可追究中标人</w:t>
      </w:r>
      <w:r>
        <w:rPr>
          <w:rStyle w:val="39"/>
          <w:rFonts w:hint="eastAsia" w:ascii="宋体" w:hAnsi="宋体" w:eastAsia="宋体" w:cs="宋体"/>
          <w:color w:val="auto"/>
          <w:kern w:val="0"/>
          <w:sz w:val="24"/>
        </w:rPr>
        <w:t>承担相应的法律责任</w:t>
      </w:r>
      <w:r>
        <w:rPr>
          <w:rStyle w:val="39"/>
          <w:rFonts w:hint="eastAsia" w:ascii="宋体" w:hAnsi="宋体" w:eastAsia="宋体" w:cs="宋体"/>
          <w:color w:val="auto"/>
          <w:sz w:val="24"/>
        </w:rPr>
        <w:t>。</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 xml:space="preserve"> 如采购人无正当理由拒绝签署《PPP项目合同》的，采购人给中标人造成损失的，中标人可追究采购人承担相应的法律责任。</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26.5  采购人在签订《PPP项目合同》之前有权要求中标人提供本项目必需的相关资料原件进行核查，中标人不得拒绝。如中标人拒绝提供，则自行承担由此产生的后果。</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26.6  中标人因不可抗力或者自身原因不能履行《PPP项目合同》的，如仍在投标有效期内，采购代理机构和采购人应及时报南宁市政府采购监督管理部门，经同意后，可以与排位在中标人之后第一位的中标候选投标人签订《PPP项目合同》，以此类推。</w:t>
      </w:r>
    </w:p>
    <w:p>
      <w:pPr>
        <w:spacing w:before="120" w:after="120" w:line="360" w:lineRule="auto"/>
        <w:ind w:firstLine="480" w:firstLineChars="200"/>
        <w:rPr>
          <w:rStyle w:val="39"/>
          <w:rFonts w:hint="eastAsia" w:ascii="宋体" w:hAnsi="宋体" w:eastAsia="宋体" w:cs="宋体"/>
          <w:color w:val="auto"/>
          <w:kern w:val="0"/>
          <w:sz w:val="24"/>
        </w:rPr>
      </w:pPr>
      <w:r>
        <w:rPr>
          <w:rStyle w:val="39"/>
          <w:rFonts w:hint="eastAsia" w:ascii="宋体" w:hAnsi="宋体" w:eastAsia="宋体" w:cs="宋体"/>
          <w:color w:val="auto"/>
          <w:kern w:val="0"/>
          <w:sz w:val="24"/>
        </w:rPr>
        <w:t>26.7采购人或中标人不得单方面向《PPP项目合同》另一方提出任何招标文件没有约定的条件或不合理的要求，作为签订《PPP项目合同》的条件，也不得协商另行订立背离招标文件和《PPP项目合同》实质性内容的协议。</w:t>
      </w:r>
    </w:p>
    <w:p>
      <w:pPr>
        <w:spacing w:before="120" w:after="120" w:line="360" w:lineRule="auto"/>
        <w:ind w:firstLine="480" w:firstLineChars="200"/>
        <w:rPr>
          <w:rStyle w:val="39"/>
          <w:rFonts w:hint="eastAsia" w:ascii="宋体" w:hAnsi="宋体" w:eastAsia="宋体" w:cs="宋体"/>
          <w:color w:val="auto"/>
          <w:kern w:val="0"/>
          <w:sz w:val="24"/>
        </w:rPr>
      </w:pPr>
      <w:r>
        <w:rPr>
          <w:rStyle w:val="39"/>
          <w:rFonts w:hint="eastAsia" w:ascii="宋体" w:hAnsi="宋体" w:eastAsia="宋体" w:cs="宋体"/>
          <w:color w:val="auto"/>
          <w:kern w:val="0"/>
          <w:sz w:val="24"/>
        </w:rPr>
        <w:t>26.8中标人和采购人应当按照《PPP项目合同》约定的各自的权利和义务全面履行《PPP项目合同》。任何一方当事人在履行《PPP项目合同》过程中均不得擅自变更、中止或终止《PPP项目合同》。《PPP项目合同》继续履行将损害国家利益和社会公共利益的，双方当事人应当变更、中止或终止《PPP项目合同》。有过错的一方应当承担赔偿责任，双方都有过错的，各自承担相应的责任。</w:t>
      </w:r>
    </w:p>
    <w:p>
      <w:pPr>
        <w:spacing w:before="120" w:after="120" w:line="360" w:lineRule="auto"/>
        <w:ind w:firstLine="480" w:firstLineChars="200"/>
        <w:rPr>
          <w:rStyle w:val="39"/>
          <w:rFonts w:hint="eastAsia" w:ascii="宋体" w:hAnsi="宋体" w:eastAsia="宋体" w:cs="宋体"/>
          <w:color w:val="auto"/>
          <w:kern w:val="0"/>
          <w:sz w:val="24"/>
        </w:rPr>
      </w:pPr>
      <w:r>
        <w:rPr>
          <w:rStyle w:val="39"/>
          <w:rFonts w:hint="eastAsia" w:ascii="宋体" w:hAnsi="宋体" w:eastAsia="宋体" w:cs="宋体"/>
          <w:color w:val="auto"/>
          <w:kern w:val="0"/>
          <w:sz w:val="24"/>
        </w:rPr>
        <w:t>26.9　采购人或中标人在《PPP项目合同》履行过程中存在违反《PPP项目合同》行为的，权益受损当事人应当将有关违约的情况以及拟采取的措施，及时书面报告。</w:t>
      </w:r>
    </w:p>
    <w:p>
      <w:pPr>
        <w:pStyle w:val="5"/>
        <w:rPr>
          <w:rStyle w:val="39"/>
          <w:rFonts w:hint="eastAsia" w:ascii="宋体" w:hAnsi="宋体" w:eastAsia="宋体" w:cs="宋体"/>
          <w:color w:val="auto"/>
          <w:sz w:val="32"/>
          <w:szCs w:val="32"/>
        </w:rPr>
      </w:pPr>
      <w:bookmarkStart w:id="283" w:name="_Toc7801"/>
      <w:bookmarkStart w:id="284" w:name="_Toc23125"/>
      <w:bookmarkStart w:id="285" w:name="_Toc54622559"/>
      <w:bookmarkStart w:id="286" w:name="_Toc21618"/>
      <w:r>
        <w:rPr>
          <w:rStyle w:val="39"/>
          <w:rFonts w:hint="eastAsia" w:ascii="宋体" w:hAnsi="宋体" w:eastAsia="宋体" w:cs="宋体"/>
          <w:color w:val="auto"/>
          <w:sz w:val="32"/>
          <w:szCs w:val="32"/>
        </w:rPr>
        <w:t>七、项目公司</w:t>
      </w:r>
      <w:bookmarkEnd w:id="283"/>
      <w:bookmarkEnd w:id="284"/>
      <w:bookmarkEnd w:id="285"/>
      <w:bookmarkEnd w:id="286"/>
    </w:p>
    <w:p>
      <w:pPr>
        <w:spacing w:before="120" w:after="120" w:line="360" w:lineRule="auto"/>
        <w:rPr>
          <w:rStyle w:val="39"/>
          <w:rFonts w:hint="eastAsia" w:ascii="宋体" w:hAnsi="宋体" w:eastAsia="宋体" w:cs="宋体"/>
          <w:b/>
          <w:color w:val="auto"/>
          <w:kern w:val="0"/>
          <w:sz w:val="24"/>
        </w:rPr>
      </w:pPr>
      <w:r>
        <w:rPr>
          <w:rStyle w:val="39"/>
          <w:rFonts w:hint="eastAsia" w:ascii="宋体" w:hAnsi="宋体" w:eastAsia="宋体" w:cs="宋体"/>
          <w:b/>
          <w:color w:val="auto"/>
          <w:kern w:val="0"/>
          <w:sz w:val="24"/>
        </w:rPr>
        <w:t>27．项目公司成立</w:t>
      </w:r>
    </w:p>
    <w:p>
      <w:pPr>
        <w:spacing w:before="120" w:after="120" w:line="360" w:lineRule="auto"/>
        <w:ind w:firstLine="480" w:firstLineChars="200"/>
        <w:rPr>
          <w:rStyle w:val="39"/>
          <w:rFonts w:hint="eastAsia" w:ascii="宋体" w:hAnsi="宋体" w:eastAsia="宋体" w:cs="宋体"/>
          <w:color w:val="auto"/>
          <w:kern w:val="0"/>
          <w:sz w:val="24"/>
        </w:rPr>
      </w:pPr>
      <w:r>
        <w:rPr>
          <w:rStyle w:val="39"/>
          <w:rFonts w:hint="eastAsia" w:ascii="宋体" w:hAnsi="宋体" w:eastAsia="宋体" w:cs="宋体"/>
          <w:color w:val="auto"/>
          <w:kern w:val="0"/>
          <w:sz w:val="24"/>
        </w:rPr>
        <w:t>社会资本采购中标通知书发出5个工作日内，社会资本方与实施机构签订PPP项目合作协议；签订PPP项目合作协议后5个工作日内社会资本方依法在南宁市注册成立项目公司，项目公司为有限责任公司，注册资本金为人民币1000万元，社会资本方出资占股100%。项目公司成立后5个工作日内，社会资本方、项目公司和实施机构签署PPP项目合同。</w:t>
      </w:r>
    </w:p>
    <w:p>
      <w:pPr>
        <w:spacing w:before="120" w:after="120" w:line="360" w:lineRule="auto"/>
        <w:rPr>
          <w:rStyle w:val="39"/>
          <w:rFonts w:hint="eastAsia" w:ascii="宋体" w:hAnsi="宋体" w:eastAsia="宋体" w:cs="宋体"/>
          <w:b/>
          <w:color w:val="auto"/>
          <w:kern w:val="0"/>
          <w:sz w:val="24"/>
        </w:rPr>
      </w:pPr>
      <w:r>
        <w:rPr>
          <w:rStyle w:val="39"/>
          <w:rFonts w:hint="eastAsia" w:ascii="宋体" w:hAnsi="宋体" w:eastAsia="宋体" w:cs="宋体"/>
          <w:b/>
          <w:color w:val="auto"/>
          <w:kern w:val="0"/>
          <w:sz w:val="24"/>
        </w:rPr>
        <w:t>28．履约保证</w:t>
      </w:r>
    </w:p>
    <w:p>
      <w:pPr>
        <w:spacing w:before="120" w:after="120" w:line="360" w:lineRule="auto"/>
        <w:ind w:firstLine="480" w:firstLineChars="200"/>
        <w:rPr>
          <w:rStyle w:val="39"/>
          <w:rFonts w:hint="eastAsia" w:ascii="宋体" w:hAnsi="宋体" w:eastAsia="宋体" w:cs="宋体"/>
          <w:color w:val="auto"/>
          <w:kern w:val="0"/>
          <w:sz w:val="24"/>
          <w:lang w:val="zh-CN"/>
        </w:rPr>
      </w:pPr>
      <w:bookmarkStart w:id="287" w:name="_Toc54622560"/>
      <w:r>
        <w:rPr>
          <w:rStyle w:val="39"/>
          <w:rFonts w:hint="eastAsia" w:ascii="宋体" w:hAnsi="宋体" w:eastAsia="宋体" w:cs="宋体"/>
          <w:color w:val="auto"/>
          <w:kern w:val="0"/>
          <w:sz w:val="24"/>
          <w:lang w:val="zh-CN"/>
        </w:rPr>
        <w:t>详见《PPP项目合同》。</w:t>
      </w:r>
    </w:p>
    <w:p>
      <w:pPr>
        <w:pStyle w:val="5"/>
        <w:rPr>
          <w:rStyle w:val="39"/>
          <w:rFonts w:hint="eastAsia" w:ascii="宋体" w:hAnsi="宋体" w:eastAsia="宋体" w:cs="宋体"/>
          <w:color w:val="auto"/>
          <w:sz w:val="32"/>
          <w:szCs w:val="32"/>
        </w:rPr>
      </w:pPr>
      <w:bookmarkStart w:id="288" w:name="_Toc20090"/>
      <w:bookmarkStart w:id="289" w:name="_Toc28232"/>
      <w:bookmarkStart w:id="290" w:name="_Toc2880"/>
      <w:r>
        <w:rPr>
          <w:rStyle w:val="39"/>
          <w:rFonts w:hint="eastAsia" w:ascii="宋体" w:hAnsi="宋体" w:eastAsia="宋体" w:cs="宋体"/>
          <w:color w:val="auto"/>
          <w:sz w:val="32"/>
          <w:szCs w:val="32"/>
        </w:rPr>
        <w:t>八、其他事项</w:t>
      </w:r>
      <w:bookmarkEnd w:id="287"/>
      <w:bookmarkEnd w:id="288"/>
      <w:bookmarkEnd w:id="289"/>
      <w:bookmarkEnd w:id="290"/>
    </w:p>
    <w:p>
      <w:pPr>
        <w:spacing w:before="120" w:after="120" w:line="360" w:lineRule="auto"/>
        <w:rPr>
          <w:rStyle w:val="39"/>
          <w:rFonts w:hint="eastAsia" w:ascii="宋体" w:hAnsi="宋体" w:eastAsia="宋体" w:cs="宋体"/>
          <w:b/>
          <w:bCs/>
          <w:color w:val="auto"/>
          <w:sz w:val="24"/>
        </w:rPr>
      </w:pPr>
      <w:r>
        <w:rPr>
          <w:rStyle w:val="39"/>
          <w:rFonts w:hint="eastAsia" w:ascii="宋体" w:hAnsi="宋体" w:eastAsia="宋体" w:cs="宋体"/>
          <w:b/>
          <w:bCs/>
          <w:color w:val="auto"/>
          <w:sz w:val="24"/>
        </w:rPr>
        <w:t>29. 解释权</w:t>
      </w:r>
    </w:p>
    <w:p>
      <w:pPr>
        <w:spacing w:before="120" w:after="120" w:line="360" w:lineRule="auto"/>
        <w:jc w:val="left"/>
        <w:rPr>
          <w:rStyle w:val="39"/>
          <w:rFonts w:hint="eastAsia" w:ascii="宋体" w:hAnsi="宋体" w:eastAsia="宋体" w:cs="宋体"/>
          <w:color w:val="auto"/>
          <w:sz w:val="24"/>
        </w:rPr>
      </w:pPr>
      <w:r>
        <w:rPr>
          <w:rStyle w:val="39"/>
          <w:rFonts w:hint="eastAsia" w:ascii="宋体" w:hAnsi="宋体" w:eastAsia="宋体" w:cs="宋体"/>
          <w:color w:val="auto"/>
          <w:sz w:val="24"/>
        </w:rPr>
        <w:t>本招标文件根据《中华人民共和国政府采购法》、《中华人民共和国政府采购法实施条例》、《政府和社会资本合作模式操作指南》（财金〔2014〕113号）、《政府和社会资本合作项目政府采购管理办法》（财库〔2014〕215号）以及其他有关法律、行政法规以及自治区、南宁市的部门规章、规范性文件等有关法律、法规编制，解释权属采购人及采购代理机构。</w:t>
      </w:r>
    </w:p>
    <w:p>
      <w:pPr>
        <w:spacing w:before="120" w:after="120" w:line="360" w:lineRule="auto"/>
        <w:jc w:val="left"/>
        <w:rPr>
          <w:rStyle w:val="39"/>
          <w:rFonts w:hint="eastAsia" w:ascii="宋体" w:hAnsi="宋体" w:eastAsia="宋体" w:cs="宋体"/>
          <w:b/>
          <w:color w:val="auto"/>
          <w:sz w:val="24"/>
        </w:rPr>
      </w:pPr>
      <w:r>
        <w:rPr>
          <w:rStyle w:val="39"/>
          <w:rFonts w:hint="eastAsia" w:ascii="宋体" w:hAnsi="宋体" w:eastAsia="宋体" w:cs="宋体"/>
          <w:b/>
          <w:color w:val="auto"/>
          <w:sz w:val="24"/>
        </w:rPr>
        <w:t>30. 需要补充的其他内容</w:t>
      </w:r>
    </w:p>
    <w:p>
      <w:pPr>
        <w:spacing w:before="120" w:after="120"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 xml:space="preserve">  需要补充的其他内容：见投标人须知前附表。</w:t>
      </w:r>
    </w:p>
    <w:bookmarkEnd w:id="17"/>
    <w:p>
      <w:pPr>
        <w:widowControl/>
        <w:jc w:val="left"/>
        <w:rPr>
          <w:rFonts w:hint="eastAsia" w:ascii="宋体" w:hAnsi="宋体" w:eastAsia="宋体" w:cs="宋体"/>
          <w:b/>
          <w:color w:val="auto"/>
          <w:kern w:val="44"/>
          <w:sz w:val="32"/>
          <w:szCs w:val="32"/>
        </w:rPr>
      </w:pPr>
      <w:bookmarkStart w:id="291" w:name="_Toc24461681"/>
      <w:bookmarkStart w:id="292" w:name="_Toc25012966"/>
      <w:bookmarkStart w:id="293" w:name="_Toc51540425"/>
    </w:p>
    <w:p>
      <w:pPr>
        <w:pStyle w:val="4"/>
        <w:spacing w:line="360" w:lineRule="auto"/>
        <w:jc w:val="center"/>
        <w:rPr>
          <w:rFonts w:hint="eastAsia" w:ascii="宋体" w:hAnsi="宋体" w:eastAsia="宋体" w:cs="宋体"/>
          <w:color w:val="auto"/>
          <w:sz w:val="32"/>
          <w:szCs w:val="32"/>
          <w:highlight w:val="yellow"/>
        </w:rPr>
      </w:pPr>
      <w:bookmarkStart w:id="294" w:name="_Toc5799"/>
      <w:r>
        <w:rPr>
          <w:rFonts w:hint="eastAsia" w:ascii="宋体" w:hAnsi="宋体" w:eastAsia="宋体" w:cs="宋体"/>
          <w:color w:val="auto"/>
          <w:sz w:val="32"/>
          <w:szCs w:val="32"/>
          <w:highlight w:val="yellow"/>
        </w:rPr>
        <w:t>第四章 评标办法</w:t>
      </w:r>
      <w:bookmarkEnd w:id="291"/>
      <w:bookmarkEnd w:id="292"/>
      <w:bookmarkEnd w:id="293"/>
      <w:bookmarkEnd w:id="294"/>
      <w:bookmarkStart w:id="295" w:name="_Toc57369018"/>
      <w:bookmarkStart w:id="296" w:name="_Toc28578"/>
    </w:p>
    <w:p>
      <w:pPr>
        <w:pStyle w:val="5"/>
        <w:jc w:val="both"/>
        <w:rPr>
          <w:rFonts w:hint="eastAsia" w:ascii="宋体" w:hAnsi="宋体" w:eastAsia="宋体" w:cs="宋体"/>
          <w:color w:val="auto"/>
          <w:kern w:val="0"/>
          <w:sz w:val="24"/>
          <w:szCs w:val="24"/>
        </w:rPr>
      </w:pPr>
      <w:bookmarkStart w:id="297" w:name="_Toc22367"/>
      <w:bookmarkStart w:id="298" w:name="_Toc7362"/>
      <w:bookmarkStart w:id="299" w:name="_Toc13249"/>
      <w:r>
        <w:rPr>
          <w:rFonts w:hint="eastAsia" w:ascii="宋体" w:hAnsi="宋体" w:eastAsia="宋体" w:cs="宋体"/>
          <w:bCs w:val="0"/>
          <w:color w:val="auto"/>
          <w:sz w:val="24"/>
          <w:szCs w:val="24"/>
        </w:rPr>
        <w:t>一、评标纪律</w:t>
      </w:r>
      <w:bookmarkEnd w:id="295"/>
      <w:bookmarkEnd w:id="296"/>
      <w:bookmarkEnd w:id="297"/>
      <w:bookmarkEnd w:id="298"/>
      <w:bookmarkEnd w:id="299"/>
    </w:p>
    <w:p>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1、评标委员会（评审小组）应当严谨、客观、公正地履行职责，遵守职业道德，对所提出的评标意见承担个人责任。</w:t>
      </w:r>
    </w:p>
    <w:p>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2、评标期间，任何人不允许把评标文件及其汇总材料带出评标地点。</w:t>
      </w:r>
    </w:p>
    <w:p>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3、评标专家（评审专家）和其他参加评标活动的人员不得与任何投标人，或者与投标人有利害关系的人进行私下接触，不得收受投标人和其他与本项目竞争有利害关系的人的财物或者其它好处。</w:t>
      </w:r>
    </w:p>
    <w:p>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4、评标专家（评审专家）不代表各自单位，没有向各自单位汇报评标情况的权利和义务，不得泄露评标情况和评标中获悉的商业秘密。</w:t>
      </w:r>
    </w:p>
    <w:p>
      <w:pPr>
        <w:keepNext/>
        <w:keepLines/>
        <w:spacing w:line="360" w:lineRule="auto"/>
        <w:outlineLvl w:val="1"/>
        <w:rPr>
          <w:rFonts w:hint="eastAsia" w:ascii="宋体" w:hAnsi="宋体" w:eastAsia="宋体" w:cs="宋体"/>
          <w:b/>
          <w:bCs/>
          <w:color w:val="auto"/>
          <w:sz w:val="24"/>
          <w:lang w:val="zh-CN"/>
        </w:rPr>
      </w:pPr>
      <w:bookmarkStart w:id="300" w:name="_Toc30976"/>
      <w:bookmarkStart w:id="301" w:name="_Toc25226"/>
      <w:bookmarkStart w:id="302" w:name="_Toc12578"/>
      <w:r>
        <w:rPr>
          <w:rFonts w:hint="eastAsia" w:ascii="宋体" w:hAnsi="宋体" w:eastAsia="宋体" w:cs="宋体"/>
          <w:b/>
          <w:bCs/>
          <w:color w:val="auto"/>
          <w:sz w:val="24"/>
          <w:lang w:val="zh-CN"/>
        </w:rPr>
        <w:t>二、评分方法</w:t>
      </w:r>
      <w:bookmarkEnd w:id="300"/>
      <w:bookmarkEnd w:id="301"/>
      <w:bookmarkEnd w:id="302"/>
    </w:p>
    <w:p>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本次评标采用综合评分法。评标委员会（评审小组）对满足招标文件实质性要求的投标人提交的投标文件，按照本章评分细则进行打分。如遇到招标文件中没有约定的特殊情况，将以该项所涉及的法律、法规的规定为准；如无相关法律法规规定，则以评标委员会（评审小组）半数以上成员通过的意见为准。</w:t>
      </w:r>
    </w:p>
    <w:p>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评标委员会（评审小组）成员评分过程和计算结果均保留小数点后两位；计算各评标委员会（评审小组）成员打分的平均分时，保留小数点后两位，小数点后第三位四舍五入。</w:t>
      </w:r>
    </w:p>
    <w:p>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评标委员会（评审小组）成员采用记名打分方式，在打分表中的任何改写处，均必须由该成员签字确认。评标结果按照评审后得分由高到低排序。如果投标文件综合得分相同，报价较低的投标文件排名在前，如果报价也相等的，以技术标得分高的投标文件排名在前，如果依然相同，以商务标得分高低决定排名顺序。</w:t>
      </w:r>
    </w:p>
    <w:p>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投标要求：</w:t>
      </w:r>
    </w:p>
    <w:p>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（1）如所有</w:t>
      </w:r>
      <w:r>
        <w:rPr>
          <w:rFonts w:hint="eastAsia" w:ascii="宋体" w:hAnsi="宋体" w:eastAsia="宋体" w:cs="宋体"/>
          <w:color w:val="auto"/>
          <w:sz w:val="24"/>
        </w:rPr>
        <w:t>投标人</w:t>
      </w:r>
      <w:r>
        <w:rPr>
          <w:rFonts w:hint="eastAsia" w:ascii="宋体" w:hAnsi="宋体" w:eastAsia="宋体" w:cs="宋体"/>
          <w:color w:val="auto"/>
          <w:sz w:val="24"/>
          <w:lang w:val="zh-CN"/>
        </w:rPr>
        <w:t>的报价均超过有效报价范围，则本次招标失败，采购人依法重新招标。</w:t>
      </w:r>
    </w:p>
    <w:p>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（2）投标人提供的资料和证件有弄虚作假行为的，取消其投标资格。</w:t>
      </w:r>
    </w:p>
    <w:p>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（3）投标人须根据政府方提供的设计文件，提前做好优化方案准备工作。</w:t>
      </w:r>
    </w:p>
    <w:p>
      <w:pPr>
        <w:keepNext/>
        <w:keepLines/>
        <w:spacing w:line="360" w:lineRule="auto"/>
        <w:outlineLvl w:val="1"/>
        <w:rPr>
          <w:rFonts w:hint="eastAsia" w:ascii="宋体" w:hAnsi="宋体" w:eastAsia="宋体" w:cs="宋体"/>
          <w:b/>
          <w:bCs/>
          <w:color w:val="auto"/>
          <w:sz w:val="24"/>
          <w:lang w:val="zh-CN"/>
        </w:rPr>
      </w:pPr>
      <w:bookmarkStart w:id="303" w:name="_Toc10410"/>
      <w:bookmarkStart w:id="304" w:name="_Toc17190"/>
      <w:bookmarkStart w:id="305" w:name="_Toc14662"/>
      <w:r>
        <w:rPr>
          <w:rFonts w:hint="eastAsia" w:ascii="宋体" w:hAnsi="宋体" w:eastAsia="宋体" w:cs="宋体"/>
          <w:b/>
          <w:bCs/>
          <w:color w:val="auto"/>
          <w:sz w:val="24"/>
          <w:lang w:val="zh-CN"/>
        </w:rPr>
        <w:t>三、评审程序</w:t>
      </w:r>
      <w:bookmarkEnd w:id="303"/>
      <w:bookmarkEnd w:id="304"/>
      <w:bookmarkEnd w:id="305"/>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zh-CN"/>
        </w:rPr>
        <w:t>评标委员会（评审小组）</w:t>
      </w:r>
      <w:r>
        <w:rPr>
          <w:rFonts w:hint="eastAsia" w:ascii="宋体" w:hAnsi="宋体" w:eastAsia="宋体" w:cs="宋体"/>
          <w:color w:val="auto"/>
          <w:sz w:val="24"/>
        </w:rPr>
        <w:t>组长组织评标委员会（评审小组）成员根据本章“评标细则”规定的量化因素和分值，分别对投标人提交的</w:t>
      </w:r>
      <w:r>
        <w:rPr>
          <w:rFonts w:hint="eastAsia" w:ascii="宋体" w:hAnsi="宋体" w:eastAsia="宋体" w:cs="宋体"/>
          <w:b/>
          <w:color w:val="auto"/>
          <w:sz w:val="24"/>
        </w:rPr>
        <w:t>报价文件、商务文件、技术文件</w:t>
      </w:r>
      <w:r>
        <w:rPr>
          <w:rFonts w:hint="eastAsia" w:ascii="宋体" w:hAnsi="宋体" w:eastAsia="宋体" w:cs="宋体"/>
          <w:color w:val="auto"/>
          <w:sz w:val="24"/>
        </w:rPr>
        <w:t>进行评分。投标人各方案的分项得分由参与各方案评标的专家的评分的算术平均数确定。</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综合评审过程中，评标委员会（评审小组）可以口头或书面形式要求投标人对所提交投标文件中不明确的内容进行书面澄清或说明，或者对细微偏差进行补正。有关澄清说明与答复，投标人应以书面形式按招标文件的规定进行签署等，并提供相应的电子文档。评标委员会（评审小组）不接受投标人主动提出的澄清、说明或补正。</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澄清、说明和补正不得改变投标文件的实质性内容（算术性错误修正的除外）。投标人的书面澄清、说明和补正属于投标文件的组成部分。评标委员会（评审小组）对投标人提交的澄清、说明或补正有疑问的，可以要求投标人进一步澄清、说明或补正。</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评标委员会（评审小组）将对投标人递交的投标文件进行必要的校核，查验其是否有计算上、累计上或表达上的非重大偏差性错误，并按下述原则更正：当用数字表示的金额与用文字表示的金额不一致时，应以文字表示的金额为准；当单价与数量的乘积与总价不一致时，以单价金额为准修正总价，除非评标委员会（评审小组）确认单价有明显的小数点错误，此时应以标出的总价为准，并相应修改单价。</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3、所有评标过程中使用的评标工作底表或表格均需由参与该部分内容评分的评标专家（评审专家）签署，评标结束后应统一交由采购代理机构收回。</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4、评标委员会（评审小组）完成评标后，根据全体评标成员签字的原始评标记录和评标结果编写评标报告，评标报告应当如实记载以下内容：</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（一）招标公告刊登的媒体名称、开标日期和地点。</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（二）投标人名单和评标委员会（评审小组）成员名单。</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（三）评标方法和标准。</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（四）开标和评标情况及说明，包括无效投标人名单及原因。</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（五）评标结果，确定的中标候选人排序名单。</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（六）其他需要说明的情况，包括评标过程中投标人根据评标委员会（评审小组）要求进行的澄清、说明或者补正，评标委员会（评审小组）成员的更换等。</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评标报告应当由</w:t>
      </w:r>
      <w:r>
        <w:rPr>
          <w:rFonts w:hint="eastAsia" w:ascii="宋体" w:hAnsi="宋体" w:eastAsia="宋体" w:cs="宋体"/>
          <w:color w:val="auto"/>
          <w:sz w:val="24"/>
          <w:lang w:val="zh-CN"/>
        </w:rPr>
        <w:t>评标委员会（评审小组）</w:t>
      </w:r>
      <w:r>
        <w:rPr>
          <w:rFonts w:hint="eastAsia" w:ascii="宋体" w:hAnsi="宋体" w:eastAsia="宋体" w:cs="宋体"/>
          <w:color w:val="auto"/>
          <w:sz w:val="24"/>
        </w:rPr>
        <w:t>全体人员签字认可。</w:t>
      </w:r>
      <w:r>
        <w:rPr>
          <w:rFonts w:hint="eastAsia" w:ascii="宋体" w:hAnsi="宋体" w:eastAsia="宋体" w:cs="宋体"/>
          <w:color w:val="auto"/>
          <w:sz w:val="24"/>
          <w:lang w:val="zh-CN"/>
        </w:rPr>
        <w:t>评标委员会（评审小组）</w:t>
      </w:r>
      <w:r>
        <w:rPr>
          <w:rFonts w:hint="eastAsia" w:ascii="宋体" w:hAnsi="宋体" w:eastAsia="宋体" w:cs="宋体"/>
          <w:color w:val="auto"/>
          <w:sz w:val="24"/>
        </w:rPr>
        <w:t>成员对评标报告有异议的，</w:t>
      </w:r>
      <w:r>
        <w:rPr>
          <w:rFonts w:hint="eastAsia" w:ascii="宋体" w:hAnsi="宋体" w:eastAsia="宋体" w:cs="宋体"/>
          <w:color w:val="auto"/>
          <w:sz w:val="24"/>
          <w:lang w:val="zh-CN"/>
        </w:rPr>
        <w:t>评标委员会（评审小组）</w:t>
      </w:r>
      <w:r>
        <w:rPr>
          <w:rFonts w:hint="eastAsia" w:ascii="宋体" w:hAnsi="宋体" w:eastAsia="宋体" w:cs="宋体"/>
          <w:color w:val="auto"/>
          <w:sz w:val="24"/>
        </w:rPr>
        <w:t>按照少数服从多数的原则作出结论，公开招标程序继续进行。对评标报告有异议的</w:t>
      </w:r>
      <w:r>
        <w:rPr>
          <w:rFonts w:hint="eastAsia" w:ascii="宋体" w:hAnsi="宋体" w:eastAsia="宋体" w:cs="宋体"/>
          <w:color w:val="auto"/>
          <w:sz w:val="24"/>
          <w:lang w:val="zh-CN"/>
        </w:rPr>
        <w:t>评标委员会（评审小组）</w:t>
      </w:r>
      <w:r>
        <w:rPr>
          <w:rFonts w:hint="eastAsia" w:ascii="宋体" w:hAnsi="宋体" w:eastAsia="宋体" w:cs="宋体"/>
          <w:color w:val="auto"/>
          <w:sz w:val="24"/>
        </w:rPr>
        <w:t>成员，应当在报告上签署不同意见并说明理由，由</w:t>
      </w:r>
      <w:r>
        <w:rPr>
          <w:rFonts w:hint="eastAsia" w:ascii="宋体" w:hAnsi="宋体" w:eastAsia="宋体" w:cs="宋体"/>
          <w:color w:val="auto"/>
          <w:sz w:val="24"/>
          <w:lang w:val="zh-CN"/>
        </w:rPr>
        <w:t>评标委员会（评审小组）</w:t>
      </w:r>
      <w:r>
        <w:rPr>
          <w:rFonts w:hint="eastAsia" w:ascii="宋体" w:hAnsi="宋体" w:eastAsia="宋体" w:cs="宋体"/>
          <w:color w:val="auto"/>
          <w:sz w:val="24"/>
        </w:rPr>
        <w:t>书面记录相关情况。</w:t>
      </w:r>
      <w:r>
        <w:rPr>
          <w:rFonts w:hint="eastAsia" w:ascii="宋体" w:hAnsi="宋体" w:eastAsia="宋体" w:cs="宋体"/>
          <w:color w:val="auto"/>
          <w:sz w:val="24"/>
          <w:lang w:val="zh-CN"/>
        </w:rPr>
        <w:t>评标委员会（评审小组）</w:t>
      </w:r>
      <w:r>
        <w:rPr>
          <w:rFonts w:hint="eastAsia" w:ascii="宋体" w:hAnsi="宋体" w:eastAsia="宋体" w:cs="宋体"/>
          <w:color w:val="auto"/>
          <w:sz w:val="24"/>
        </w:rPr>
        <w:t>成员拒绝在报告上签字又不书面说明其不同意见和理由的，视为同意评标报告。</w:t>
      </w:r>
    </w:p>
    <w:p>
      <w:pPr>
        <w:spacing w:before="50" w:after="50" w:line="360" w:lineRule="auto"/>
        <w:ind w:firstLine="480" w:firstLineChars="200"/>
        <w:rPr>
          <w:rStyle w:val="39"/>
          <w:rFonts w:hint="eastAsia" w:ascii="宋体" w:hAnsi="宋体" w:eastAsia="宋体" w:cs="宋体"/>
          <w:color w:val="auto"/>
          <w:sz w:val="24"/>
        </w:rPr>
      </w:pPr>
      <w:r>
        <w:rPr>
          <w:rFonts w:hint="eastAsia" w:ascii="宋体" w:hAnsi="宋体" w:eastAsia="宋体" w:cs="宋体"/>
          <w:color w:val="auto"/>
          <w:sz w:val="24"/>
        </w:rPr>
        <w:t>5、</w:t>
      </w:r>
      <w:r>
        <w:rPr>
          <w:rFonts w:hint="eastAsia" w:ascii="宋体" w:hAnsi="宋体" w:eastAsia="宋体" w:cs="宋体"/>
          <w:color w:val="auto"/>
          <w:sz w:val="24"/>
          <w:lang w:val="zh-CN"/>
        </w:rPr>
        <w:t>采购人根据评标报告推荐的候选投标人排名，</w:t>
      </w:r>
      <w:r>
        <w:rPr>
          <w:rStyle w:val="39"/>
          <w:rFonts w:hint="eastAsia" w:ascii="宋体" w:hAnsi="宋体" w:eastAsia="宋体" w:cs="宋体"/>
          <w:color w:val="auto"/>
          <w:sz w:val="24"/>
          <w:highlight w:val="yellow"/>
        </w:rPr>
        <w:t>依次与候选社会资本方及与其合作的金融机构</w:t>
      </w:r>
      <w:r>
        <w:rPr>
          <w:rStyle w:val="39"/>
          <w:rFonts w:hint="eastAsia" w:ascii="宋体" w:hAnsi="宋体" w:eastAsia="宋体" w:cs="宋体"/>
          <w:color w:val="auto"/>
          <w:sz w:val="24"/>
        </w:rPr>
        <w:t>就项目</w:t>
      </w:r>
      <w:r>
        <w:rPr>
          <w:rStyle w:val="39"/>
          <w:rFonts w:hint="eastAsia" w:ascii="宋体" w:hAnsi="宋体" w:eastAsia="宋体" w:cs="宋体"/>
          <w:color w:val="auto"/>
          <w:kern w:val="0"/>
          <w:sz w:val="24"/>
        </w:rPr>
        <w:t>协议</w:t>
      </w:r>
      <w:r>
        <w:rPr>
          <w:rStyle w:val="39"/>
          <w:rFonts w:hint="eastAsia" w:ascii="宋体" w:hAnsi="宋体" w:eastAsia="宋体" w:cs="宋体"/>
          <w:color w:val="auto"/>
          <w:sz w:val="24"/>
        </w:rPr>
        <w:t>中可变的细节问题进行项目</w:t>
      </w:r>
      <w:r>
        <w:rPr>
          <w:rStyle w:val="39"/>
          <w:rFonts w:hint="eastAsia" w:ascii="宋体" w:hAnsi="宋体" w:eastAsia="宋体" w:cs="宋体"/>
          <w:color w:val="auto"/>
          <w:kern w:val="0"/>
          <w:sz w:val="24"/>
        </w:rPr>
        <w:t>合同</w:t>
      </w:r>
      <w:r>
        <w:rPr>
          <w:rStyle w:val="39"/>
          <w:rFonts w:hint="eastAsia" w:ascii="宋体" w:hAnsi="宋体" w:eastAsia="宋体" w:cs="宋体"/>
          <w:color w:val="auto"/>
          <w:sz w:val="24"/>
        </w:rPr>
        <w:t>签署前的确认谈判，率先达成一致的候选社会资本方即为预中标社会资本方，并签订采购结果确认谈判备忘录。</w:t>
      </w:r>
    </w:p>
    <w:p>
      <w:pPr>
        <w:spacing w:before="50" w:after="50" w:line="360" w:lineRule="auto"/>
        <w:ind w:firstLine="480" w:firstLineChars="200"/>
        <w:rPr>
          <w:rStyle w:val="39"/>
          <w:rFonts w:hint="eastAsia" w:ascii="宋体" w:hAnsi="宋体" w:eastAsia="宋体" w:cs="宋体"/>
          <w:b/>
          <w:color w:val="auto"/>
          <w:sz w:val="24"/>
        </w:rPr>
      </w:pPr>
      <w:r>
        <w:rPr>
          <w:rStyle w:val="39"/>
          <w:rFonts w:hint="eastAsia" w:ascii="宋体" w:hAnsi="宋体" w:eastAsia="宋体" w:cs="宋体"/>
          <w:color w:val="auto"/>
          <w:sz w:val="24"/>
          <w:highlight w:val="yellow"/>
        </w:rPr>
        <w:t>招标结果谈判确认时间根据评审情况确定，投标人应在开标场所等候通知。接到谈判通知的投标人应在通知要求的时间内，凭本人身份证和法定代表人身份证明文件，或法定代表人授权委托书，到达指定场所参加谈判。逾期未到达视为放弃谈判，采购人依照程序通知排名下一位投标人进行谈判。招标结果确认谈判不得改变合同实质性内容，其中合同中的可变的细节问题包括：采购需求的明确细化、绩效考核标准。</w:t>
      </w:r>
    </w:p>
    <w:p>
      <w:pPr>
        <w:keepNext/>
        <w:keepLines/>
        <w:spacing w:line="360" w:lineRule="auto"/>
        <w:outlineLvl w:val="1"/>
        <w:rPr>
          <w:rFonts w:hint="eastAsia" w:ascii="宋体" w:hAnsi="宋体" w:eastAsia="宋体" w:cs="宋体"/>
          <w:b/>
          <w:bCs/>
          <w:color w:val="auto"/>
          <w:sz w:val="24"/>
          <w:lang w:val="zh-CN"/>
        </w:rPr>
      </w:pPr>
      <w:bookmarkStart w:id="306" w:name="_Toc7384"/>
      <w:bookmarkStart w:id="307" w:name="_Toc22374"/>
      <w:bookmarkStart w:id="308" w:name="_Toc9747"/>
      <w:r>
        <w:rPr>
          <w:rFonts w:hint="eastAsia" w:ascii="宋体" w:hAnsi="宋体" w:eastAsia="宋体" w:cs="宋体"/>
          <w:b/>
          <w:bCs/>
          <w:color w:val="auto"/>
          <w:sz w:val="24"/>
          <w:lang w:val="zh-CN"/>
        </w:rPr>
        <w:t>四、评分细则</w:t>
      </w:r>
      <w:bookmarkEnd w:id="306"/>
      <w:bookmarkEnd w:id="307"/>
      <w:bookmarkEnd w:id="308"/>
    </w:p>
    <w:p>
      <w:pPr>
        <w:spacing w:line="360" w:lineRule="auto"/>
        <w:ind w:firstLine="480" w:firstLineChars="200"/>
        <w:rPr>
          <w:rFonts w:hint="eastAsia" w:ascii="宋体" w:hAnsi="宋体" w:eastAsia="宋体" w:cs="宋体"/>
          <w:color w:val="auto"/>
          <w:sz w:val="24"/>
          <w:lang w:val="zh-CN"/>
        </w:rPr>
      </w:pPr>
      <w:bookmarkStart w:id="309" w:name="_Hlk482040274"/>
      <w:r>
        <w:rPr>
          <w:rFonts w:hint="eastAsia" w:ascii="宋体" w:hAnsi="宋体" w:eastAsia="宋体" w:cs="宋体"/>
          <w:color w:val="auto"/>
          <w:sz w:val="24"/>
          <w:lang w:val="zh-CN"/>
        </w:rPr>
        <w:t>评标委员会（评审小组）以招标文件为依据，对投标文件进行评审，对投标人的投标文件内容进行量化打分。</w:t>
      </w:r>
      <w:r>
        <w:rPr>
          <w:rFonts w:hint="eastAsia" w:ascii="宋体" w:hAnsi="宋体" w:eastAsia="宋体" w:cs="宋体"/>
          <w:color w:val="auto"/>
          <w:sz w:val="24"/>
          <w:highlight w:val="yellow"/>
          <w:lang w:val="zh-CN"/>
        </w:rPr>
        <w:t>总分值100分，其中报价分（A）20分，商务条件（B）15分，技术文件（C）65分。</w:t>
      </w:r>
    </w:p>
    <w:p>
      <w:pPr>
        <w:pStyle w:val="6"/>
        <w:ind w:firstLine="643"/>
        <w:rPr>
          <w:rFonts w:hint="eastAsia" w:ascii="宋体" w:hAnsi="宋体" w:eastAsia="宋体" w:cs="宋体"/>
          <w:color w:val="auto"/>
          <w:lang w:val="zh-CN"/>
        </w:rPr>
      </w:pPr>
      <w:r>
        <w:rPr>
          <w:rFonts w:hint="eastAsia" w:ascii="宋体" w:hAnsi="宋体" w:eastAsia="宋体" w:cs="宋体"/>
          <w:b w:val="0"/>
          <w:bCs w:val="0"/>
          <w:color w:val="auto"/>
          <w:sz w:val="24"/>
          <w:szCs w:val="24"/>
          <w:lang w:val="zh-CN"/>
        </w:rPr>
        <w:t>（一）报价评分（代号A，总分20分）</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468"/>
        <w:gridCol w:w="697"/>
        <w:gridCol w:w="6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代号</w:t>
            </w:r>
          </w:p>
        </w:tc>
        <w:tc>
          <w:tcPr>
            <w:tcW w:w="79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评分项目</w:t>
            </w:r>
          </w:p>
        </w:tc>
        <w:tc>
          <w:tcPr>
            <w:tcW w:w="37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满分</w:t>
            </w:r>
          </w:p>
        </w:tc>
        <w:tc>
          <w:tcPr>
            <w:tcW w:w="347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评分标准说明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6"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A</w:t>
            </w:r>
          </w:p>
        </w:tc>
        <w:tc>
          <w:tcPr>
            <w:tcW w:w="799" w:type="pc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rPr>
            </w:pPr>
            <w:r>
              <w:rPr>
                <w:rFonts w:hint="eastAsia" w:ascii="宋体" w:hAnsi="宋体" w:eastAsia="宋体" w:cs="宋体"/>
                <w:color w:val="auto"/>
              </w:rPr>
              <w:t>建设工程费</w:t>
            </w:r>
          </w:p>
          <w:p>
            <w:pPr>
              <w:rPr>
                <w:rFonts w:hint="eastAsia" w:ascii="宋体" w:hAnsi="宋体" w:eastAsia="宋体" w:cs="宋体"/>
                <w:color w:val="auto"/>
              </w:rPr>
            </w:pPr>
            <w:r>
              <w:rPr>
                <w:rFonts w:hint="eastAsia" w:ascii="宋体" w:hAnsi="宋体" w:eastAsia="宋体" w:cs="宋体"/>
                <w:color w:val="auto"/>
              </w:rPr>
              <w:t>（满分10分）</w:t>
            </w:r>
          </w:p>
        </w:tc>
        <w:tc>
          <w:tcPr>
            <w:tcW w:w="378"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10分</w:t>
            </w:r>
          </w:p>
        </w:tc>
        <w:tc>
          <w:tcPr>
            <w:tcW w:w="3475" w:type="pct"/>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eastAsia="宋体" w:cs="宋体"/>
                <w:b/>
                <w:color w:val="auto"/>
                <w:kern w:val="0"/>
                <w:szCs w:val="21"/>
              </w:rPr>
            </w:pPr>
            <w:r>
              <w:rPr>
                <w:rFonts w:hint="eastAsia" w:ascii="宋体" w:hAnsi="宋体" w:eastAsia="宋体" w:cs="宋体"/>
                <w:b/>
                <w:color w:val="auto"/>
                <w:kern w:val="0"/>
                <w:szCs w:val="21"/>
              </w:rPr>
              <w:t>（1）建设工程费报价最高限额为35497.68万元。</w:t>
            </w:r>
            <w:r>
              <w:rPr>
                <w:rFonts w:hint="eastAsia" w:ascii="宋体" w:hAnsi="宋体" w:eastAsia="宋体" w:cs="宋体"/>
                <w:color w:val="auto"/>
                <w:kern w:val="0"/>
                <w:szCs w:val="21"/>
              </w:rPr>
              <w:t>投标人本项报价超过最高限额的，作无效响应处理。</w:t>
            </w:r>
          </w:p>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（2）评分标准：以建设工程费报价最低的投标人报价为评分基准价，其报价分得满分，其他投标人的报价得分统一按照下列公式计算：</w:t>
            </w:r>
          </w:p>
          <w:p>
            <w:pPr>
              <w:pStyle w:val="50"/>
              <w:spacing w:before="0" w:after="0" w:line="240" w:lineRule="auto"/>
              <w:ind w:firstLine="0" w:firstLineChars="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投标人建设工程费报价得分=（评标基准价/某投标人建设工程费投标报价）×10分。</w:t>
            </w:r>
          </w:p>
          <w:p>
            <w:pPr>
              <w:ind w:firstLine="420" w:firstLineChars="200"/>
              <w:rPr>
                <w:rFonts w:hint="eastAsia" w:ascii="宋体" w:hAnsi="宋体" w:eastAsia="宋体" w:cs="宋体"/>
                <w:color w:val="auto"/>
                <w:kern w:val="0"/>
                <w:szCs w:val="21"/>
              </w:rPr>
            </w:pPr>
            <w:r>
              <w:rPr>
                <w:rFonts w:hint="eastAsia" w:ascii="宋体" w:hAnsi="宋体" w:eastAsia="宋体" w:cs="宋体"/>
                <w:color w:val="auto"/>
                <w:kern w:val="0"/>
                <w:szCs w:val="21"/>
              </w:rPr>
              <w:t>本项目以南宁市财政局审批的施工图预算上控价作为社会资本方工程费投标报价上限控制价，社会资本投标报价不得超过上限控制价。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6"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kern w:val="0"/>
                <w:szCs w:val="21"/>
              </w:rPr>
            </w:pPr>
          </w:p>
        </w:tc>
        <w:tc>
          <w:tcPr>
            <w:tcW w:w="799" w:type="pc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rPr>
            </w:pPr>
            <w:r>
              <w:rPr>
                <w:rFonts w:hint="eastAsia" w:ascii="宋体" w:hAnsi="宋体" w:eastAsia="宋体" w:cs="宋体"/>
                <w:color w:val="auto"/>
              </w:rPr>
              <w:t>工程建设其他费</w:t>
            </w:r>
          </w:p>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（满分5分）</w:t>
            </w:r>
          </w:p>
        </w:tc>
        <w:tc>
          <w:tcPr>
            <w:tcW w:w="378"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5分</w:t>
            </w:r>
          </w:p>
        </w:tc>
        <w:tc>
          <w:tcPr>
            <w:tcW w:w="3475" w:type="pct"/>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（1）</w:t>
            </w:r>
            <w:r>
              <w:rPr>
                <w:rFonts w:hint="eastAsia" w:ascii="宋体" w:hAnsi="宋体" w:eastAsia="宋体" w:cs="宋体"/>
                <w:b/>
                <w:color w:val="auto"/>
                <w:kern w:val="0"/>
                <w:szCs w:val="21"/>
              </w:rPr>
              <w:t>工程建设其他费报价最高限额为4089.32万元。投</w:t>
            </w:r>
            <w:r>
              <w:rPr>
                <w:rFonts w:hint="eastAsia" w:ascii="宋体" w:hAnsi="宋体" w:eastAsia="宋体" w:cs="宋体"/>
                <w:color w:val="auto"/>
                <w:kern w:val="0"/>
                <w:szCs w:val="21"/>
              </w:rPr>
              <w:t>标人本项报价超过最高限额的，作无效响应处理。</w:t>
            </w:r>
          </w:p>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（2）评分标准：以工程建设其他费报价最低的投标人报价为评分基准价，其报价分得满分，其他投标人的报价得分统一按照下列公式计算：</w:t>
            </w:r>
          </w:p>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投标人工程建设其他费报价得分=（评标基准价/某投标人工程建设其他费投标报价）×5分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6"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kern w:val="0"/>
                <w:szCs w:val="21"/>
              </w:rPr>
            </w:pPr>
          </w:p>
        </w:tc>
        <w:tc>
          <w:tcPr>
            <w:tcW w:w="799" w:type="pc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rPr>
            </w:pPr>
            <w:r>
              <w:rPr>
                <w:rFonts w:hint="eastAsia" w:ascii="宋体" w:hAnsi="宋体" w:eastAsia="宋体" w:cs="宋体"/>
                <w:color w:val="auto"/>
              </w:rPr>
              <w:t>项目公司全投资所得税前内部收益率（满分5分）</w:t>
            </w:r>
          </w:p>
        </w:tc>
        <w:tc>
          <w:tcPr>
            <w:tcW w:w="378"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5分</w:t>
            </w:r>
          </w:p>
        </w:tc>
        <w:tc>
          <w:tcPr>
            <w:tcW w:w="3475" w:type="pct"/>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（1）</w:t>
            </w:r>
            <w:r>
              <w:rPr>
                <w:rFonts w:hint="eastAsia" w:ascii="宋体" w:hAnsi="宋体" w:eastAsia="宋体" w:cs="宋体"/>
                <w:b/>
                <w:bCs/>
                <w:color w:val="auto"/>
                <w:kern w:val="0"/>
                <w:szCs w:val="21"/>
              </w:rPr>
              <w:t>项目公司全投资所得税前内部收益率</w:t>
            </w:r>
            <w:r>
              <w:rPr>
                <w:rFonts w:hint="eastAsia" w:ascii="宋体" w:hAnsi="宋体" w:eastAsia="宋体" w:cs="宋体"/>
                <w:b/>
                <w:color w:val="auto"/>
                <w:kern w:val="0"/>
                <w:szCs w:val="21"/>
              </w:rPr>
              <w:t>报价最高限价为</w:t>
            </w:r>
            <w:r>
              <w:rPr>
                <w:rFonts w:hint="eastAsia" w:ascii="宋体" w:hAnsi="宋体" w:eastAsia="宋体" w:cs="宋体"/>
                <w:b/>
                <w:color w:val="auto"/>
                <w:szCs w:val="21"/>
              </w:rPr>
              <w:t>6.5%</w:t>
            </w:r>
            <w:r>
              <w:rPr>
                <w:rFonts w:hint="eastAsia" w:ascii="宋体" w:hAnsi="宋体" w:eastAsia="宋体" w:cs="宋体"/>
                <w:b/>
                <w:color w:val="auto"/>
                <w:kern w:val="0"/>
                <w:szCs w:val="21"/>
              </w:rPr>
              <w:t>。</w:t>
            </w:r>
            <w:r>
              <w:rPr>
                <w:rFonts w:hint="eastAsia" w:ascii="宋体" w:hAnsi="宋体" w:eastAsia="宋体" w:cs="宋体"/>
                <w:color w:val="auto"/>
                <w:kern w:val="0"/>
                <w:szCs w:val="21"/>
              </w:rPr>
              <w:t>投标人本项报价超过最高限额的，作无效相应处理；</w:t>
            </w:r>
          </w:p>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（2）评分标准：以项目公司全投资所得税前内部收益率报价最低的投标人报价为评分基准价，其报价分得满分，其他投标人的报价得分统一按照下列公式计算：</w:t>
            </w:r>
          </w:p>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投标人项目公司全投资所得税前内部收益率报价得分=（评标基准价/投标人项目公司全投资所得税前内部收益率报价）×5分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1524" w:type="pct"/>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合计</w:t>
            </w:r>
          </w:p>
        </w:tc>
        <w:tc>
          <w:tcPr>
            <w:tcW w:w="3475"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20分</w:t>
            </w:r>
          </w:p>
        </w:tc>
      </w:tr>
      <w:bookmarkEnd w:id="309"/>
    </w:tbl>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报价说明：</w:t>
      </w:r>
    </w:p>
    <w:p>
      <w:pPr>
        <w:adjustRightInd w:val="0"/>
        <w:snapToGrid w:val="0"/>
        <w:spacing w:line="360" w:lineRule="auto"/>
        <w:ind w:firstLine="422" w:firstLineChars="200"/>
        <w:outlineLvl w:val="3"/>
        <w:rPr>
          <w:rFonts w:hint="eastAsia" w:ascii="宋体" w:hAnsi="宋体" w:eastAsia="宋体" w:cs="宋体"/>
          <w:b/>
          <w:bCs/>
          <w:color w:val="auto"/>
          <w:szCs w:val="21"/>
          <w:lang w:bidi="ar"/>
        </w:rPr>
      </w:pPr>
      <w:r>
        <w:rPr>
          <w:rFonts w:hint="eastAsia" w:ascii="宋体" w:hAnsi="宋体" w:eastAsia="宋体" w:cs="宋体"/>
          <w:b/>
          <w:bCs/>
          <w:color w:val="auto"/>
          <w:szCs w:val="21"/>
          <w:lang w:bidi="ar"/>
        </w:rPr>
        <w:t>1.建设工程费</w:t>
      </w:r>
    </w:p>
    <w:p>
      <w:pPr>
        <w:pStyle w:val="50"/>
        <w:spacing w:before="0" w:after="0"/>
        <w:ind w:firstLine="42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本项目工程费包括南宁市财政投资评审中心审定的施工招标控制价及工程暂估费。其中，已有工程量清单的部分按照南宁市财政投资评审中心审定的招标工程量清单进行报价，社会资本方投标报价不得超过南宁市财政投资评审中心审定的招标控制价；</w:t>
      </w:r>
      <w:r>
        <w:rPr>
          <w:rFonts w:hint="eastAsia" w:ascii="宋体" w:hAnsi="宋体" w:eastAsia="宋体" w:cs="宋体"/>
          <w:color w:val="auto"/>
          <w:sz w:val="21"/>
          <w:szCs w:val="21"/>
        </w:rPr>
        <w:t>工程暂估费</w:t>
      </w:r>
      <w:r>
        <w:rPr>
          <w:rFonts w:hint="eastAsia" w:ascii="宋体" w:hAnsi="宋体" w:eastAsia="宋体" w:cs="宋体"/>
          <w:color w:val="auto"/>
          <w:kern w:val="0"/>
          <w:sz w:val="21"/>
          <w:szCs w:val="21"/>
        </w:rPr>
        <w:t>投标</w:t>
      </w:r>
      <w:r>
        <w:rPr>
          <w:rFonts w:hint="eastAsia" w:ascii="宋体" w:hAnsi="宋体" w:eastAsia="宋体" w:cs="宋体"/>
          <w:color w:val="auto"/>
          <w:sz w:val="21"/>
          <w:szCs w:val="21"/>
        </w:rPr>
        <w:t>报价不得超过5000万元。</w:t>
      </w:r>
    </w:p>
    <w:p>
      <w:pPr>
        <w:adjustRightInd w:val="0"/>
        <w:snapToGrid w:val="0"/>
        <w:spacing w:line="360" w:lineRule="auto"/>
        <w:ind w:firstLine="422" w:firstLineChars="200"/>
        <w:outlineLvl w:val="3"/>
        <w:rPr>
          <w:rFonts w:hint="eastAsia" w:ascii="宋体" w:hAnsi="宋体" w:eastAsia="宋体" w:cs="宋体"/>
          <w:b/>
          <w:bCs/>
          <w:color w:val="auto"/>
          <w:szCs w:val="21"/>
        </w:rPr>
      </w:pPr>
      <w:r>
        <w:rPr>
          <w:rFonts w:hint="eastAsia" w:ascii="宋体" w:hAnsi="宋体" w:eastAsia="宋体" w:cs="宋体"/>
          <w:b/>
          <w:bCs/>
          <w:color w:val="auto"/>
          <w:szCs w:val="21"/>
        </w:rPr>
        <w:t>2.工程建设其他费</w:t>
      </w:r>
    </w:p>
    <w:p>
      <w:pPr>
        <w:pStyle w:val="50"/>
        <w:spacing w:before="0" w:after="0"/>
        <w:ind w:firstLine="420"/>
        <w:rPr>
          <w:rFonts w:hint="eastAsia" w:ascii="宋体" w:hAnsi="宋体" w:eastAsia="宋体" w:cs="宋体"/>
          <w:color w:val="auto"/>
          <w:kern w:val="0"/>
          <w:sz w:val="21"/>
          <w:szCs w:val="21"/>
        </w:rPr>
      </w:pPr>
      <w:r>
        <w:rPr>
          <w:rFonts w:hint="eastAsia" w:ascii="宋体" w:hAnsi="宋体" w:eastAsia="宋体" w:cs="宋体"/>
          <w:color w:val="auto"/>
          <w:sz w:val="21"/>
          <w:szCs w:val="21"/>
        </w:rPr>
        <w:t>本项目采购社会资本方前，项目的前期工作由政府方负责，监理单位由实施机构采购。工程建设其他费中，已签订合同的项以合同金额为准，</w:t>
      </w:r>
      <w:r>
        <w:rPr>
          <w:rFonts w:hint="eastAsia" w:ascii="宋体" w:hAnsi="宋体" w:eastAsia="宋体" w:cs="宋体"/>
          <w:color w:val="auto"/>
          <w:kern w:val="0"/>
          <w:sz w:val="21"/>
          <w:szCs w:val="21"/>
        </w:rPr>
        <w:t>已签订合同的项目如下表所示：</w:t>
      </w:r>
    </w:p>
    <w:p>
      <w:pPr>
        <w:pStyle w:val="50"/>
        <w:spacing w:before="0" w:after="0"/>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表9-3-1 已签订合同的工程建设其他费</w:t>
      </w:r>
    </w:p>
    <w:tbl>
      <w:tblPr>
        <w:tblStyle w:val="23"/>
        <w:tblW w:w="4997" w:type="pct"/>
        <w:tblInd w:w="0" w:type="dxa"/>
        <w:tblLayout w:type="autofit"/>
        <w:tblCellMar>
          <w:top w:w="0" w:type="dxa"/>
          <w:left w:w="0" w:type="dxa"/>
          <w:bottom w:w="0" w:type="dxa"/>
          <w:right w:w="0" w:type="dxa"/>
        </w:tblCellMar>
      </w:tblPr>
      <w:tblGrid>
        <w:gridCol w:w="623"/>
        <w:gridCol w:w="826"/>
        <w:gridCol w:w="897"/>
        <w:gridCol w:w="897"/>
        <w:gridCol w:w="897"/>
        <w:gridCol w:w="898"/>
        <w:gridCol w:w="898"/>
        <w:gridCol w:w="898"/>
        <w:gridCol w:w="775"/>
        <w:gridCol w:w="765"/>
        <w:gridCol w:w="624"/>
      </w:tblGrid>
      <w:tr>
        <w:tblPrEx>
          <w:tblCellMar>
            <w:top w:w="0" w:type="dxa"/>
            <w:left w:w="0" w:type="dxa"/>
            <w:bottom w:w="0" w:type="dxa"/>
            <w:right w:w="0" w:type="dxa"/>
          </w:tblCellMar>
        </w:tblPrEx>
        <w:trPr>
          <w:trHeight w:val="1080" w:hRule="atLeast"/>
        </w:trPr>
        <w:tc>
          <w:tcPr>
            <w:tcW w:w="3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序号</w:t>
            </w:r>
          </w:p>
        </w:tc>
        <w:tc>
          <w:tcPr>
            <w:tcW w:w="46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费用名称</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2020年南宁市城镇老旧小区改造工程江南区第七片区</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2020年南宁市城镇老旧小区改造工程江南区第八片区</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2020年南宁市城镇老旧小区改造工程西乡塘区第二片区</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2020年南宁市城镇老旧小区改造工程兴宁区第二片区</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2020年南宁市城镇老旧小区改造工程青秀区第一片区</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2020年南宁市城镇老旧小区改造工程青秀区第二片区</w:t>
            </w:r>
          </w:p>
        </w:tc>
        <w:tc>
          <w:tcPr>
            <w:tcW w:w="4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2020年南宁市城镇老旧小区改造工程（三期）</w:t>
            </w:r>
          </w:p>
        </w:tc>
        <w:tc>
          <w:tcPr>
            <w:tcW w:w="3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小计</w:t>
            </w:r>
          </w:p>
        </w:tc>
        <w:tc>
          <w:tcPr>
            <w:tcW w:w="3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备注</w:t>
            </w:r>
          </w:p>
        </w:tc>
      </w:tr>
      <w:tr>
        <w:tblPrEx>
          <w:tblCellMar>
            <w:top w:w="0" w:type="dxa"/>
            <w:left w:w="0" w:type="dxa"/>
            <w:bottom w:w="0" w:type="dxa"/>
            <w:right w:w="0" w:type="dxa"/>
          </w:tblCellMar>
        </w:tblPrEx>
        <w:trPr>
          <w:trHeight w:val="700" w:hRule="atLeast"/>
        </w:trPr>
        <w:tc>
          <w:tcPr>
            <w:tcW w:w="3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1</w:t>
            </w:r>
          </w:p>
        </w:tc>
        <w:tc>
          <w:tcPr>
            <w:tcW w:w="46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项目建议书编制费用</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3.53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4.70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11.21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3.75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9.24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7.46 </w:t>
            </w:r>
          </w:p>
        </w:tc>
        <w:tc>
          <w:tcPr>
            <w:tcW w:w="4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2.47 </w:t>
            </w:r>
          </w:p>
        </w:tc>
        <w:tc>
          <w:tcPr>
            <w:tcW w:w="3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42.36 </w:t>
            </w:r>
          </w:p>
        </w:tc>
        <w:tc>
          <w:tcPr>
            <w:tcW w:w="3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合同价</w:t>
            </w:r>
          </w:p>
        </w:tc>
      </w:tr>
      <w:tr>
        <w:tblPrEx>
          <w:tblCellMar>
            <w:top w:w="0" w:type="dxa"/>
            <w:left w:w="0" w:type="dxa"/>
            <w:bottom w:w="0" w:type="dxa"/>
            <w:right w:w="0" w:type="dxa"/>
          </w:tblCellMar>
        </w:tblPrEx>
        <w:trPr>
          <w:trHeight w:val="700" w:hRule="atLeast"/>
        </w:trPr>
        <w:tc>
          <w:tcPr>
            <w:tcW w:w="3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2</w:t>
            </w:r>
          </w:p>
        </w:tc>
        <w:tc>
          <w:tcPr>
            <w:tcW w:w="46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可行性研究报告编制费用</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7.15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9.40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22.52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7.52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18.49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14.92 </w:t>
            </w:r>
          </w:p>
        </w:tc>
        <w:tc>
          <w:tcPr>
            <w:tcW w:w="4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5.34 </w:t>
            </w:r>
          </w:p>
        </w:tc>
        <w:tc>
          <w:tcPr>
            <w:tcW w:w="3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85.34 </w:t>
            </w:r>
          </w:p>
        </w:tc>
        <w:tc>
          <w:tcPr>
            <w:tcW w:w="3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合同价</w:t>
            </w:r>
          </w:p>
        </w:tc>
      </w:tr>
      <w:tr>
        <w:tblPrEx>
          <w:tblCellMar>
            <w:top w:w="0" w:type="dxa"/>
            <w:left w:w="0" w:type="dxa"/>
            <w:bottom w:w="0" w:type="dxa"/>
            <w:right w:w="0" w:type="dxa"/>
          </w:tblCellMar>
        </w:tblPrEx>
        <w:trPr>
          <w:trHeight w:val="700" w:hRule="atLeast"/>
        </w:trPr>
        <w:tc>
          <w:tcPr>
            <w:tcW w:w="3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3</w:t>
            </w:r>
          </w:p>
        </w:tc>
        <w:tc>
          <w:tcPr>
            <w:tcW w:w="46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工程勘察费</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0.00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0.00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0.00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0.00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0.00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2.99 </w:t>
            </w:r>
          </w:p>
        </w:tc>
        <w:tc>
          <w:tcPr>
            <w:tcW w:w="4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0.00 </w:t>
            </w:r>
          </w:p>
        </w:tc>
        <w:tc>
          <w:tcPr>
            <w:tcW w:w="3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2.99 </w:t>
            </w:r>
          </w:p>
        </w:tc>
        <w:tc>
          <w:tcPr>
            <w:tcW w:w="3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合同价</w:t>
            </w:r>
          </w:p>
        </w:tc>
      </w:tr>
      <w:tr>
        <w:tblPrEx>
          <w:tblCellMar>
            <w:top w:w="0" w:type="dxa"/>
            <w:left w:w="0" w:type="dxa"/>
            <w:bottom w:w="0" w:type="dxa"/>
            <w:right w:w="0" w:type="dxa"/>
          </w:tblCellMar>
        </w:tblPrEx>
        <w:trPr>
          <w:trHeight w:val="700" w:hRule="atLeast"/>
        </w:trPr>
        <w:tc>
          <w:tcPr>
            <w:tcW w:w="3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4</w:t>
            </w:r>
          </w:p>
        </w:tc>
        <w:tc>
          <w:tcPr>
            <w:tcW w:w="46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工程设计费</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74.29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116.98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358.27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79.28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252.83 </w:t>
            </w:r>
          </w:p>
        </w:tc>
        <w:tc>
          <w:tcPr>
            <w:tcW w:w="5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209.85 </w:t>
            </w:r>
          </w:p>
        </w:tc>
        <w:tc>
          <w:tcPr>
            <w:tcW w:w="4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60.14 </w:t>
            </w:r>
          </w:p>
        </w:tc>
        <w:tc>
          <w:tcPr>
            <w:tcW w:w="3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 xml:space="preserve">1151.64 </w:t>
            </w:r>
          </w:p>
        </w:tc>
        <w:tc>
          <w:tcPr>
            <w:tcW w:w="3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合同价</w:t>
            </w:r>
          </w:p>
        </w:tc>
      </w:tr>
    </w:tbl>
    <w:p>
      <w:pPr>
        <w:pStyle w:val="50"/>
        <w:spacing w:before="0" w:after="0"/>
        <w:ind w:firstLine="420"/>
        <w:rPr>
          <w:rFonts w:hint="eastAsia" w:ascii="宋体" w:hAnsi="宋体" w:eastAsia="宋体" w:cs="宋体"/>
          <w:color w:val="auto"/>
          <w:kern w:val="0"/>
          <w:sz w:val="21"/>
          <w:szCs w:val="21"/>
        </w:rPr>
      </w:pPr>
      <w:r>
        <w:rPr>
          <w:rFonts w:hint="eastAsia" w:ascii="宋体" w:hAnsi="宋体" w:eastAsia="宋体" w:cs="宋体"/>
          <w:color w:val="auto"/>
          <w:sz w:val="21"/>
          <w:szCs w:val="21"/>
        </w:rPr>
        <w:t>未签订合同的项以批复的初步设计概算相应的金额作为社会资本方工程建设其</w:t>
      </w:r>
      <w:r>
        <w:rPr>
          <w:rFonts w:hint="eastAsia" w:ascii="宋体" w:hAnsi="宋体" w:eastAsia="宋体" w:cs="宋体"/>
          <w:color w:val="auto"/>
          <w:kern w:val="0"/>
          <w:sz w:val="21"/>
          <w:szCs w:val="21"/>
        </w:rPr>
        <w:t>他费报价上限控制价，社会资本投标报价不得超过批复的初步设计概算金额。已批复的初步设计概算工程建设其他费清单详见“南宁市2020年第三批城镇老旧小区改造项目PPP实施方案”。</w:t>
      </w:r>
    </w:p>
    <w:p>
      <w:pPr>
        <w:adjustRightInd w:val="0"/>
        <w:snapToGrid w:val="0"/>
        <w:spacing w:line="360" w:lineRule="auto"/>
        <w:ind w:firstLine="422" w:firstLineChars="200"/>
        <w:outlineLvl w:val="3"/>
        <w:rPr>
          <w:rFonts w:hint="eastAsia" w:ascii="宋体" w:hAnsi="宋体" w:eastAsia="宋体" w:cs="宋体"/>
          <w:b/>
          <w:bCs/>
          <w:color w:val="auto"/>
          <w:szCs w:val="21"/>
          <w:lang w:bidi="ar"/>
        </w:rPr>
      </w:pPr>
      <w:r>
        <w:rPr>
          <w:rFonts w:hint="eastAsia" w:ascii="宋体" w:hAnsi="宋体" w:eastAsia="宋体" w:cs="宋体"/>
          <w:b/>
          <w:bCs/>
          <w:color w:val="auto"/>
          <w:szCs w:val="21"/>
          <w:lang w:bidi="ar"/>
        </w:rPr>
        <w:t>3.全投资所得税前内部收益率</w:t>
      </w:r>
    </w:p>
    <w:p>
      <w:pPr>
        <w:pStyle w:val="50"/>
        <w:spacing w:before="0" w:after="0"/>
        <w:ind w:firstLine="42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社会资本需对全投资所得税前内部收益率进行报价。</w:t>
      </w:r>
    </w:p>
    <w:p>
      <w:pPr>
        <w:pStyle w:val="50"/>
        <w:spacing w:before="0" w:after="0"/>
        <w:ind w:firstLine="42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本项目参考南宁市已落地PPP项目的全投资所得税前内部收益率中标结果，以6.5%为全投资所得税前内部收益率上限控制价。社会资本投标报价不得高于上限控制价。</w:t>
      </w:r>
    </w:p>
    <w:p>
      <w:pPr>
        <w:pStyle w:val="50"/>
        <w:ind w:firstLine="42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社会资本采用全投资所得税前内部收益率倒推法，将本方案《项目公司全投资现金流量表》测算的运营收入（广告收入、电动自行车及汽车充电设施收入物流快递设施收入）和日常运营维护成本代入计算公式中推导出本项目的全投资所得税前内部收益率。</w:t>
      </w:r>
    </w:p>
    <w:p>
      <w:pPr>
        <w:spacing w:line="360" w:lineRule="auto"/>
        <w:ind w:firstLine="420" w:firstLineChars="200"/>
        <w:rPr>
          <w:rFonts w:hint="eastAsia" w:ascii="宋体" w:hAnsi="宋体" w:eastAsia="宋体" w:cs="宋体"/>
          <w:color w:val="auto"/>
          <w:kern w:val="0"/>
          <w:szCs w:val="21"/>
        </w:rPr>
      </w:pPr>
      <w:r>
        <w:rPr>
          <w:rFonts w:hint="eastAsia" w:ascii="宋体" w:hAnsi="宋体" w:eastAsia="宋体" w:cs="宋体"/>
          <w:color w:val="auto"/>
          <w:kern w:val="0"/>
          <w:szCs w:val="21"/>
          <w:lang w:bidi="ar"/>
        </w:rPr>
        <w:t>项目公司基于本项目的经营收入仅限于实施方案测算的收入</w:t>
      </w:r>
      <w:r>
        <w:rPr>
          <w:rFonts w:hint="eastAsia" w:ascii="宋体" w:hAnsi="宋体" w:eastAsia="宋体" w:cs="宋体"/>
          <w:color w:val="auto"/>
          <w:kern w:val="0"/>
          <w:szCs w:val="21"/>
        </w:rPr>
        <w:t>（广告收入、电动自行车及汽车充电设施收入物流快递设施收入</w:t>
      </w:r>
      <w:r>
        <w:rPr>
          <w:rFonts w:hint="eastAsia" w:ascii="宋体" w:hAnsi="宋体" w:eastAsia="宋体" w:cs="宋体"/>
          <w:color w:val="auto"/>
          <w:kern w:val="0"/>
          <w:szCs w:val="21"/>
          <w:lang w:bidi="ar"/>
        </w:rPr>
        <w:t>）。运营期内，南宁市人民政府有新增其他经营项目开发需求的，项目公司应协助南宁市人民政府开发经营。同时，项目公司也可以向南宁市人民政府提议开发新增经营项目，但未经南宁市人民政府审批同意前不得实施，项目公司擅自新增运营项目，政府方有权没收该新增项目的全部收入且有权提取10%的运营履约担保之下款项。实施方案未预计的收入纳入审核清算范围中。</w:t>
      </w:r>
    </w:p>
    <w:p>
      <w:pPr>
        <w:pStyle w:val="6"/>
        <w:ind w:firstLine="422"/>
        <w:rPr>
          <w:rFonts w:hint="eastAsia" w:ascii="宋体" w:hAnsi="宋体" w:eastAsia="宋体" w:cs="宋体"/>
          <w:color w:val="auto"/>
          <w:sz w:val="24"/>
          <w:szCs w:val="24"/>
          <w:lang w:val="zh-CN"/>
        </w:rPr>
      </w:pPr>
      <w:r>
        <w:rPr>
          <w:rFonts w:hint="eastAsia" w:ascii="宋体" w:hAnsi="宋体" w:eastAsia="宋体" w:cs="宋体"/>
          <w:b w:val="0"/>
          <w:bCs w:val="0"/>
          <w:color w:val="auto"/>
          <w:sz w:val="24"/>
          <w:szCs w:val="24"/>
          <w:lang w:val="zh-CN"/>
        </w:rPr>
        <w:t>（二）商务评分（代号B，总分15分）</w:t>
      </w:r>
    </w:p>
    <w:tbl>
      <w:tblPr>
        <w:tblStyle w:val="23"/>
        <w:tblW w:w="8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598"/>
        <w:gridCol w:w="1018"/>
        <w:gridCol w:w="5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代号</w:t>
            </w:r>
          </w:p>
        </w:tc>
        <w:tc>
          <w:tcPr>
            <w:tcW w:w="2616" w:type="dxa"/>
            <w:gridSpan w:val="2"/>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评分项目</w:t>
            </w:r>
          </w:p>
        </w:tc>
        <w:tc>
          <w:tcPr>
            <w:tcW w:w="551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评分标准说明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81" w:type="dxa"/>
            <w:vMerge w:val="restart"/>
            <w:tcBorders>
              <w:top w:val="single" w:color="auto" w:sz="4" w:space="0"/>
              <w:left w:val="single" w:color="auto" w:sz="4" w:space="0"/>
              <w:bottom w:val="single" w:color="auto" w:sz="4" w:space="0"/>
              <w:right w:val="single" w:color="auto" w:sz="4" w:space="0"/>
            </w:tcBorders>
          </w:tcPr>
          <w:p>
            <w:pPr>
              <w:widowControl/>
              <w:spacing w:line="400" w:lineRule="exact"/>
              <w:jc w:val="center"/>
              <w:rPr>
                <w:rFonts w:hint="eastAsia" w:ascii="宋体" w:hAnsi="宋体" w:eastAsia="宋体" w:cs="宋体"/>
                <w:color w:val="auto"/>
                <w:kern w:val="0"/>
                <w:szCs w:val="21"/>
              </w:rPr>
            </w:pPr>
            <w:r>
              <w:rPr>
                <w:rFonts w:hint="eastAsia" w:ascii="宋体" w:hAnsi="宋体" w:eastAsia="宋体" w:cs="宋体"/>
                <w:color w:val="auto"/>
                <w:kern w:val="0"/>
                <w:szCs w:val="21"/>
              </w:rPr>
              <w:t>B</w:t>
            </w:r>
          </w:p>
        </w:tc>
        <w:tc>
          <w:tcPr>
            <w:tcW w:w="159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hint="eastAsia" w:ascii="宋体" w:hAnsi="宋体" w:eastAsia="宋体" w:cs="宋体"/>
                <w:color w:val="auto"/>
                <w:kern w:val="0"/>
                <w:szCs w:val="21"/>
              </w:rPr>
            </w:pPr>
            <w:r>
              <w:rPr>
                <w:rFonts w:hint="eastAsia" w:ascii="宋体" w:hAnsi="宋体" w:eastAsia="宋体" w:cs="宋体"/>
                <w:color w:val="auto"/>
                <w:kern w:val="0"/>
                <w:szCs w:val="21"/>
              </w:rPr>
              <w:t>1、企业实力</w:t>
            </w:r>
          </w:p>
          <w:p>
            <w:pPr>
              <w:widowControl/>
              <w:spacing w:line="400" w:lineRule="exact"/>
              <w:jc w:val="left"/>
              <w:rPr>
                <w:rFonts w:hint="eastAsia" w:ascii="宋体" w:hAnsi="宋体" w:eastAsia="宋体" w:cs="宋体"/>
                <w:color w:val="auto"/>
                <w:kern w:val="0"/>
                <w:szCs w:val="21"/>
              </w:rPr>
            </w:pPr>
            <w:r>
              <w:rPr>
                <w:rFonts w:hint="eastAsia" w:ascii="宋体" w:hAnsi="宋体" w:eastAsia="宋体" w:cs="宋体"/>
                <w:color w:val="auto"/>
                <w:kern w:val="0"/>
                <w:szCs w:val="21"/>
              </w:rPr>
              <w:t>（满分10分）</w:t>
            </w:r>
          </w:p>
        </w:tc>
        <w:tc>
          <w:tcPr>
            <w:tcW w:w="101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eastAsia="宋体" w:cs="宋体"/>
                <w:color w:val="auto"/>
                <w:kern w:val="0"/>
                <w:szCs w:val="21"/>
              </w:rPr>
            </w:pPr>
            <w:r>
              <w:rPr>
                <w:rFonts w:hint="eastAsia" w:ascii="宋体" w:hAnsi="宋体" w:eastAsia="宋体" w:cs="宋体"/>
                <w:color w:val="auto"/>
                <w:kern w:val="0"/>
                <w:szCs w:val="21"/>
              </w:rPr>
              <w:t>10分</w:t>
            </w:r>
          </w:p>
        </w:tc>
        <w:tc>
          <w:tcPr>
            <w:tcW w:w="5513"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auto"/>
                <w:kern w:val="0"/>
                <w:szCs w:val="21"/>
              </w:rPr>
            </w:pPr>
            <w:r>
              <w:rPr>
                <w:rFonts w:hint="eastAsia" w:ascii="宋体" w:hAnsi="宋体" w:eastAsia="宋体" w:cs="宋体"/>
                <w:color w:val="auto"/>
                <w:kern w:val="0"/>
                <w:szCs w:val="21"/>
              </w:rPr>
              <w:t>具有良好的银行资信、财务状况以及相应的投融资、偿债能力，以满足项目投融资的要求。</w:t>
            </w:r>
          </w:p>
          <w:p>
            <w:pPr>
              <w:pStyle w:val="30"/>
              <w:rPr>
                <w:rFonts w:hint="eastAsia" w:ascii="宋体" w:hAnsi="宋体" w:eastAsia="宋体" w:cs="宋体"/>
                <w:color w:val="auto"/>
                <w:sz w:val="21"/>
                <w:szCs w:val="21"/>
              </w:rPr>
            </w:pPr>
            <w:r>
              <w:rPr>
                <w:rFonts w:hint="eastAsia" w:ascii="宋体" w:hAnsi="宋体" w:eastAsia="宋体" w:cs="宋体"/>
                <w:color w:val="auto"/>
                <w:sz w:val="21"/>
                <w:szCs w:val="21"/>
              </w:rPr>
              <w:t>1、投融资能力</w:t>
            </w:r>
          </w:p>
          <w:p>
            <w:pPr>
              <w:pStyle w:val="30"/>
              <w:rPr>
                <w:rFonts w:hint="eastAsia" w:ascii="宋体" w:hAnsi="宋体" w:eastAsia="宋体" w:cs="宋体"/>
                <w:color w:val="auto"/>
                <w:sz w:val="21"/>
                <w:szCs w:val="21"/>
              </w:rPr>
            </w:pPr>
            <w:r>
              <w:rPr>
                <w:rFonts w:hint="eastAsia" w:ascii="宋体" w:hAnsi="宋体" w:eastAsia="宋体" w:cs="宋体"/>
                <w:color w:val="auto"/>
                <w:sz w:val="21"/>
                <w:szCs w:val="21"/>
              </w:rPr>
              <w:t>投标人（若为联合体，联合体成员均可）提供在资格预审申请文件截止之日前30个日历天内不低于1000万元存款证明材料及不低于3089.32万元的投融资能力证明资料（银行授信证明）得基本分1分。在此基础上存款证明材料每增加1千万或投融资能力证明资料每增加1千万的，加0.5分，本项最多3分。（须提供金融机构出具的合法有效的存款证明及授信额度证明加盖公章。）</w:t>
            </w:r>
            <w:r>
              <w:rPr>
                <w:rFonts w:hint="eastAsia" w:ascii="宋体" w:hAnsi="宋体" w:eastAsia="宋体" w:cs="宋体"/>
                <w:bCs w:val="0"/>
                <w:color w:val="auto"/>
                <w:spacing w:val="0"/>
                <w:kern w:val="0"/>
                <w:sz w:val="21"/>
                <w:szCs w:val="21"/>
              </w:rPr>
              <w:t>投标人如为联合体的，需在投标文件中明确指定考核联合体中的某一成员</w:t>
            </w:r>
            <w:r>
              <w:rPr>
                <w:rFonts w:hint="eastAsia" w:ascii="宋体" w:hAnsi="宋体" w:eastAsia="宋体" w:cs="宋体"/>
                <w:color w:val="auto"/>
                <w:kern w:val="0"/>
                <w:sz w:val="21"/>
                <w:szCs w:val="21"/>
              </w:rPr>
              <w:t>。</w:t>
            </w:r>
          </w:p>
          <w:p>
            <w:pPr>
              <w:widowControl/>
              <w:spacing w:line="360" w:lineRule="exact"/>
              <w:rPr>
                <w:rFonts w:hint="eastAsia" w:ascii="宋体" w:hAnsi="宋体" w:eastAsia="宋体" w:cs="宋体"/>
                <w:color w:val="auto"/>
                <w:kern w:val="0"/>
                <w:szCs w:val="21"/>
              </w:rPr>
            </w:pPr>
            <w:r>
              <w:rPr>
                <w:rFonts w:hint="eastAsia" w:ascii="宋体" w:hAnsi="宋体" w:eastAsia="宋体" w:cs="宋体"/>
                <w:color w:val="auto"/>
                <w:kern w:val="0"/>
                <w:szCs w:val="21"/>
              </w:rPr>
              <w:t>2、资产负债率（满分7分）</w:t>
            </w:r>
          </w:p>
          <w:p>
            <w:pPr>
              <w:widowControl/>
              <w:spacing w:line="360" w:lineRule="exact"/>
              <w:rPr>
                <w:rFonts w:hint="eastAsia" w:ascii="宋体" w:hAnsi="宋体" w:eastAsia="宋体" w:cs="宋体"/>
                <w:color w:val="auto"/>
                <w:kern w:val="0"/>
                <w:szCs w:val="21"/>
              </w:rPr>
            </w:pPr>
            <w:r>
              <w:rPr>
                <w:rFonts w:hint="eastAsia" w:ascii="宋体" w:hAnsi="宋体" w:eastAsia="宋体" w:cs="宋体"/>
                <w:color w:val="auto"/>
                <w:kern w:val="0"/>
                <w:szCs w:val="21"/>
              </w:rPr>
              <w:t>资产负债率低于50%（含）得7分，</w:t>
            </w:r>
          </w:p>
          <w:p>
            <w:pPr>
              <w:widowControl/>
              <w:spacing w:line="360" w:lineRule="exact"/>
              <w:rPr>
                <w:rFonts w:hint="eastAsia" w:ascii="宋体" w:hAnsi="宋体" w:eastAsia="宋体" w:cs="宋体"/>
                <w:color w:val="auto"/>
                <w:kern w:val="0"/>
                <w:szCs w:val="21"/>
              </w:rPr>
            </w:pPr>
            <w:r>
              <w:rPr>
                <w:rFonts w:hint="eastAsia" w:ascii="宋体" w:hAnsi="宋体" w:eastAsia="宋体" w:cs="宋体"/>
                <w:color w:val="auto"/>
                <w:kern w:val="0"/>
                <w:szCs w:val="21"/>
              </w:rPr>
              <w:t>资产负债率在50%～60%（含）之间得6.5分，</w:t>
            </w:r>
          </w:p>
          <w:p>
            <w:pPr>
              <w:widowControl/>
              <w:spacing w:line="360" w:lineRule="exact"/>
              <w:rPr>
                <w:rFonts w:hint="eastAsia" w:ascii="宋体" w:hAnsi="宋体" w:eastAsia="宋体" w:cs="宋体"/>
                <w:color w:val="auto"/>
                <w:kern w:val="0"/>
                <w:szCs w:val="21"/>
              </w:rPr>
            </w:pPr>
            <w:r>
              <w:rPr>
                <w:rFonts w:hint="eastAsia" w:ascii="宋体" w:hAnsi="宋体" w:eastAsia="宋体" w:cs="宋体"/>
                <w:color w:val="auto"/>
                <w:kern w:val="0"/>
                <w:szCs w:val="21"/>
              </w:rPr>
              <w:t>资产负债率60~75%（含）之间得6分，</w:t>
            </w:r>
          </w:p>
          <w:p>
            <w:pPr>
              <w:pStyle w:val="30"/>
              <w:rPr>
                <w:rFonts w:hint="eastAsia" w:ascii="宋体" w:hAnsi="宋体" w:eastAsia="宋体" w:cs="宋体"/>
                <w:color w:val="auto"/>
                <w:sz w:val="21"/>
                <w:szCs w:val="21"/>
              </w:rPr>
            </w:pPr>
            <w:r>
              <w:rPr>
                <w:rFonts w:hint="eastAsia" w:ascii="宋体" w:hAnsi="宋体" w:eastAsia="宋体" w:cs="宋体"/>
                <w:color w:val="auto"/>
                <w:sz w:val="21"/>
                <w:szCs w:val="21"/>
              </w:rPr>
              <w:t>资产负债率超过75%</w:t>
            </w:r>
            <w:r>
              <w:rPr>
                <w:rFonts w:hint="eastAsia" w:ascii="宋体" w:hAnsi="宋体" w:eastAsia="宋体" w:cs="宋体"/>
                <w:color w:val="auto"/>
                <w:kern w:val="0"/>
                <w:sz w:val="21"/>
                <w:szCs w:val="21"/>
              </w:rPr>
              <w:t>～100%（不含）</w:t>
            </w:r>
            <w:r>
              <w:rPr>
                <w:rFonts w:hint="eastAsia" w:ascii="宋体" w:hAnsi="宋体" w:eastAsia="宋体" w:cs="宋体"/>
                <w:color w:val="auto"/>
                <w:sz w:val="21"/>
                <w:szCs w:val="21"/>
              </w:rPr>
              <w:t>得5.5分，</w:t>
            </w:r>
          </w:p>
          <w:p>
            <w:pPr>
              <w:pStyle w:val="30"/>
              <w:rPr>
                <w:rFonts w:hint="eastAsia" w:ascii="宋体" w:hAnsi="宋体" w:eastAsia="宋体" w:cs="宋体"/>
                <w:color w:val="auto"/>
                <w:sz w:val="21"/>
                <w:szCs w:val="21"/>
              </w:rPr>
            </w:pPr>
            <w:r>
              <w:rPr>
                <w:rFonts w:hint="eastAsia" w:ascii="宋体" w:hAnsi="宋体" w:eastAsia="宋体" w:cs="宋体"/>
                <w:color w:val="auto"/>
                <w:sz w:val="21"/>
                <w:szCs w:val="21"/>
              </w:rPr>
              <w:t>资产负责率大于等于100%的得0分。</w:t>
            </w:r>
          </w:p>
          <w:p>
            <w:pPr>
              <w:pStyle w:val="30"/>
              <w:rPr>
                <w:rFonts w:hint="eastAsia" w:ascii="宋体" w:hAnsi="宋体" w:eastAsia="宋体" w:cs="宋体"/>
                <w:bCs w:val="0"/>
                <w:color w:val="auto"/>
                <w:spacing w:val="0"/>
                <w:kern w:val="0"/>
                <w:sz w:val="21"/>
                <w:szCs w:val="21"/>
              </w:rPr>
            </w:pPr>
            <w:r>
              <w:rPr>
                <w:rFonts w:hint="eastAsia" w:ascii="宋体" w:hAnsi="宋体" w:eastAsia="宋体" w:cs="宋体"/>
                <w:bCs w:val="0"/>
                <w:color w:val="auto"/>
                <w:spacing w:val="0"/>
                <w:kern w:val="0"/>
                <w:sz w:val="21"/>
                <w:szCs w:val="21"/>
              </w:rPr>
              <w:t>（以投标人2018-2020年的财务报表为准</w:t>
            </w:r>
            <w:r>
              <w:rPr>
                <w:rFonts w:hint="eastAsia" w:ascii="宋体" w:hAnsi="宋体" w:cs="宋体"/>
                <w:bCs w:val="0"/>
                <w:color w:val="auto"/>
                <w:spacing w:val="0"/>
                <w:kern w:val="0"/>
                <w:sz w:val="21"/>
                <w:szCs w:val="21"/>
                <w:lang w:eastAsia="zh-CN"/>
              </w:rPr>
              <w:t>，对于从取得营业执照时间起到投标截止时间为止不足要求年数的企业，只需提交企业取得营业执照年份至所要求最近年份的财务报表。</w:t>
            </w:r>
            <w:r>
              <w:rPr>
                <w:rFonts w:hint="eastAsia" w:ascii="宋体" w:hAnsi="宋体" w:eastAsia="宋体" w:cs="宋体"/>
                <w:bCs w:val="0"/>
                <w:color w:val="auto"/>
                <w:spacing w:val="0"/>
                <w:kern w:val="0"/>
                <w:sz w:val="21"/>
                <w:szCs w:val="21"/>
              </w:rPr>
              <w:t>若为联合体投标的，联合体各方均需提供</w:t>
            </w:r>
            <w:r>
              <w:rPr>
                <w:rFonts w:hint="eastAsia" w:ascii="宋体" w:hAnsi="宋体" w:cs="宋体"/>
                <w:bCs w:val="0"/>
                <w:color w:val="auto"/>
                <w:spacing w:val="0"/>
                <w:kern w:val="0"/>
                <w:sz w:val="21"/>
                <w:szCs w:val="21"/>
                <w:lang w:eastAsia="zh-CN"/>
              </w:rPr>
              <w:t>。</w:t>
            </w:r>
            <w:r>
              <w:rPr>
                <w:rFonts w:hint="eastAsia" w:ascii="宋体" w:hAnsi="宋体" w:eastAsia="宋体" w:cs="宋体"/>
                <w:bCs w:val="0"/>
                <w:color w:val="auto"/>
                <w:spacing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81" w:type="dxa"/>
            <w:vMerge w:val="continue"/>
            <w:tcBorders>
              <w:top w:val="single" w:color="auto" w:sz="4" w:space="0"/>
              <w:left w:val="single" w:color="auto" w:sz="4" w:space="0"/>
              <w:bottom w:val="single" w:color="auto" w:sz="4" w:space="0"/>
              <w:right w:val="single" w:color="auto" w:sz="4" w:space="0"/>
            </w:tcBorders>
          </w:tcPr>
          <w:p>
            <w:pPr>
              <w:widowControl/>
              <w:spacing w:line="400" w:lineRule="exact"/>
              <w:jc w:val="center"/>
              <w:rPr>
                <w:rFonts w:hint="eastAsia" w:ascii="宋体" w:hAnsi="宋体" w:eastAsia="宋体" w:cs="宋体"/>
                <w:color w:val="auto"/>
                <w:kern w:val="0"/>
                <w:szCs w:val="21"/>
              </w:rPr>
            </w:pPr>
          </w:p>
        </w:tc>
        <w:tc>
          <w:tcPr>
            <w:tcW w:w="159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hint="eastAsia" w:ascii="宋体" w:hAnsi="宋体" w:eastAsia="宋体" w:cs="宋体"/>
                <w:color w:val="auto"/>
                <w:kern w:val="0"/>
                <w:szCs w:val="21"/>
              </w:rPr>
            </w:pPr>
            <w:r>
              <w:rPr>
                <w:rFonts w:hint="eastAsia" w:ascii="宋体" w:hAnsi="宋体" w:eastAsia="宋体" w:cs="宋体"/>
                <w:color w:val="auto"/>
                <w:kern w:val="0"/>
                <w:szCs w:val="21"/>
              </w:rPr>
              <w:t>2、业绩</w:t>
            </w:r>
          </w:p>
          <w:p>
            <w:pPr>
              <w:widowControl/>
              <w:spacing w:line="400" w:lineRule="exact"/>
              <w:jc w:val="left"/>
              <w:rPr>
                <w:rFonts w:hint="eastAsia" w:ascii="宋体" w:hAnsi="宋体" w:eastAsia="宋体" w:cs="宋体"/>
                <w:color w:val="auto"/>
                <w:kern w:val="0"/>
                <w:szCs w:val="21"/>
              </w:rPr>
            </w:pPr>
            <w:r>
              <w:rPr>
                <w:rFonts w:hint="eastAsia" w:ascii="宋体" w:hAnsi="宋体" w:eastAsia="宋体" w:cs="宋体"/>
                <w:color w:val="auto"/>
                <w:kern w:val="0"/>
                <w:szCs w:val="21"/>
              </w:rPr>
              <w:t>（满分3分）</w:t>
            </w:r>
          </w:p>
        </w:tc>
        <w:tc>
          <w:tcPr>
            <w:tcW w:w="101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eastAsia="宋体" w:cs="宋体"/>
                <w:color w:val="auto"/>
                <w:kern w:val="0"/>
                <w:szCs w:val="21"/>
              </w:rPr>
            </w:pPr>
            <w:r>
              <w:rPr>
                <w:rFonts w:hint="eastAsia" w:ascii="宋体" w:hAnsi="宋体" w:eastAsia="宋体" w:cs="宋体"/>
                <w:color w:val="auto"/>
                <w:kern w:val="0"/>
                <w:szCs w:val="21"/>
              </w:rPr>
              <w:t>3分</w:t>
            </w:r>
          </w:p>
        </w:tc>
        <w:tc>
          <w:tcPr>
            <w:tcW w:w="5513"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hint="eastAsia"/>
                <w:color w:val="auto"/>
              </w:rPr>
            </w:pPr>
            <w:r>
              <w:rPr>
                <w:rFonts w:hint="eastAsia"/>
                <w:color w:val="auto"/>
              </w:rPr>
              <w:t>（1）2018年1月1日以来，投标人具有PPP项目业绩的，每个得1，满分2分。</w:t>
            </w:r>
          </w:p>
          <w:p>
            <w:pPr>
              <w:widowControl/>
              <w:spacing w:line="400" w:lineRule="exact"/>
              <w:jc w:val="left"/>
              <w:rPr>
                <w:rFonts w:hint="eastAsia"/>
                <w:color w:val="auto"/>
              </w:rPr>
            </w:pPr>
            <w:r>
              <w:rPr>
                <w:rFonts w:hint="eastAsia"/>
                <w:color w:val="auto"/>
              </w:rPr>
              <w:t>（2）2018年1月1日以来，投标人具有公共服务类或小区改造PPP项目业绩的，每个得1，满分1分</w:t>
            </w:r>
          </w:p>
          <w:p>
            <w:pPr>
              <w:widowControl/>
              <w:spacing w:line="400" w:lineRule="exact"/>
              <w:jc w:val="left"/>
              <w:rPr>
                <w:rFonts w:hint="eastAsia"/>
                <w:color w:val="auto"/>
              </w:rPr>
            </w:pPr>
            <w:r>
              <w:rPr>
                <w:rFonts w:hint="eastAsia"/>
                <w:color w:val="auto"/>
              </w:rPr>
              <w:t>（3）如投标人某一业绩同时满足上述两项条件，则该业绩按其满足的上述最高得分项计分，同一业绩不重复计分。</w:t>
            </w:r>
          </w:p>
          <w:p>
            <w:pPr>
              <w:widowControl/>
              <w:spacing w:line="400" w:lineRule="exact"/>
              <w:jc w:val="left"/>
              <w:rPr>
                <w:rFonts w:hint="eastAsia"/>
                <w:color w:val="auto"/>
              </w:rPr>
            </w:pPr>
            <w:r>
              <w:rPr>
                <w:rFonts w:hint="eastAsia"/>
                <w:color w:val="auto"/>
              </w:rPr>
              <w:t>本项评分内容满分3分。投标人如为联合体的，联合体各成员提供的业绩均视作有效，但同一业绩不重复计分。</w:t>
            </w:r>
          </w:p>
          <w:p>
            <w:pPr>
              <w:pStyle w:val="2"/>
              <w:rPr>
                <w:rFonts w:hint="eastAsia" w:eastAsia="宋体"/>
                <w:color w:val="auto"/>
                <w:lang w:val="en-US" w:eastAsia="zh-CN"/>
              </w:rPr>
            </w:pPr>
            <w:r>
              <w:rPr>
                <w:rFonts w:hint="eastAsia" w:ascii="Times New Roman" w:hAnsi="Times New Roman" w:eastAsia="宋体" w:cs="Times New Roman"/>
                <w:color w:val="auto"/>
                <w:kern w:val="2"/>
                <w:sz w:val="21"/>
                <w:szCs w:val="24"/>
                <w:lang w:val="en-US" w:eastAsia="zh-CN" w:bidi="ar-SA"/>
              </w:rPr>
              <w:t>注：业绩证明可以是中标通知书、合同协议书复印件、业绩项目实施机构或政府行业主管部门出具的证明等材料中的任一种，但证明材料需显示投资额、项目内容、项目规模等关键信息。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Cs w:val="21"/>
              </w:rPr>
            </w:pPr>
          </w:p>
        </w:tc>
        <w:tc>
          <w:tcPr>
            <w:tcW w:w="159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hint="eastAsia" w:ascii="宋体" w:hAnsi="宋体" w:eastAsia="宋体" w:cs="宋体"/>
                <w:color w:val="auto"/>
                <w:kern w:val="0"/>
                <w:szCs w:val="21"/>
              </w:rPr>
            </w:pPr>
            <w:r>
              <w:rPr>
                <w:rFonts w:hint="eastAsia" w:ascii="宋体" w:hAnsi="宋体" w:eastAsia="宋体" w:cs="宋体"/>
                <w:color w:val="auto"/>
                <w:kern w:val="0"/>
                <w:szCs w:val="21"/>
              </w:rPr>
              <w:t>3、企业信誉（满分2分）</w:t>
            </w:r>
          </w:p>
          <w:p>
            <w:pPr>
              <w:widowControl/>
              <w:spacing w:line="400" w:lineRule="exact"/>
              <w:jc w:val="left"/>
              <w:rPr>
                <w:rFonts w:hint="eastAsia" w:ascii="宋体" w:hAnsi="宋体" w:eastAsia="宋体" w:cs="宋体"/>
                <w:color w:val="auto"/>
                <w:kern w:val="0"/>
                <w:szCs w:val="21"/>
              </w:rPr>
            </w:pPr>
          </w:p>
        </w:tc>
        <w:tc>
          <w:tcPr>
            <w:tcW w:w="101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eastAsia="宋体" w:cs="宋体"/>
                <w:color w:val="auto"/>
                <w:kern w:val="0"/>
                <w:szCs w:val="21"/>
              </w:rPr>
            </w:pPr>
            <w:r>
              <w:rPr>
                <w:rFonts w:hint="eastAsia" w:ascii="宋体" w:hAnsi="宋体" w:eastAsia="宋体" w:cs="宋体"/>
                <w:color w:val="auto"/>
                <w:kern w:val="0"/>
                <w:szCs w:val="21"/>
              </w:rPr>
              <w:t>2分</w:t>
            </w:r>
          </w:p>
        </w:tc>
        <w:tc>
          <w:tcPr>
            <w:tcW w:w="551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kern w:val="0"/>
                <w:szCs w:val="21"/>
              </w:rPr>
            </w:pPr>
            <w:r>
              <w:rPr>
                <w:rFonts w:hint="eastAsia" w:ascii="宋体" w:hAnsi="宋体" w:eastAsia="宋体" w:cs="宋体"/>
                <w:color w:val="auto"/>
                <w:kern w:val="0"/>
                <w:szCs w:val="21"/>
              </w:rPr>
              <w:t>具有信用评级机构评级A级或银行评级AA级得0.5分，具有信用评级机构评级AA级或银行评级AAA级得1分，具有信用评级机构评级AAA级得2分。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gridSpan w:val="3"/>
            <w:tcBorders>
              <w:top w:val="single" w:color="auto" w:sz="4" w:space="0"/>
              <w:left w:val="single" w:color="auto" w:sz="4" w:space="0"/>
              <w:bottom w:val="single" w:color="auto" w:sz="4" w:space="0"/>
              <w:right w:val="single" w:color="auto" w:sz="4" w:space="0"/>
            </w:tcBorders>
          </w:tcPr>
          <w:p>
            <w:pPr>
              <w:widowControl/>
              <w:spacing w:line="400" w:lineRule="exact"/>
              <w:jc w:val="center"/>
              <w:rPr>
                <w:rFonts w:hint="eastAsia" w:ascii="宋体" w:hAnsi="宋体" w:eastAsia="宋体" w:cs="宋体"/>
                <w:color w:val="auto"/>
                <w:kern w:val="0"/>
                <w:szCs w:val="21"/>
              </w:rPr>
            </w:pPr>
            <w:r>
              <w:rPr>
                <w:rFonts w:hint="eastAsia" w:ascii="宋体" w:hAnsi="宋体" w:eastAsia="宋体" w:cs="宋体"/>
                <w:color w:val="auto"/>
                <w:kern w:val="0"/>
                <w:szCs w:val="21"/>
              </w:rPr>
              <w:t>合计</w:t>
            </w:r>
          </w:p>
        </w:tc>
        <w:tc>
          <w:tcPr>
            <w:tcW w:w="5513" w:type="dxa"/>
            <w:tcBorders>
              <w:top w:val="single" w:color="auto" w:sz="4" w:space="0"/>
              <w:left w:val="single" w:color="auto" w:sz="4" w:space="0"/>
              <w:bottom w:val="single" w:color="auto" w:sz="4" w:space="0"/>
              <w:right w:val="single" w:color="auto" w:sz="4" w:space="0"/>
            </w:tcBorders>
          </w:tcPr>
          <w:p>
            <w:pPr>
              <w:widowControl/>
              <w:spacing w:line="400" w:lineRule="exact"/>
              <w:jc w:val="center"/>
              <w:rPr>
                <w:rFonts w:hint="eastAsia" w:ascii="宋体" w:hAnsi="宋体" w:eastAsia="宋体" w:cs="宋体"/>
                <w:color w:val="auto"/>
                <w:kern w:val="0"/>
                <w:szCs w:val="21"/>
              </w:rPr>
            </w:pPr>
            <w:r>
              <w:rPr>
                <w:rFonts w:hint="eastAsia" w:ascii="宋体" w:hAnsi="宋体" w:eastAsia="宋体" w:cs="宋体"/>
                <w:color w:val="auto"/>
                <w:kern w:val="0"/>
                <w:szCs w:val="21"/>
              </w:rPr>
              <w:t>15分</w:t>
            </w:r>
          </w:p>
        </w:tc>
      </w:tr>
    </w:tbl>
    <w:p>
      <w:pPr>
        <w:rPr>
          <w:rFonts w:hint="eastAsia" w:ascii="宋体" w:hAnsi="宋体" w:eastAsia="宋体" w:cs="宋体"/>
          <w:color w:val="auto"/>
          <w:sz w:val="24"/>
          <w:lang w:val="zh-CN"/>
        </w:rPr>
      </w:pPr>
    </w:p>
    <w:p>
      <w:pPr>
        <w:pStyle w:val="6"/>
        <w:ind w:firstLine="422"/>
        <w:rPr>
          <w:rFonts w:hint="eastAsia" w:ascii="宋体" w:hAnsi="宋体" w:eastAsia="宋体" w:cs="宋体"/>
          <w:color w:val="auto"/>
          <w:sz w:val="24"/>
          <w:szCs w:val="24"/>
          <w:lang w:val="zh-CN"/>
        </w:rPr>
      </w:pPr>
      <w:r>
        <w:rPr>
          <w:rFonts w:hint="eastAsia" w:ascii="宋体" w:hAnsi="宋体" w:eastAsia="宋体" w:cs="宋体"/>
          <w:b w:val="0"/>
          <w:bCs w:val="0"/>
          <w:color w:val="auto"/>
          <w:sz w:val="24"/>
          <w:szCs w:val="24"/>
          <w:lang w:val="zh-CN"/>
        </w:rPr>
        <w:t>（三）技术评分（代号C，满分</w:t>
      </w:r>
      <w:r>
        <w:rPr>
          <w:rFonts w:hint="eastAsia" w:ascii="宋体" w:hAnsi="宋体" w:cs="宋体"/>
          <w:b w:val="0"/>
          <w:bCs w:val="0"/>
          <w:color w:val="auto"/>
          <w:sz w:val="24"/>
          <w:szCs w:val="24"/>
          <w:lang w:val="en-US" w:eastAsia="zh-CN"/>
        </w:rPr>
        <w:t>65</w:t>
      </w:r>
      <w:r>
        <w:rPr>
          <w:rFonts w:hint="eastAsia" w:ascii="宋体" w:hAnsi="宋体" w:eastAsia="宋体" w:cs="宋体"/>
          <w:b w:val="0"/>
          <w:bCs w:val="0"/>
          <w:color w:val="auto"/>
          <w:sz w:val="24"/>
          <w:szCs w:val="24"/>
          <w:lang w:val="zh-CN"/>
        </w:rPr>
        <w:t>分）</w:t>
      </w:r>
    </w:p>
    <w:tbl>
      <w:tblPr>
        <w:tblStyle w:val="23"/>
        <w:tblpPr w:leftFromText="180" w:rightFromText="180" w:vertAnchor="text" w:tblpXSpec="center" w:tblpY="1"/>
        <w:tblOverlap w:val="never"/>
        <w:tblW w:w="90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952"/>
        <w:gridCol w:w="737"/>
        <w:gridCol w:w="5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0"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代号</w:t>
            </w:r>
          </w:p>
        </w:tc>
        <w:tc>
          <w:tcPr>
            <w:tcW w:w="2689"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评分项目</w:t>
            </w:r>
          </w:p>
        </w:tc>
        <w:tc>
          <w:tcPr>
            <w:tcW w:w="5646"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评分标准说明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71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C</w:t>
            </w:r>
          </w:p>
        </w:tc>
        <w:tc>
          <w:tcPr>
            <w:tcW w:w="195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0"/>
                <w:szCs w:val="21"/>
              </w:rPr>
            </w:pPr>
            <w:r>
              <w:rPr>
                <w:rFonts w:hint="eastAsia" w:ascii="宋体" w:hAnsi="宋体" w:eastAsia="宋体" w:cs="宋体"/>
                <w:color w:val="auto"/>
                <w:kern w:val="0"/>
                <w:szCs w:val="21"/>
              </w:rPr>
              <w:t>1、投融资方案（10分）</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10分</w:t>
            </w:r>
          </w:p>
        </w:tc>
        <w:tc>
          <w:tcPr>
            <w:tcW w:w="5646" w:type="dxa"/>
            <w:tcBorders>
              <w:top w:val="single" w:color="auto" w:sz="4" w:space="0"/>
              <w:left w:val="single" w:color="auto" w:sz="4" w:space="0"/>
              <w:bottom w:val="single" w:color="auto" w:sz="4" w:space="0"/>
              <w:right w:val="single" w:color="auto" w:sz="4" w:space="0"/>
            </w:tcBorders>
          </w:tcPr>
          <w:p>
            <w:pPr>
              <w:spacing w:line="360" w:lineRule="exact"/>
              <w:rPr>
                <w:rFonts w:hint="eastAsia" w:ascii="宋体" w:hAnsi="宋体" w:eastAsia="宋体" w:cs="宋体"/>
                <w:color w:val="auto"/>
                <w:kern w:val="0"/>
                <w:szCs w:val="21"/>
              </w:rPr>
            </w:pPr>
            <w:r>
              <w:rPr>
                <w:rFonts w:hint="eastAsia" w:ascii="宋体" w:hAnsi="宋体" w:eastAsia="宋体" w:cs="宋体"/>
                <w:color w:val="auto"/>
                <w:kern w:val="0"/>
                <w:szCs w:val="21"/>
              </w:rPr>
              <w:t>一档（10分）：</w:t>
            </w:r>
          </w:p>
          <w:p>
            <w:pPr>
              <w:spacing w:line="360" w:lineRule="exact"/>
              <w:rPr>
                <w:rFonts w:hint="eastAsia" w:ascii="宋体" w:hAnsi="宋体" w:eastAsia="宋体" w:cs="宋体"/>
                <w:color w:val="auto"/>
                <w:kern w:val="0"/>
                <w:szCs w:val="21"/>
              </w:rPr>
            </w:pPr>
            <w:r>
              <w:rPr>
                <w:rFonts w:hint="eastAsia" w:ascii="宋体" w:hAnsi="宋体" w:eastAsia="宋体" w:cs="宋体"/>
                <w:color w:val="auto"/>
                <w:kern w:val="0"/>
                <w:szCs w:val="21"/>
              </w:rPr>
              <w:t>项目融资结构，融资计划，融资渠道，融资保障方案等内容齐全且完善，述突出要点，完整、具体，完全符合本项目实际情况。</w:t>
            </w:r>
          </w:p>
          <w:p>
            <w:pPr>
              <w:spacing w:line="360" w:lineRule="exact"/>
              <w:rPr>
                <w:rFonts w:hint="eastAsia" w:ascii="宋体" w:hAnsi="宋体" w:eastAsia="宋体" w:cs="宋体"/>
                <w:color w:val="auto"/>
                <w:kern w:val="0"/>
                <w:szCs w:val="21"/>
              </w:rPr>
            </w:pPr>
            <w:r>
              <w:rPr>
                <w:rFonts w:hint="eastAsia" w:ascii="宋体" w:hAnsi="宋体" w:eastAsia="宋体" w:cs="宋体"/>
                <w:color w:val="auto"/>
                <w:kern w:val="0"/>
                <w:szCs w:val="21"/>
              </w:rPr>
              <w:t>二档（8分）：</w:t>
            </w:r>
          </w:p>
          <w:p>
            <w:pPr>
              <w:spacing w:line="360" w:lineRule="exact"/>
              <w:rPr>
                <w:rFonts w:hint="eastAsia" w:ascii="宋体" w:hAnsi="宋体" w:eastAsia="宋体" w:cs="宋体"/>
                <w:color w:val="auto"/>
                <w:kern w:val="0"/>
                <w:szCs w:val="21"/>
              </w:rPr>
            </w:pPr>
            <w:r>
              <w:rPr>
                <w:rFonts w:hint="eastAsia" w:ascii="宋体" w:hAnsi="宋体" w:eastAsia="宋体" w:cs="宋体"/>
                <w:color w:val="auto"/>
                <w:kern w:val="0"/>
                <w:szCs w:val="21"/>
              </w:rPr>
              <w:t>项目融资结构，融资计划，融资渠道，融资保障方案等内容基本齐全，方案描述较详细，较为符合本项目实际情况。</w:t>
            </w:r>
          </w:p>
          <w:p>
            <w:pPr>
              <w:spacing w:line="360" w:lineRule="exact"/>
              <w:rPr>
                <w:rFonts w:hint="eastAsia" w:ascii="宋体" w:hAnsi="宋体" w:eastAsia="宋体" w:cs="宋体"/>
                <w:color w:val="auto"/>
                <w:kern w:val="0"/>
                <w:szCs w:val="21"/>
              </w:rPr>
            </w:pPr>
            <w:r>
              <w:rPr>
                <w:rFonts w:hint="eastAsia" w:ascii="宋体" w:hAnsi="宋体" w:eastAsia="宋体" w:cs="宋体"/>
                <w:color w:val="auto"/>
                <w:kern w:val="0"/>
                <w:szCs w:val="21"/>
              </w:rPr>
              <w:t>三档（6分）</w:t>
            </w:r>
          </w:p>
          <w:p>
            <w:pPr>
              <w:spacing w:line="360" w:lineRule="exact"/>
              <w:rPr>
                <w:rFonts w:hint="eastAsia" w:ascii="宋体" w:hAnsi="宋体" w:eastAsia="宋体" w:cs="宋体"/>
                <w:color w:val="auto"/>
                <w:kern w:val="0"/>
                <w:szCs w:val="21"/>
              </w:rPr>
            </w:pPr>
            <w:r>
              <w:rPr>
                <w:rFonts w:hint="eastAsia" w:ascii="宋体" w:hAnsi="宋体" w:eastAsia="宋体" w:cs="宋体"/>
                <w:color w:val="auto"/>
                <w:kern w:val="0"/>
                <w:szCs w:val="21"/>
              </w:rPr>
              <w:t>项目融资结构，融资计划，融资渠道，融资保障方案等内容不完善且方案简单。</w:t>
            </w:r>
          </w:p>
          <w:p>
            <w:pPr>
              <w:widowControl/>
              <w:rPr>
                <w:rFonts w:hint="eastAsia" w:ascii="宋体" w:hAnsi="宋体" w:eastAsia="宋体" w:cs="宋体"/>
                <w:color w:val="auto"/>
                <w:szCs w:val="21"/>
              </w:rPr>
            </w:pPr>
            <w:r>
              <w:rPr>
                <w:rFonts w:hint="eastAsia" w:ascii="宋体" w:hAnsi="宋体" w:eastAsia="宋体" w:cs="宋体"/>
                <w:color w:val="auto"/>
                <w:szCs w:val="21"/>
              </w:rPr>
              <w:t>由评标委员会根据投标人提供的技术文件内容独立打分。不满足采购需求或未提供方案的得0分。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b/>
                <w:color w:val="auto"/>
                <w:kern w:val="0"/>
                <w:szCs w:val="21"/>
              </w:rPr>
            </w:pPr>
          </w:p>
        </w:tc>
        <w:tc>
          <w:tcPr>
            <w:tcW w:w="195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Cs/>
                <w:color w:val="auto"/>
                <w:szCs w:val="21"/>
              </w:rPr>
            </w:pPr>
            <w:r>
              <w:rPr>
                <w:rFonts w:hint="eastAsia" w:ascii="宋体" w:hAnsi="宋体" w:eastAsia="宋体" w:cs="宋体"/>
                <w:bCs/>
                <w:color w:val="auto"/>
                <w:szCs w:val="21"/>
              </w:rPr>
              <w:t>2、项目公司组建方案</w:t>
            </w:r>
          </w:p>
          <w:p>
            <w:pPr>
              <w:spacing w:line="276" w:lineRule="auto"/>
              <w:jc w:val="center"/>
              <w:rPr>
                <w:rFonts w:hint="eastAsia" w:ascii="宋体" w:hAnsi="宋体" w:eastAsia="宋体" w:cs="宋体"/>
                <w:bCs/>
                <w:color w:val="auto"/>
                <w:szCs w:val="21"/>
              </w:rPr>
            </w:pPr>
            <w:r>
              <w:rPr>
                <w:rFonts w:hint="eastAsia" w:ascii="宋体" w:hAnsi="宋体" w:eastAsia="宋体" w:cs="宋体"/>
                <w:bCs/>
                <w:color w:val="auto"/>
                <w:szCs w:val="21"/>
              </w:rPr>
              <w:t>（满分5分）</w:t>
            </w:r>
          </w:p>
        </w:tc>
        <w:tc>
          <w:tcPr>
            <w:tcW w:w="73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Cs/>
                <w:color w:val="auto"/>
                <w:szCs w:val="21"/>
              </w:rPr>
            </w:pPr>
            <w:r>
              <w:rPr>
                <w:rFonts w:hint="eastAsia" w:ascii="宋体" w:hAnsi="宋体" w:eastAsia="宋体" w:cs="宋体"/>
                <w:bCs/>
                <w:color w:val="auto"/>
                <w:szCs w:val="21"/>
              </w:rPr>
              <w:t>5分</w:t>
            </w:r>
          </w:p>
        </w:tc>
        <w:tc>
          <w:tcPr>
            <w:tcW w:w="5646"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eastAsia="宋体" w:cs="宋体"/>
                <w:color w:val="auto"/>
                <w:kern w:val="0"/>
                <w:szCs w:val="21"/>
              </w:rPr>
            </w:pPr>
            <w:r>
              <w:rPr>
                <w:rFonts w:hint="eastAsia" w:ascii="宋体" w:hAnsi="宋体" w:eastAsia="宋体" w:cs="宋体"/>
                <w:color w:val="auto"/>
                <w:kern w:val="0"/>
                <w:szCs w:val="21"/>
              </w:rPr>
              <w:t>一档（5分）:</w:t>
            </w:r>
          </w:p>
          <w:p>
            <w:pPr>
              <w:spacing w:line="400" w:lineRule="exact"/>
              <w:rPr>
                <w:rFonts w:hint="eastAsia" w:ascii="宋体" w:hAnsi="宋体" w:eastAsia="宋体" w:cs="宋体"/>
                <w:color w:val="auto"/>
                <w:kern w:val="0"/>
                <w:szCs w:val="21"/>
              </w:rPr>
            </w:pPr>
            <w:r>
              <w:rPr>
                <w:rFonts w:hint="eastAsia" w:ascii="宋体" w:hAnsi="宋体" w:eastAsia="宋体" w:cs="宋体"/>
                <w:color w:val="auto"/>
                <w:kern w:val="0"/>
                <w:szCs w:val="21"/>
              </w:rPr>
              <w:t>项目公司组建方案、机构设置、组织框架、职责及风险管理等管理措施、建设管理机构、管理规章制度等内容基本齐全，方案描述突出要点，完整、具体，符合本工程实际情况，并提出具有针对性的职责及风险管理等管理措施，有健全的管理规章制度，对项目实际情况有针对性的组建方案，对项目公司的机构设置、人员配备、人员的专业、组建时间计划等有具体详细的描述。</w:t>
            </w:r>
          </w:p>
          <w:p>
            <w:pPr>
              <w:widowControl/>
              <w:spacing w:line="400" w:lineRule="exact"/>
              <w:rPr>
                <w:rFonts w:hint="eastAsia" w:ascii="宋体" w:hAnsi="宋体" w:eastAsia="宋体" w:cs="宋体"/>
                <w:color w:val="auto"/>
                <w:kern w:val="0"/>
                <w:szCs w:val="21"/>
              </w:rPr>
            </w:pPr>
            <w:r>
              <w:rPr>
                <w:rFonts w:hint="eastAsia" w:ascii="宋体" w:hAnsi="宋体" w:eastAsia="宋体" w:cs="宋体"/>
                <w:color w:val="auto"/>
                <w:kern w:val="0"/>
                <w:szCs w:val="21"/>
              </w:rPr>
              <w:t>二档（3分）:</w:t>
            </w:r>
          </w:p>
          <w:p>
            <w:pPr>
              <w:widowControl/>
              <w:spacing w:line="400" w:lineRule="exact"/>
              <w:rPr>
                <w:rFonts w:hint="eastAsia" w:ascii="宋体" w:hAnsi="宋体" w:eastAsia="宋体" w:cs="宋体"/>
                <w:color w:val="auto"/>
                <w:szCs w:val="21"/>
              </w:rPr>
            </w:pPr>
            <w:r>
              <w:rPr>
                <w:rFonts w:hint="eastAsia" w:ascii="宋体" w:hAnsi="宋体" w:eastAsia="宋体" w:cs="宋体"/>
                <w:color w:val="auto"/>
                <w:kern w:val="0"/>
                <w:szCs w:val="21"/>
              </w:rPr>
              <w:t>项目公司组建方案、机构设置、组织框架、职责及风险管理等管理措施、建设管理机构、管理规章制度等内容基本齐全，方案描述突出要点，完整、具体，较为符合本工程实际情况，项目公司的机构设置、人员配备、人员的专业、组建时间计划等具有合理性和完整性。</w:t>
            </w:r>
          </w:p>
          <w:p>
            <w:pPr>
              <w:widowControl/>
              <w:spacing w:line="400" w:lineRule="exact"/>
              <w:rPr>
                <w:rFonts w:hint="eastAsia" w:ascii="宋体" w:hAnsi="宋体" w:eastAsia="宋体" w:cs="宋体"/>
                <w:color w:val="auto"/>
                <w:kern w:val="0"/>
                <w:szCs w:val="21"/>
              </w:rPr>
            </w:pPr>
            <w:r>
              <w:rPr>
                <w:rFonts w:hint="eastAsia" w:ascii="宋体" w:hAnsi="宋体" w:eastAsia="宋体" w:cs="宋体"/>
                <w:color w:val="auto"/>
                <w:kern w:val="0"/>
                <w:szCs w:val="21"/>
              </w:rPr>
              <w:t>三档（1分)：</w:t>
            </w:r>
          </w:p>
          <w:p>
            <w:pPr>
              <w:widowControl/>
              <w:spacing w:line="400" w:lineRule="exact"/>
              <w:rPr>
                <w:rFonts w:hint="eastAsia" w:ascii="宋体" w:hAnsi="宋体" w:eastAsia="宋体" w:cs="宋体"/>
                <w:color w:val="auto"/>
                <w:kern w:val="0"/>
                <w:szCs w:val="21"/>
              </w:rPr>
            </w:pPr>
            <w:r>
              <w:rPr>
                <w:rFonts w:hint="eastAsia" w:ascii="宋体" w:hAnsi="宋体" w:eastAsia="宋体" w:cs="宋体"/>
                <w:color w:val="auto"/>
                <w:kern w:val="0"/>
                <w:szCs w:val="21"/>
              </w:rPr>
              <w:t>项目公司组建方案、机构设置、组织框架、职责及风险管理等管理措施、建设管理机构、管理规章制度等内容基本齐全，方案简单，无组建时间计划。</w:t>
            </w:r>
          </w:p>
          <w:p>
            <w:pPr>
              <w:autoSpaceDE w:val="0"/>
              <w:autoSpaceDN w:val="0"/>
              <w:spacing w:line="276" w:lineRule="auto"/>
              <w:rPr>
                <w:rFonts w:hint="eastAsia" w:ascii="宋体" w:hAnsi="宋体" w:eastAsia="宋体" w:cs="宋体"/>
                <w:bCs/>
                <w:color w:val="auto"/>
                <w:szCs w:val="21"/>
              </w:rPr>
            </w:pPr>
            <w:r>
              <w:rPr>
                <w:rFonts w:hint="eastAsia" w:ascii="宋体" w:hAnsi="宋体" w:eastAsia="宋体" w:cs="宋体"/>
                <w:color w:val="auto"/>
                <w:szCs w:val="21"/>
              </w:rPr>
              <w:t>由评标委员会根据投标人提供的技术文件内容独立打分。不满足采购需求或未提供方案的得0分。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b/>
                <w:color w:val="auto"/>
                <w:kern w:val="0"/>
                <w:szCs w:val="21"/>
              </w:rPr>
            </w:pPr>
          </w:p>
        </w:tc>
        <w:tc>
          <w:tcPr>
            <w:tcW w:w="195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3、建设施工组织方案</w:t>
            </w:r>
          </w:p>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(满分13分)</w:t>
            </w:r>
          </w:p>
        </w:tc>
        <w:tc>
          <w:tcPr>
            <w:tcW w:w="73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Cs/>
                <w:color w:val="auto"/>
                <w:szCs w:val="21"/>
              </w:rPr>
            </w:pPr>
            <w:r>
              <w:rPr>
                <w:rFonts w:hint="eastAsia" w:ascii="宋体" w:hAnsi="宋体" w:eastAsia="宋体" w:cs="宋体"/>
                <w:bCs/>
                <w:color w:val="auto"/>
                <w:szCs w:val="21"/>
              </w:rPr>
              <w:t>13分</w:t>
            </w:r>
          </w:p>
        </w:tc>
        <w:tc>
          <w:tcPr>
            <w:tcW w:w="5646"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一档（13分）</w:t>
            </w:r>
          </w:p>
          <w:p>
            <w:pPr>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建设施工组织方案针对本项目详细描述了主要施工方法、施工招标计划等；拟投入的主要物资计划；拟投入的主要施工机械、设备计划；劳动力安排计划；确保工程质量的技术组织措施；确保安全生产的技术组织措施；确保工期的技术组织措施；确保文明施工的技术组织措施；工程施工的重点和难点及保证措施、施工节点图等内容，内容详细齐全，方案描述突出重点、要点，针对本项目提出了符合本工程实际情况建设施工组织方案。</w:t>
            </w:r>
          </w:p>
          <w:p>
            <w:pPr>
              <w:widowControl/>
              <w:spacing w:line="340" w:lineRule="exact"/>
              <w:rPr>
                <w:rFonts w:hint="eastAsia" w:ascii="宋体" w:hAnsi="宋体" w:eastAsia="宋体" w:cs="宋体"/>
                <w:color w:val="auto"/>
                <w:kern w:val="0"/>
                <w:szCs w:val="21"/>
              </w:rPr>
            </w:pPr>
            <w:r>
              <w:rPr>
                <w:rFonts w:hint="eastAsia" w:ascii="宋体" w:hAnsi="宋体" w:eastAsia="宋体" w:cs="宋体"/>
                <w:color w:val="auto"/>
                <w:kern w:val="0"/>
                <w:szCs w:val="21"/>
              </w:rPr>
              <w:t>二档（9分）：</w:t>
            </w:r>
          </w:p>
          <w:p>
            <w:pPr>
              <w:widowControl/>
              <w:spacing w:line="340" w:lineRule="exact"/>
              <w:rPr>
                <w:rFonts w:hint="eastAsia" w:ascii="宋体" w:hAnsi="宋体" w:eastAsia="宋体" w:cs="宋体"/>
                <w:color w:val="auto"/>
                <w:kern w:val="0"/>
                <w:szCs w:val="21"/>
              </w:rPr>
            </w:pPr>
            <w:r>
              <w:rPr>
                <w:rFonts w:hint="eastAsia" w:ascii="宋体" w:hAnsi="宋体" w:eastAsia="宋体" w:cs="宋体"/>
                <w:color w:val="auto"/>
                <w:kern w:val="0"/>
                <w:szCs w:val="21"/>
              </w:rPr>
              <w:t>建设施工组织方案描述了主要施工方法、施工招标计划等；拟投入的主要物资计划；拟投入的主要施工机械、设备计划；劳动力安排计划；确保工程质量的技术组织措施；确保安全生产的技术组织措施；确保工期的技术组织措施；确保文明施工的技术组织措施；工程施工的重点和难点及保证措施、</w:t>
            </w:r>
            <w:r>
              <w:rPr>
                <w:rFonts w:hint="eastAsia" w:ascii="宋体" w:hAnsi="宋体" w:eastAsia="宋体" w:cs="宋体"/>
                <w:color w:val="auto"/>
                <w:szCs w:val="21"/>
              </w:rPr>
              <w:t>施工节点图</w:t>
            </w:r>
            <w:r>
              <w:rPr>
                <w:rFonts w:hint="eastAsia" w:ascii="宋体" w:hAnsi="宋体" w:eastAsia="宋体" w:cs="宋体"/>
                <w:color w:val="auto"/>
                <w:kern w:val="0"/>
                <w:szCs w:val="21"/>
              </w:rPr>
              <w:t>等内容，内容基本齐全，具备合理性和可行性；方案描述突出要点，较为符合本工程实际情况。</w:t>
            </w:r>
          </w:p>
          <w:p>
            <w:pPr>
              <w:widowControl/>
              <w:spacing w:line="340" w:lineRule="exact"/>
              <w:rPr>
                <w:rFonts w:hint="eastAsia" w:ascii="宋体" w:hAnsi="宋体" w:eastAsia="宋体" w:cs="宋体"/>
                <w:color w:val="auto"/>
                <w:kern w:val="0"/>
                <w:szCs w:val="21"/>
              </w:rPr>
            </w:pPr>
            <w:r>
              <w:rPr>
                <w:rFonts w:hint="eastAsia" w:ascii="宋体" w:hAnsi="宋体" w:eastAsia="宋体" w:cs="宋体"/>
                <w:color w:val="auto"/>
                <w:kern w:val="0"/>
                <w:szCs w:val="21"/>
              </w:rPr>
              <w:t>三档（4分）：</w:t>
            </w:r>
          </w:p>
          <w:p>
            <w:pPr>
              <w:widowControl/>
              <w:spacing w:line="340" w:lineRule="exact"/>
              <w:rPr>
                <w:rFonts w:hint="eastAsia" w:ascii="宋体" w:hAnsi="宋体" w:eastAsia="宋体" w:cs="宋体"/>
                <w:color w:val="auto"/>
                <w:kern w:val="0"/>
                <w:szCs w:val="21"/>
              </w:rPr>
            </w:pPr>
            <w:r>
              <w:rPr>
                <w:rFonts w:hint="eastAsia" w:ascii="宋体" w:hAnsi="宋体" w:eastAsia="宋体" w:cs="宋体"/>
                <w:color w:val="auto"/>
                <w:kern w:val="0"/>
                <w:szCs w:val="21"/>
              </w:rPr>
              <w:t>建设施工组织方案未明确描述主要施工方法、施工招标计划等；拟投入的主要物资计划；拟投入的主要施工机械、设备计划；劳动力安排计划；确保工程质量的技术组织措施；确保安全生产的技术组织措施；确保工期的技术组织措施；确保文明施工的技术组织措施；工程施工的重点和难点及保证措施；方案简单，无法说明其可行性。</w:t>
            </w:r>
          </w:p>
          <w:p>
            <w:pPr>
              <w:autoSpaceDE w:val="0"/>
              <w:autoSpaceDN w:val="0"/>
              <w:spacing w:line="276" w:lineRule="auto"/>
              <w:rPr>
                <w:rFonts w:hint="eastAsia" w:ascii="宋体" w:hAnsi="宋体" w:eastAsia="宋体" w:cs="宋体"/>
                <w:bCs/>
                <w:color w:val="auto"/>
                <w:szCs w:val="21"/>
              </w:rPr>
            </w:pPr>
            <w:r>
              <w:rPr>
                <w:rFonts w:hint="eastAsia" w:ascii="宋体" w:hAnsi="宋体" w:eastAsia="宋体" w:cs="宋体"/>
                <w:color w:val="auto"/>
                <w:szCs w:val="21"/>
              </w:rPr>
              <w:t>由评标委员会根据投标人提供的技术文件内容独立打分。不满足采购需求或未提供方案的得0分。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b/>
                <w:color w:val="auto"/>
                <w:kern w:val="0"/>
                <w:szCs w:val="21"/>
              </w:rPr>
            </w:pPr>
          </w:p>
        </w:tc>
        <w:tc>
          <w:tcPr>
            <w:tcW w:w="195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4、环境保护方案(满分5分)</w:t>
            </w:r>
          </w:p>
        </w:tc>
        <w:tc>
          <w:tcPr>
            <w:tcW w:w="73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Cs/>
                <w:color w:val="auto"/>
                <w:szCs w:val="21"/>
              </w:rPr>
            </w:pPr>
            <w:r>
              <w:rPr>
                <w:rFonts w:hint="eastAsia" w:ascii="宋体" w:hAnsi="宋体" w:eastAsia="宋体" w:cs="宋体"/>
                <w:bCs/>
                <w:color w:val="auto"/>
                <w:szCs w:val="21"/>
              </w:rPr>
              <w:t>5分</w:t>
            </w:r>
          </w:p>
        </w:tc>
        <w:tc>
          <w:tcPr>
            <w:tcW w:w="5646" w:type="dxa"/>
            <w:tcBorders>
              <w:top w:val="single" w:color="auto" w:sz="4" w:space="0"/>
              <w:left w:val="single" w:color="auto" w:sz="4" w:space="0"/>
              <w:bottom w:val="single" w:color="auto" w:sz="4" w:space="0"/>
              <w:right w:val="single" w:color="auto" w:sz="4" w:space="0"/>
            </w:tcBorders>
            <w:vAlign w:val="center"/>
          </w:tcPr>
          <w:p>
            <w:pPr>
              <w:widowControl/>
              <w:spacing w:line="340" w:lineRule="exact"/>
              <w:rPr>
                <w:rFonts w:hint="eastAsia" w:ascii="宋体" w:hAnsi="宋体" w:eastAsia="宋体" w:cs="宋体"/>
                <w:color w:val="auto"/>
                <w:kern w:val="0"/>
                <w:szCs w:val="21"/>
              </w:rPr>
            </w:pPr>
            <w:r>
              <w:rPr>
                <w:rFonts w:hint="eastAsia" w:ascii="宋体" w:hAnsi="宋体" w:eastAsia="宋体" w:cs="宋体"/>
                <w:color w:val="auto"/>
                <w:szCs w:val="21"/>
              </w:rPr>
              <w:t>一</w:t>
            </w:r>
            <w:r>
              <w:rPr>
                <w:rFonts w:hint="eastAsia" w:ascii="宋体" w:hAnsi="宋体" w:eastAsia="宋体" w:cs="宋体"/>
                <w:color w:val="auto"/>
                <w:kern w:val="0"/>
                <w:szCs w:val="21"/>
              </w:rPr>
              <w:t>档（5分）：</w:t>
            </w:r>
          </w:p>
          <w:p>
            <w:pPr>
              <w:widowControl/>
              <w:spacing w:line="340" w:lineRule="exact"/>
              <w:rPr>
                <w:rFonts w:hint="eastAsia" w:ascii="宋体" w:hAnsi="宋体" w:eastAsia="宋体" w:cs="宋体"/>
                <w:color w:val="auto"/>
                <w:kern w:val="0"/>
                <w:szCs w:val="21"/>
              </w:rPr>
            </w:pPr>
            <w:r>
              <w:rPr>
                <w:rFonts w:hint="eastAsia" w:ascii="宋体" w:hAnsi="宋体" w:eastAsia="宋体" w:cs="宋体"/>
                <w:color w:val="auto"/>
                <w:kern w:val="0"/>
                <w:szCs w:val="21"/>
              </w:rPr>
              <w:t>环境保护方案针对本项目详细描述了对原地坪破挖、噪音污染、建筑渣土清运处理的及时性措施；雨天时造成污染所采取的措施以及施工顺序的安排，减少施工对居民出入不便造成的影响以及其他扰民因素措施。内容详细齐全，方案描述突出重点、要点，针对本项目提出了符合本工程实际情况环境保护方案。</w:t>
            </w:r>
          </w:p>
          <w:p>
            <w:pPr>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二档（3分）：</w:t>
            </w:r>
          </w:p>
          <w:p>
            <w:pPr>
              <w:spacing w:line="400" w:lineRule="exact"/>
              <w:rPr>
                <w:rFonts w:hint="eastAsia" w:ascii="宋体" w:hAnsi="宋体" w:eastAsia="宋体" w:cs="宋体"/>
                <w:color w:val="auto"/>
                <w:kern w:val="0"/>
                <w:szCs w:val="21"/>
              </w:rPr>
            </w:pPr>
            <w:r>
              <w:rPr>
                <w:rFonts w:hint="eastAsia" w:ascii="宋体" w:hAnsi="宋体" w:eastAsia="宋体" w:cs="宋体"/>
                <w:color w:val="auto"/>
                <w:szCs w:val="21"/>
              </w:rPr>
              <w:t>环境保护方案针对本项目详细描述了对原地坪破挖、噪音污染、建筑渣土清运处理的及时性措施；雨天时造成污染所采取的措施以及施工顺序的安排，减少施工对居民出入不便造成的影响以及其他扰民因素措施。</w:t>
            </w:r>
            <w:r>
              <w:rPr>
                <w:rFonts w:hint="eastAsia" w:ascii="宋体" w:hAnsi="宋体" w:eastAsia="宋体" w:cs="宋体"/>
                <w:color w:val="auto"/>
                <w:kern w:val="0"/>
                <w:szCs w:val="21"/>
              </w:rPr>
              <w:t>内容基本齐全，具备合理性和可行性；方案描述突出要点，较为符合本工程实际情况。</w:t>
            </w:r>
          </w:p>
          <w:p>
            <w:pPr>
              <w:pStyle w:val="2"/>
              <w:spacing w:line="400" w:lineRule="exact"/>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三档（1分）：</w:t>
            </w:r>
          </w:p>
          <w:p>
            <w:pPr>
              <w:spacing w:line="400" w:lineRule="exact"/>
              <w:rPr>
                <w:rFonts w:hint="eastAsia" w:ascii="宋体" w:hAnsi="宋体" w:eastAsia="宋体" w:cs="宋体"/>
                <w:color w:val="auto"/>
              </w:rPr>
            </w:pPr>
            <w:r>
              <w:rPr>
                <w:rFonts w:hint="eastAsia" w:ascii="宋体" w:hAnsi="宋体" w:eastAsia="宋体" w:cs="宋体"/>
                <w:color w:val="auto"/>
                <w:szCs w:val="21"/>
              </w:rPr>
              <w:t>环境保护方案针对本项目详细描述了对原地坪破挖、噪音污染、建筑渣土清运处理的及时性措施；雨天时造成污染所采取的措施以及施工顺序的安排，减少施工对居民出入不便造成的影响以及其他扰民因素措施。</w:t>
            </w:r>
            <w:r>
              <w:rPr>
                <w:rFonts w:hint="eastAsia" w:ascii="宋体" w:hAnsi="宋体" w:eastAsia="宋体" w:cs="宋体"/>
                <w:color w:val="auto"/>
                <w:kern w:val="0"/>
                <w:szCs w:val="21"/>
              </w:rPr>
              <w:t>方案简单，无法说明其可行性。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b/>
                <w:color w:val="auto"/>
                <w:kern w:val="0"/>
                <w:szCs w:val="21"/>
              </w:rPr>
            </w:pPr>
          </w:p>
        </w:tc>
        <w:tc>
          <w:tcPr>
            <w:tcW w:w="195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5、运营维护方案（满分22分）</w:t>
            </w:r>
          </w:p>
        </w:tc>
        <w:tc>
          <w:tcPr>
            <w:tcW w:w="73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Cs/>
                <w:color w:val="auto"/>
                <w:szCs w:val="21"/>
              </w:rPr>
            </w:pPr>
            <w:r>
              <w:rPr>
                <w:rFonts w:hint="eastAsia" w:ascii="宋体" w:hAnsi="宋体" w:eastAsia="宋体" w:cs="宋体"/>
                <w:bCs/>
                <w:color w:val="auto"/>
                <w:szCs w:val="21"/>
              </w:rPr>
              <w:t>10分</w:t>
            </w:r>
          </w:p>
        </w:tc>
        <w:tc>
          <w:tcPr>
            <w:tcW w:w="5646" w:type="dxa"/>
            <w:tcBorders>
              <w:top w:val="single" w:color="auto" w:sz="4" w:space="0"/>
              <w:left w:val="single" w:color="auto" w:sz="4" w:space="0"/>
              <w:bottom w:val="single" w:color="auto" w:sz="4" w:space="0"/>
              <w:right w:val="single" w:color="auto" w:sz="4" w:space="0"/>
            </w:tcBorders>
            <w:vAlign w:val="center"/>
          </w:tcPr>
          <w:p>
            <w:pPr>
              <w:widowControl/>
              <w:spacing w:line="276" w:lineRule="auto"/>
              <w:rPr>
                <w:rFonts w:hint="eastAsia" w:ascii="宋体" w:hAnsi="宋体" w:eastAsia="宋体" w:cs="宋体"/>
                <w:bCs/>
                <w:color w:val="auto"/>
                <w:szCs w:val="21"/>
              </w:rPr>
            </w:pPr>
            <w:r>
              <w:rPr>
                <w:rFonts w:hint="eastAsia" w:ascii="宋体" w:hAnsi="宋体" w:eastAsia="宋体" w:cs="宋体"/>
                <w:bCs/>
                <w:color w:val="auto"/>
                <w:szCs w:val="21"/>
              </w:rPr>
              <w:t>运营管理方案：</w:t>
            </w:r>
          </w:p>
          <w:p>
            <w:pPr>
              <w:autoSpaceDE w:val="0"/>
              <w:autoSpaceDN w:val="0"/>
              <w:spacing w:line="276" w:lineRule="auto"/>
              <w:rPr>
                <w:rFonts w:hint="eastAsia" w:ascii="宋体" w:hAnsi="宋体" w:eastAsia="宋体" w:cs="宋体"/>
                <w:bCs/>
                <w:color w:val="auto"/>
                <w:szCs w:val="21"/>
              </w:rPr>
            </w:pPr>
            <w:r>
              <w:rPr>
                <w:rFonts w:hint="eastAsia" w:ascii="宋体" w:hAnsi="宋体" w:eastAsia="宋体" w:cs="宋体"/>
                <w:bCs/>
                <w:color w:val="auto"/>
                <w:szCs w:val="21"/>
              </w:rPr>
              <w:t>（1）一档（10分</w:t>
            </w:r>
            <w:r>
              <w:rPr>
                <w:rFonts w:hint="eastAsia" w:ascii="宋体" w:hAnsi="宋体" w:eastAsia="宋体" w:cs="宋体"/>
                <w:color w:val="auto"/>
                <w:kern w:val="0"/>
                <w:szCs w:val="21"/>
              </w:rPr>
              <w:t>）</w:t>
            </w:r>
            <w:r>
              <w:rPr>
                <w:rFonts w:hint="eastAsia" w:ascii="宋体" w:hAnsi="宋体" w:eastAsia="宋体" w:cs="宋体"/>
                <w:bCs/>
                <w:color w:val="auto"/>
                <w:szCs w:val="21"/>
              </w:rPr>
              <w:t>：方案充实可行、项目齐全、措施合理、具备可操作性，且符合项目运营标准要求的；</w:t>
            </w:r>
          </w:p>
          <w:p>
            <w:pPr>
              <w:autoSpaceDE w:val="0"/>
              <w:autoSpaceDN w:val="0"/>
              <w:spacing w:line="276" w:lineRule="auto"/>
              <w:rPr>
                <w:rFonts w:hint="eastAsia" w:ascii="宋体" w:hAnsi="宋体" w:eastAsia="宋体" w:cs="宋体"/>
                <w:bCs/>
                <w:color w:val="auto"/>
                <w:szCs w:val="21"/>
              </w:rPr>
            </w:pPr>
            <w:r>
              <w:rPr>
                <w:rFonts w:hint="eastAsia" w:ascii="宋体" w:hAnsi="宋体" w:eastAsia="宋体" w:cs="宋体"/>
                <w:bCs/>
                <w:color w:val="auto"/>
                <w:szCs w:val="21"/>
              </w:rPr>
              <w:t>（2）二档（5分</w:t>
            </w:r>
            <w:r>
              <w:rPr>
                <w:rFonts w:hint="eastAsia" w:ascii="宋体" w:hAnsi="宋体" w:eastAsia="宋体" w:cs="宋体"/>
                <w:color w:val="auto"/>
                <w:kern w:val="0"/>
                <w:szCs w:val="21"/>
              </w:rPr>
              <w:t>）</w:t>
            </w:r>
            <w:r>
              <w:rPr>
                <w:rFonts w:hint="eastAsia" w:ascii="宋体" w:hAnsi="宋体" w:eastAsia="宋体" w:cs="宋体"/>
                <w:bCs/>
                <w:color w:val="auto"/>
                <w:szCs w:val="21"/>
              </w:rPr>
              <w:t>：方案较充实可行、项目较齐全、措施较合理，具备一定可操作性的，且基本符合项目运营标准要求的。</w:t>
            </w:r>
          </w:p>
          <w:p>
            <w:pPr>
              <w:pStyle w:val="30"/>
              <w:rPr>
                <w:rFonts w:hint="eastAsia" w:ascii="宋体" w:hAnsi="宋体" w:eastAsia="宋体" w:cs="宋体"/>
                <w:color w:val="auto"/>
                <w:sz w:val="21"/>
                <w:szCs w:val="21"/>
              </w:rPr>
            </w:pPr>
            <w:r>
              <w:rPr>
                <w:rFonts w:hint="eastAsia" w:ascii="宋体" w:hAnsi="宋体" w:eastAsia="宋体" w:cs="宋体"/>
                <w:bCs w:val="0"/>
                <w:color w:val="auto"/>
                <w:sz w:val="21"/>
                <w:szCs w:val="21"/>
              </w:rPr>
              <w:t>（3）三档（0分</w:t>
            </w:r>
            <w:r>
              <w:rPr>
                <w:rFonts w:hint="eastAsia" w:ascii="宋体" w:hAnsi="宋体" w:eastAsia="宋体" w:cs="宋体"/>
                <w:color w:val="auto"/>
                <w:kern w:val="0"/>
                <w:sz w:val="21"/>
                <w:szCs w:val="21"/>
              </w:rPr>
              <w:t>）</w:t>
            </w:r>
            <w:r>
              <w:rPr>
                <w:rFonts w:hint="eastAsia" w:ascii="宋体" w:hAnsi="宋体" w:eastAsia="宋体" w:cs="宋体"/>
                <w:bCs w:val="0"/>
                <w:color w:val="auto"/>
                <w:sz w:val="21"/>
                <w:szCs w:val="21"/>
              </w:rPr>
              <w:t>：方案不可行、项目不齐全、措施不合理，不具备可操作性的，不符合项目运营标准要求的。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b/>
                <w:color w:val="auto"/>
                <w:kern w:val="0"/>
                <w:szCs w:val="21"/>
              </w:rPr>
            </w:pPr>
          </w:p>
        </w:tc>
        <w:tc>
          <w:tcPr>
            <w:tcW w:w="19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Cs w:val="21"/>
              </w:rPr>
            </w:pPr>
          </w:p>
        </w:tc>
        <w:tc>
          <w:tcPr>
            <w:tcW w:w="73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Cs/>
                <w:color w:val="auto"/>
                <w:szCs w:val="21"/>
              </w:rPr>
            </w:pPr>
            <w:r>
              <w:rPr>
                <w:rFonts w:hint="eastAsia" w:ascii="宋体" w:hAnsi="宋体" w:eastAsia="宋体" w:cs="宋体"/>
                <w:bCs/>
                <w:color w:val="auto"/>
                <w:szCs w:val="21"/>
              </w:rPr>
              <w:t>5分</w:t>
            </w:r>
          </w:p>
        </w:tc>
        <w:tc>
          <w:tcPr>
            <w:tcW w:w="5646" w:type="dxa"/>
            <w:tcBorders>
              <w:top w:val="single" w:color="auto" w:sz="4" w:space="0"/>
              <w:left w:val="single" w:color="auto" w:sz="4" w:space="0"/>
              <w:bottom w:val="single" w:color="auto" w:sz="4" w:space="0"/>
              <w:right w:val="single" w:color="auto" w:sz="4" w:space="0"/>
            </w:tcBorders>
            <w:vAlign w:val="center"/>
          </w:tcPr>
          <w:p>
            <w:pPr>
              <w:widowControl/>
              <w:spacing w:line="276" w:lineRule="auto"/>
              <w:rPr>
                <w:rFonts w:hint="eastAsia" w:ascii="宋体" w:hAnsi="宋体" w:eastAsia="宋体" w:cs="宋体"/>
                <w:bCs/>
                <w:color w:val="auto"/>
                <w:szCs w:val="21"/>
              </w:rPr>
            </w:pPr>
            <w:r>
              <w:rPr>
                <w:rFonts w:hint="eastAsia" w:ascii="宋体" w:hAnsi="宋体" w:eastAsia="宋体" w:cs="宋体"/>
                <w:bCs/>
                <w:color w:val="auto"/>
                <w:szCs w:val="21"/>
              </w:rPr>
              <w:t>运营管理组织机构与人员构成：</w:t>
            </w:r>
          </w:p>
          <w:p>
            <w:pPr>
              <w:pStyle w:val="61"/>
              <w:numPr>
                <w:ilvl w:val="0"/>
                <w:numId w:val="4"/>
              </w:numPr>
              <w:autoSpaceDE w:val="0"/>
              <w:autoSpaceDN w:val="0"/>
              <w:spacing w:line="276" w:lineRule="auto"/>
              <w:ind w:firstLineChars="0"/>
              <w:rPr>
                <w:rFonts w:hint="eastAsia" w:ascii="宋体" w:hAnsi="宋体" w:eastAsia="宋体" w:cs="宋体"/>
                <w:bCs/>
                <w:color w:val="auto"/>
                <w:szCs w:val="21"/>
              </w:rPr>
            </w:pPr>
            <w:r>
              <w:rPr>
                <w:rFonts w:hint="eastAsia" w:ascii="宋体" w:hAnsi="宋体" w:eastAsia="宋体" w:cs="宋体"/>
                <w:bCs/>
                <w:color w:val="auto"/>
                <w:szCs w:val="21"/>
              </w:rPr>
              <w:t>一档（5分</w:t>
            </w:r>
            <w:r>
              <w:rPr>
                <w:rFonts w:hint="eastAsia" w:ascii="宋体" w:hAnsi="宋体" w:eastAsia="宋体" w:cs="宋体"/>
                <w:color w:val="auto"/>
                <w:kern w:val="0"/>
                <w:szCs w:val="21"/>
              </w:rPr>
              <w:t>）</w:t>
            </w:r>
            <w:r>
              <w:rPr>
                <w:rFonts w:hint="eastAsia" w:ascii="宋体" w:hAnsi="宋体" w:eastAsia="宋体" w:cs="宋体"/>
                <w:bCs/>
                <w:color w:val="auto"/>
                <w:szCs w:val="21"/>
              </w:rPr>
              <w:t>：</w:t>
            </w:r>
          </w:p>
          <w:p>
            <w:pPr>
              <w:autoSpaceDE w:val="0"/>
              <w:autoSpaceDN w:val="0"/>
              <w:spacing w:line="276" w:lineRule="auto"/>
              <w:rPr>
                <w:rFonts w:hint="eastAsia" w:ascii="宋体" w:hAnsi="宋体" w:eastAsia="宋体" w:cs="宋体"/>
                <w:bCs/>
                <w:color w:val="auto"/>
                <w:szCs w:val="21"/>
              </w:rPr>
            </w:pPr>
            <w:r>
              <w:rPr>
                <w:rFonts w:hint="eastAsia" w:ascii="宋体" w:hAnsi="宋体" w:eastAsia="宋体" w:cs="宋体"/>
                <w:bCs/>
                <w:color w:val="auto"/>
                <w:szCs w:val="21"/>
              </w:rPr>
              <w:t>组织机构、人员配备满足运营需要，岗位职责明确的；</w:t>
            </w:r>
          </w:p>
          <w:p>
            <w:pPr>
              <w:pStyle w:val="61"/>
              <w:numPr>
                <w:ilvl w:val="0"/>
                <w:numId w:val="4"/>
              </w:numPr>
              <w:autoSpaceDE w:val="0"/>
              <w:autoSpaceDN w:val="0"/>
              <w:spacing w:line="276" w:lineRule="auto"/>
              <w:ind w:firstLineChars="0"/>
              <w:rPr>
                <w:rFonts w:hint="eastAsia" w:ascii="宋体" w:hAnsi="宋体" w:eastAsia="宋体" w:cs="宋体"/>
                <w:bCs/>
                <w:color w:val="auto"/>
                <w:szCs w:val="21"/>
              </w:rPr>
            </w:pPr>
            <w:r>
              <w:rPr>
                <w:rFonts w:hint="eastAsia" w:ascii="宋体" w:hAnsi="宋体" w:eastAsia="宋体" w:cs="宋体"/>
                <w:bCs/>
                <w:color w:val="auto"/>
                <w:szCs w:val="21"/>
              </w:rPr>
              <w:t>二档（3分</w:t>
            </w:r>
            <w:r>
              <w:rPr>
                <w:rFonts w:hint="eastAsia" w:ascii="宋体" w:hAnsi="宋体" w:eastAsia="宋体" w:cs="宋体"/>
                <w:color w:val="auto"/>
                <w:kern w:val="0"/>
                <w:szCs w:val="21"/>
              </w:rPr>
              <w:t>）</w:t>
            </w:r>
            <w:r>
              <w:rPr>
                <w:rFonts w:hint="eastAsia" w:ascii="宋体" w:hAnsi="宋体" w:eastAsia="宋体" w:cs="宋体"/>
                <w:bCs/>
                <w:color w:val="auto"/>
                <w:szCs w:val="21"/>
              </w:rPr>
              <w:t>：</w:t>
            </w:r>
          </w:p>
          <w:p>
            <w:pPr>
              <w:autoSpaceDE w:val="0"/>
              <w:autoSpaceDN w:val="0"/>
              <w:spacing w:line="276" w:lineRule="auto"/>
              <w:rPr>
                <w:rFonts w:hint="eastAsia" w:ascii="宋体" w:hAnsi="宋体" w:eastAsia="宋体" w:cs="宋体"/>
                <w:bCs/>
                <w:color w:val="auto"/>
                <w:szCs w:val="21"/>
              </w:rPr>
            </w:pPr>
            <w:r>
              <w:rPr>
                <w:rFonts w:hint="eastAsia" w:ascii="宋体" w:hAnsi="宋体" w:eastAsia="宋体" w:cs="宋体"/>
                <w:bCs/>
                <w:color w:val="auto"/>
                <w:szCs w:val="21"/>
              </w:rPr>
              <w:t>组织机构、人员配备基本满足运营需要，岗位较职责明确的。</w:t>
            </w:r>
          </w:p>
          <w:p>
            <w:pPr>
              <w:pStyle w:val="30"/>
              <w:rPr>
                <w:rFonts w:hint="eastAsia" w:ascii="宋体" w:hAnsi="宋体" w:eastAsia="宋体" w:cs="宋体"/>
                <w:color w:val="auto"/>
                <w:kern w:val="0"/>
                <w:sz w:val="21"/>
                <w:szCs w:val="21"/>
              </w:rPr>
            </w:pPr>
            <w:r>
              <w:rPr>
                <w:rFonts w:hint="eastAsia" w:ascii="宋体" w:hAnsi="宋体" w:eastAsia="宋体" w:cs="宋体"/>
                <w:bCs w:val="0"/>
                <w:color w:val="auto"/>
                <w:sz w:val="21"/>
                <w:szCs w:val="21"/>
              </w:rPr>
              <w:t>（3）三档（0分</w:t>
            </w:r>
            <w:r>
              <w:rPr>
                <w:rFonts w:hint="eastAsia" w:ascii="宋体" w:hAnsi="宋体" w:eastAsia="宋体" w:cs="宋体"/>
                <w:color w:val="auto"/>
                <w:kern w:val="0"/>
                <w:sz w:val="21"/>
                <w:szCs w:val="21"/>
              </w:rPr>
              <w:t>）：</w:t>
            </w:r>
          </w:p>
          <w:p>
            <w:pPr>
              <w:pStyle w:val="30"/>
              <w:rPr>
                <w:rFonts w:hint="eastAsia" w:ascii="宋体" w:hAnsi="宋体" w:eastAsia="宋体" w:cs="宋体"/>
                <w:color w:val="auto"/>
                <w:sz w:val="21"/>
                <w:szCs w:val="21"/>
              </w:rPr>
            </w:pPr>
            <w:r>
              <w:rPr>
                <w:rFonts w:hint="eastAsia" w:ascii="宋体" w:hAnsi="宋体" w:eastAsia="宋体" w:cs="宋体"/>
                <w:bCs w:val="0"/>
                <w:color w:val="auto"/>
                <w:sz w:val="21"/>
                <w:szCs w:val="21"/>
              </w:rPr>
              <w:t>组织机构、人员配备无法满足运营需要，岗位较职责不明确的。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b/>
                <w:color w:val="auto"/>
                <w:kern w:val="0"/>
                <w:szCs w:val="21"/>
              </w:rPr>
            </w:pPr>
          </w:p>
        </w:tc>
        <w:tc>
          <w:tcPr>
            <w:tcW w:w="19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Cs w:val="21"/>
              </w:rPr>
            </w:pPr>
          </w:p>
        </w:tc>
        <w:tc>
          <w:tcPr>
            <w:tcW w:w="73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Cs/>
                <w:color w:val="auto"/>
                <w:szCs w:val="21"/>
              </w:rPr>
            </w:pPr>
            <w:r>
              <w:rPr>
                <w:rFonts w:hint="eastAsia" w:ascii="宋体" w:hAnsi="宋体" w:eastAsia="宋体" w:cs="宋体"/>
                <w:bCs/>
                <w:color w:val="auto"/>
                <w:szCs w:val="21"/>
              </w:rPr>
              <w:t>5分</w:t>
            </w:r>
          </w:p>
        </w:tc>
        <w:tc>
          <w:tcPr>
            <w:tcW w:w="5646" w:type="dxa"/>
            <w:tcBorders>
              <w:top w:val="single" w:color="auto" w:sz="4" w:space="0"/>
              <w:left w:val="single" w:color="auto" w:sz="4" w:space="0"/>
              <w:bottom w:val="single" w:color="auto" w:sz="4" w:space="0"/>
              <w:right w:val="single" w:color="auto" w:sz="4" w:space="0"/>
            </w:tcBorders>
            <w:vAlign w:val="center"/>
          </w:tcPr>
          <w:p>
            <w:pPr>
              <w:widowControl/>
              <w:spacing w:line="276" w:lineRule="auto"/>
              <w:rPr>
                <w:rFonts w:hint="eastAsia" w:ascii="宋体" w:hAnsi="宋体" w:eastAsia="宋体" w:cs="宋体"/>
                <w:bCs/>
                <w:color w:val="auto"/>
                <w:szCs w:val="21"/>
              </w:rPr>
            </w:pPr>
            <w:r>
              <w:rPr>
                <w:rFonts w:hint="eastAsia" w:ascii="宋体" w:hAnsi="宋体" w:eastAsia="宋体" w:cs="宋体"/>
                <w:bCs/>
                <w:color w:val="auto"/>
                <w:szCs w:val="21"/>
              </w:rPr>
              <w:t>运营服务标准、质量保证措施和制度、安全保证措施和制度、各类应急预案：</w:t>
            </w:r>
          </w:p>
          <w:p>
            <w:pPr>
              <w:pStyle w:val="61"/>
              <w:numPr>
                <w:ilvl w:val="0"/>
                <w:numId w:val="5"/>
              </w:numPr>
              <w:autoSpaceDE w:val="0"/>
              <w:autoSpaceDN w:val="0"/>
              <w:spacing w:line="276" w:lineRule="auto"/>
              <w:ind w:firstLineChars="0"/>
              <w:rPr>
                <w:rFonts w:hint="eastAsia" w:ascii="宋体" w:hAnsi="宋体" w:eastAsia="宋体" w:cs="宋体"/>
                <w:bCs/>
                <w:color w:val="auto"/>
                <w:szCs w:val="21"/>
              </w:rPr>
            </w:pPr>
            <w:r>
              <w:rPr>
                <w:rFonts w:hint="eastAsia" w:ascii="宋体" w:hAnsi="宋体" w:eastAsia="宋体" w:cs="宋体"/>
                <w:bCs/>
                <w:color w:val="auto"/>
                <w:szCs w:val="21"/>
              </w:rPr>
              <w:t>一档（</w:t>
            </w:r>
            <w:r>
              <w:rPr>
                <w:rFonts w:hint="eastAsia" w:ascii="宋体" w:hAnsi="宋体" w:cs="宋体"/>
                <w:bCs/>
                <w:color w:val="auto"/>
                <w:szCs w:val="21"/>
                <w:lang w:val="en-US" w:eastAsia="zh-CN"/>
              </w:rPr>
              <w:t>5</w:t>
            </w:r>
            <w:r>
              <w:rPr>
                <w:rFonts w:hint="eastAsia" w:ascii="宋体" w:hAnsi="宋体" w:eastAsia="宋体" w:cs="宋体"/>
                <w:bCs/>
                <w:color w:val="auto"/>
                <w:szCs w:val="21"/>
              </w:rPr>
              <w:t>分</w:t>
            </w:r>
            <w:r>
              <w:rPr>
                <w:rFonts w:hint="eastAsia" w:ascii="宋体" w:hAnsi="宋体" w:eastAsia="宋体" w:cs="宋体"/>
                <w:color w:val="auto"/>
                <w:kern w:val="0"/>
                <w:szCs w:val="21"/>
              </w:rPr>
              <w:t>）</w:t>
            </w:r>
            <w:r>
              <w:rPr>
                <w:rFonts w:hint="eastAsia" w:ascii="宋体" w:hAnsi="宋体" w:eastAsia="宋体" w:cs="宋体"/>
                <w:bCs/>
                <w:color w:val="auto"/>
                <w:szCs w:val="21"/>
              </w:rPr>
              <w:t>：</w:t>
            </w:r>
          </w:p>
          <w:p>
            <w:pPr>
              <w:autoSpaceDE w:val="0"/>
              <w:autoSpaceDN w:val="0"/>
              <w:spacing w:line="276" w:lineRule="auto"/>
              <w:rPr>
                <w:rFonts w:hint="eastAsia" w:ascii="宋体" w:hAnsi="宋体" w:eastAsia="宋体" w:cs="宋体"/>
                <w:bCs/>
                <w:color w:val="auto"/>
                <w:szCs w:val="21"/>
              </w:rPr>
            </w:pPr>
            <w:r>
              <w:rPr>
                <w:rFonts w:hint="eastAsia" w:ascii="宋体" w:hAnsi="宋体" w:eastAsia="宋体" w:cs="宋体"/>
                <w:bCs/>
                <w:color w:val="auto"/>
                <w:szCs w:val="21"/>
              </w:rPr>
              <w:t>运营服务标准考虑全面、完全符合和涵盖本项目运营内容和招标文件的要求，质量保证措施和制度、安全保证措施和制度科学合理，各类应急预案科学有效。</w:t>
            </w:r>
          </w:p>
          <w:p>
            <w:pPr>
              <w:pStyle w:val="61"/>
              <w:numPr>
                <w:ilvl w:val="0"/>
                <w:numId w:val="5"/>
              </w:numPr>
              <w:autoSpaceDE w:val="0"/>
              <w:autoSpaceDN w:val="0"/>
              <w:spacing w:line="276" w:lineRule="auto"/>
              <w:ind w:firstLineChars="0"/>
              <w:rPr>
                <w:rFonts w:hint="eastAsia" w:ascii="宋体" w:hAnsi="宋体" w:eastAsia="宋体" w:cs="宋体"/>
                <w:bCs/>
                <w:color w:val="auto"/>
                <w:szCs w:val="21"/>
              </w:rPr>
            </w:pPr>
            <w:r>
              <w:rPr>
                <w:rFonts w:hint="eastAsia" w:ascii="宋体" w:hAnsi="宋体" w:eastAsia="宋体" w:cs="宋体"/>
                <w:bCs/>
                <w:color w:val="auto"/>
                <w:szCs w:val="21"/>
              </w:rPr>
              <w:t>二档（3分</w:t>
            </w:r>
            <w:r>
              <w:rPr>
                <w:rFonts w:hint="eastAsia" w:ascii="宋体" w:hAnsi="宋体" w:eastAsia="宋体" w:cs="宋体"/>
                <w:color w:val="auto"/>
                <w:kern w:val="0"/>
                <w:szCs w:val="21"/>
              </w:rPr>
              <w:t>）</w:t>
            </w:r>
            <w:r>
              <w:rPr>
                <w:rFonts w:hint="eastAsia" w:ascii="宋体" w:hAnsi="宋体" w:eastAsia="宋体" w:cs="宋体"/>
                <w:bCs/>
                <w:color w:val="auto"/>
                <w:szCs w:val="21"/>
              </w:rPr>
              <w:t>：</w:t>
            </w:r>
          </w:p>
          <w:p>
            <w:pPr>
              <w:autoSpaceDE w:val="0"/>
              <w:autoSpaceDN w:val="0"/>
              <w:spacing w:line="276" w:lineRule="auto"/>
              <w:rPr>
                <w:rFonts w:hint="eastAsia" w:ascii="宋体" w:hAnsi="宋体" w:eastAsia="宋体" w:cs="宋体"/>
                <w:bCs/>
                <w:color w:val="auto"/>
                <w:szCs w:val="21"/>
              </w:rPr>
            </w:pPr>
            <w:r>
              <w:rPr>
                <w:rFonts w:hint="eastAsia" w:ascii="宋体" w:hAnsi="宋体" w:eastAsia="宋体" w:cs="宋体"/>
                <w:bCs/>
                <w:color w:val="auto"/>
                <w:szCs w:val="21"/>
              </w:rPr>
              <w:t>运营服务标准考虑较全面、涵盖了本项目运营内容和招标文件的要求，质量保证措施和制度、安全保证措施和制度基本合理，各类应急预案基本可行。</w:t>
            </w:r>
          </w:p>
          <w:p>
            <w:pPr>
              <w:pStyle w:val="30"/>
              <w:numPr>
                <w:ilvl w:val="0"/>
                <w:numId w:val="5"/>
              </w:numPr>
              <w:rPr>
                <w:rFonts w:hint="eastAsia" w:ascii="宋体" w:hAnsi="宋体" w:eastAsia="宋体" w:cs="宋体"/>
                <w:bCs w:val="0"/>
                <w:color w:val="auto"/>
                <w:sz w:val="21"/>
                <w:szCs w:val="21"/>
              </w:rPr>
            </w:pPr>
            <w:r>
              <w:rPr>
                <w:rFonts w:hint="eastAsia" w:ascii="宋体" w:hAnsi="宋体" w:eastAsia="宋体" w:cs="宋体"/>
                <w:bCs w:val="0"/>
                <w:color w:val="auto"/>
                <w:sz w:val="21"/>
                <w:szCs w:val="21"/>
              </w:rPr>
              <w:t>三档（0分</w:t>
            </w:r>
            <w:r>
              <w:rPr>
                <w:rFonts w:hint="eastAsia" w:ascii="宋体" w:hAnsi="宋体" w:eastAsia="宋体" w:cs="宋体"/>
                <w:color w:val="auto"/>
                <w:kern w:val="0"/>
                <w:sz w:val="21"/>
                <w:szCs w:val="21"/>
              </w:rPr>
              <w:t>）</w:t>
            </w:r>
            <w:r>
              <w:rPr>
                <w:rFonts w:hint="eastAsia" w:ascii="宋体" w:hAnsi="宋体" w:eastAsia="宋体" w:cs="宋体"/>
                <w:bCs w:val="0"/>
                <w:color w:val="auto"/>
                <w:sz w:val="21"/>
                <w:szCs w:val="21"/>
              </w:rPr>
              <w:t>：</w:t>
            </w:r>
          </w:p>
          <w:p>
            <w:pPr>
              <w:pStyle w:val="30"/>
              <w:rPr>
                <w:rFonts w:hint="eastAsia" w:ascii="宋体" w:hAnsi="宋体" w:eastAsia="宋体" w:cs="宋体"/>
                <w:color w:val="auto"/>
                <w:sz w:val="21"/>
                <w:szCs w:val="21"/>
              </w:rPr>
            </w:pPr>
            <w:r>
              <w:rPr>
                <w:rFonts w:hint="eastAsia" w:ascii="宋体" w:hAnsi="宋体" w:eastAsia="宋体" w:cs="宋体"/>
                <w:bCs w:val="0"/>
                <w:color w:val="auto"/>
                <w:sz w:val="21"/>
                <w:szCs w:val="21"/>
              </w:rPr>
              <w:t>运营服务标准考虑不全面、没有涵盖本项目运营内容和招标文件的要求，质量保证措施和制度、安全保证措施和制度不合理，各类应急预案不可行。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b/>
                <w:color w:val="auto"/>
                <w:kern w:val="0"/>
                <w:szCs w:val="21"/>
              </w:rPr>
            </w:pPr>
          </w:p>
        </w:tc>
        <w:tc>
          <w:tcPr>
            <w:tcW w:w="19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Cs w:val="21"/>
              </w:rPr>
            </w:pPr>
          </w:p>
        </w:tc>
        <w:tc>
          <w:tcPr>
            <w:tcW w:w="73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Cs/>
                <w:color w:val="auto"/>
                <w:szCs w:val="21"/>
              </w:rPr>
            </w:pPr>
            <w:r>
              <w:rPr>
                <w:rFonts w:hint="eastAsia" w:ascii="宋体" w:hAnsi="宋体" w:eastAsia="宋体" w:cs="宋体"/>
                <w:bCs/>
                <w:color w:val="auto"/>
                <w:szCs w:val="21"/>
              </w:rPr>
              <w:t>2分</w:t>
            </w:r>
          </w:p>
        </w:tc>
        <w:tc>
          <w:tcPr>
            <w:tcW w:w="5646" w:type="dxa"/>
            <w:tcBorders>
              <w:top w:val="single" w:color="auto" w:sz="4" w:space="0"/>
              <w:left w:val="single" w:color="auto" w:sz="4" w:space="0"/>
              <w:bottom w:val="single" w:color="auto" w:sz="4" w:space="0"/>
              <w:right w:val="single" w:color="auto" w:sz="4" w:space="0"/>
            </w:tcBorders>
            <w:vAlign w:val="center"/>
          </w:tcPr>
          <w:p>
            <w:pPr>
              <w:widowControl/>
              <w:spacing w:line="276" w:lineRule="auto"/>
              <w:rPr>
                <w:rFonts w:hint="eastAsia" w:ascii="宋体" w:hAnsi="宋体" w:eastAsia="宋体" w:cs="宋体"/>
                <w:bCs/>
                <w:color w:val="auto"/>
                <w:szCs w:val="21"/>
              </w:rPr>
            </w:pPr>
            <w:r>
              <w:rPr>
                <w:rFonts w:hint="eastAsia" w:ascii="宋体" w:hAnsi="宋体" w:eastAsia="宋体" w:cs="宋体"/>
                <w:bCs/>
                <w:color w:val="auto"/>
                <w:szCs w:val="21"/>
              </w:rPr>
              <w:t>维护方案：</w:t>
            </w:r>
          </w:p>
          <w:p>
            <w:pPr>
              <w:pStyle w:val="61"/>
              <w:numPr>
                <w:ilvl w:val="0"/>
                <w:numId w:val="6"/>
              </w:numPr>
              <w:autoSpaceDE w:val="0"/>
              <w:autoSpaceDN w:val="0"/>
              <w:spacing w:line="276" w:lineRule="auto"/>
              <w:ind w:firstLineChars="0"/>
              <w:rPr>
                <w:rFonts w:hint="eastAsia" w:ascii="宋体" w:hAnsi="宋体" w:eastAsia="宋体" w:cs="宋体"/>
                <w:bCs/>
                <w:color w:val="auto"/>
                <w:szCs w:val="21"/>
              </w:rPr>
            </w:pPr>
            <w:r>
              <w:rPr>
                <w:rFonts w:hint="eastAsia" w:ascii="宋体" w:hAnsi="宋体" w:eastAsia="宋体" w:cs="宋体"/>
                <w:bCs/>
                <w:color w:val="auto"/>
                <w:szCs w:val="21"/>
              </w:rPr>
              <w:t>一档（2分</w:t>
            </w:r>
            <w:r>
              <w:rPr>
                <w:rFonts w:hint="eastAsia" w:ascii="宋体" w:hAnsi="宋体" w:eastAsia="宋体" w:cs="宋体"/>
                <w:color w:val="auto"/>
                <w:kern w:val="0"/>
                <w:szCs w:val="21"/>
              </w:rPr>
              <w:t>）</w:t>
            </w:r>
            <w:r>
              <w:rPr>
                <w:rFonts w:hint="eastAsia" w:ascii="宋体" w:hAnsi="宋体" w:eastAsia="宋体" w:cs="宋体"/>
                <w:bCs/>
                <w:color w:val="auto"/>
                <w:szCs w:val="21"/>
              </w:rPr>
              <w:t>：</w:t>
            </w:r>
          </w:p>
          <w:p>
            <w:pPr>
              <w:autoSpaceDE w:val="0"/>
              <w:autoSpaceDN w:val="0"/>
              <w:spacing w:line="276" w:lineRule="auto"/>
              <w:rPr>
                <w:rFonts w:hint="eastAsia" w:ascii="宋体" w:hAnsi="宋体" w:eastAsia="宋体" w:cs="宋体"/>
                <w:bCs/>
                <w:color w:val="auto"/>
                <w:szCs w:val="21"/>
              </w:rPr>
            </w:pPr>
            <w:r>
              <w:rPr>
                <w:rFonts w:hint="eastAsia" w:ascii="宋体" w:hAnsi="宋体" w:eastAsia="宋体" w:cs="宋体"/>
                <w:bCs/>
                <w:color w:val="auto"/>
                <w:szCs w:val="21"/>
              </w:rPr>
              <w:t>投标人提交的维护方案有针对性、设计有量化可考核指标，能覆盖全部维护范围；</w:t>
            </w:r>
          </w:p>
          <w:p>
            <w:pPr>
              <w:pStyle w:val="61"/>
              <w:numPr>
                <w:ilvl w:val="0"/>
                <w:numId w:val="6"/>
              </w:numPr>
              <w:autoSpaceDE w:val="0"/>
              <w:autoSpaceDN w:val="0"/>
              <w:spacing w:line="276" w:lineRule="auto"/>
              <w:ind w:firstLineChars="0"/>
              <w:rPr>
                <w:rFonts w:hint="eastAsia" w:ascii="宋体" w:hAnsi="宋体" w:eastAsia="宋体" w:cs="宋体"/>
                <w:bCs/>
                <w:color w:val="auto"/>
                <w:szCs w:val="21"/>
              </w:rPr>
            </w:pPr>
            <w:r>
              <w:rPr>
                <w:rFonts w:hint="eastAsia" w:ascii="宋体" w:hAnsi="宋体" w:eastAsia="宋体" w:cs="宋体"/>
                <w:bCs/>
                <w:color w:val="auto"/>
                <w:szCs w:val="21"/>
              </w:rPr>
              <w:t>二档（1分</w:t>
            </w:r>
            <w:r>
              <w:rPr>
                <w:rFonts w:hint="eastAsia" w:ascii="宋体" w:hAnsi="宋体" w:eastAsia="宋体" w:cs="宋体"/>
                <w:color w:val="auto"/>
                <w:kern w:val="0"/>
                <w:szCs w:val="21"/>
              </w:rPr>
              <w:t>）</w:t>
            </w:r>
            <w:r>
              <w:rPr>
                <w:rFonts w:hint="eastAsia" w:ascii="宋体" w:hAnsi="宋体" w:eastAsia="宋体" w:cs="宋体"/>
                <w:bCs/>
                <w:color w:val="auto"/>
                <w:szCs w:val="21"/>
              </w:rPr>
              <w:t>：</w:t>
            </w:r>
          </w:p>
          <w:p>
            <w:pPr>
              <w:autoSpaceDE w:val="0"/>
              <w:autoSpaceDN w:val="0"/>
              <w:spacing w:line="276" w:lineRule="auto"/>
              <w:rPr>
                <w:rFonts w:hint="eastAsia" w:ascii="宋体" w:hAnsi="宋体" w:eastAsia="宋体" w:cs="宋体"/>
                <w:bCs/>
                <w:color w:val="auto"/>
                <w:szCs w:val="21"/>
              </w:rPr>
            </w:pPr>
            <w:r>
              <w:rPr>
                <w:rFonts w:hint="eastAsia" w:ascii="宋体" w:hAnsi="宋体" w:eastAsia="宋体" w:cs="宋体"/>
                <w:bCs/>
                <w:color w:val="auto"/>
                <w:szCs w:val="21"/>
              </w:rPr>
              <w:t>投标人提交的维护方案能覆盖运营维护范围，指标设计基本合理。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b/>
                <w:color w:val="auto"/>
                <w:kern w:val="0"/>
                <w:szCs w:val="21"/>
              </w:rPr>
            </w:pPr>
          </w:p>
        </w:tc>
        <w:tc>
          <w:tcPr>
            <w:tcW w:w="195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6、移交方案</w:t>
            </w:r>
          </w:p>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（满分10分）</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4分</w:t>
            </w:r>
          </w:p>
        </w:tc>
        <w:tc>
          <w:tcPr>
            <w:tcW w:w="5646" w:type="dxa"/>
            <w:tcBorders>
              <w:top w:val="single" w:color="auto" w:sz="4" w:space="0"/>
              <w:left w:val="single" w:color="auto" w:sz="4" w:space="0"/>
              <w:bottom w:val="single" w:color="auto" w:sz="4" w:space="0"/>
              <w:right w:val="single" w:color="auto" w:sz="4" w:space="0"/>
            </w:tcBorders>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恢复性移交方案：</w:t>
            </w:r>
          </w:p>
          <w:p>
            <w:pPr>
              <w:pStyle w:val="61"/>
              <w:widowControl/>
              <w:numPr>
                <w:ilvl w:val="0"/>
                <w:numId w:val="7"/>
              </w:numPr>
              <w:ind w:firstLineChars="0"/>
              <w:jc w:val="left"/>
              <w:rPr>
                <w:rFonts w:hint="eastAsia" w:ascii="宋体" w:hAnsi="宋体" w:eastAsia="宋体" w:cs="宋体"/>
                <w:bCs/>
                <w:color w:val="auto"/>
                <w:szCs w:val="21"/>
              </w:rPr>
            </w:pPr>
            <w:r>
              <w:rPr>
                <w:rFonts w:hint="eastAsia" w:ascii="宋体" w:hAnsi="宋体" w:eastAsia="宋体" w:cs="宋体"/>
                <w:bCs/>
                <w:color w:val="auto"/>
                <w:szCs w:val="21"/>
              </w:rPr>
              <w:t>一档（4分</w:t>
            </w:r>
            <w:r>
              <w:rPr>
                <w:rFonts w:hint="eastAsia" w:ascii="宋体" w:hAnsi="宋体" w:eastAsia="宋体" w:cs="宋体"/>
                <w:color w:val="auto"/>
                <w:kern w:val="0"/>
                <w:szCs w:val="21"/>
              </w:rPr>
              <w:t>）</w:t>
            </w:r>
            <w:r>
              <w:rPr>
                <w:rFonts w:hint="eastAsia" w:ascii="宋体" w:hAnsi="宋体" w:eastAsia="宋体" w:cs="宋体"/>
                <w:bCs/>
                <w:color w:val="auto"/>
                <w:szCs w:val="21"/>
              </w:rPr>
              <w:t>：</w:t>
            </w:r>
          </w:p>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恢复性移交方案能够确保项目设施持续良好运行，且确保项目设备的整体完好率达到100%；</w:t>
            </w:r>
          </w:p>
          <w:p>
            <w:pPr>
              <w:pStyle w:val="61"/>
              <w:widowControl/>
              <w:numPr>
                <w:ilvl w:val="0"/>
                <w:numId w:val="7"/>
              </w:numPr>
              <w:ind w:firstLineChars="0"/>
              <w:jc w:val="left"/>
              <w:rPr>
                <w:rFonts w:hint="eastAsia" w:ascii="宋体" w:hAnsi="宋体" w:eastAsia="宋体" w:cs="宋体"/>
                <w:bCs/>
                <w:color w:val="auto"/>
                <w:szCs w:val="21"/>
              </w:rPr>
            </w:pPr>
            <w:r>
              <w:rPr>
                <w:rFonts w:hint="eastAsia" w:ascii="宋体" w:hAnsi="宋体" w:eastAsia="宋体" w:cs="宋体"/>
                <w:bCs/>
                <w:color w:val="auto"/>
                <w:szCs w:val="21"/>
              </w:rPr>
              <w:t>二档（2分</w:t>
            </w:r>
            <w:r>
              <w:rPr>
                <w:rFonts w:hint="eastAsia" w:ascii="宋体" w:hAnsi="宋体" w:eastAsia="宋体" w:cs="宋体"/>
                <w:color w:val="auto"/>
                <w:kern w:val="0"/>
                <w:szCs w:val="21"/>
              </w:rPr>
              <w:t>）</w:t>
            </w:r>
            <w:r>
              <w:rPr>
                <w:rFonts w:hint="eastAsia" w:ascii="宋体" w:hAnsi="宋体" w:eastAsia="宋体" w:cs="宋体"/>
                <w:bCs/>
                <w:color w:val="auto"/>
                <w:szCs w:val="21"/>
              </w:rPr>
              <w:t>：</w:t>
            </w:r>
          </w:p>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恢复性移交方案基本能够确保项目设施持续良好运行，且项目设备基本整体完好的；</w:t>
            </w:r>
          </w:p>
          <w:p>
            <w:pPr>
              <w:pStyle w:val="61"/>
              <w:widowControl/>
              <w:numPr>
                <w:ilvl w:val="0"/>
                <w:numId w:val="7"/>
              </w:numPr>
              <w:ind w:firstLineChars="0"/>
              <w:jc w:val="left"/>
              <w:rPr>
                <w:rFonts w:hint="eastAsia" w:ascii="宋体" w:hAnsi="宋体" w:eastAsia="宋体" w:cs="宋体"/>
                <w:bCs/>
                <w:color w:val="auto"/>
                <w:szCs w:val="21"/>
              </w:rPr>
            </w:pPr>
            <w:r>
              <w:rPr>
                <w:rFonts w:hint="eastAsia" w:ascii="宋体" w:hAnsi="宋体" w:eastAsia="宋体" w:cs="宋体"/>
                <w:bCs/>
                <w:color w:val="auto"/>
                <w:szCs w:val="21"/>
              </w:rPr>
              <w:t>三档（0分</w:t>
            </w:r>
            <w:r>
              <w:rPr>
                <w:rFonts w:hint="eastAsia" w:ascii="宋体" w:hAnsi="宋体" w:eastAsia="宋体" w:cs="宋体"/>
                <w:color w:val="auto"/>
                <w:kern w:val="0"/>
                <w:szCs w:val="21"/>
              </w:rPr>
              <w:t>）</w:t>
            </w:r>
            <w:r>
              <w:rPr>
                <w:rFonts w:hint="eastAsia" w:ascii="宋体" w:hAnsi="宋体" w:eastAsia="宋体" w:cs="宋体"/>
                <w:bCs/>
                <w:color w:val="auto"/>
                <w:szCs w:val="21"/>
              </w:rPr>
              <w:t>：</w:t>
            </w:r>
          </w:p>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恢复性移交方案不能确保项目设施持续良好运行。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6"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b/>
                <w:color w:val="auto"/>
                <w:kern w:val="0"/>
                <w:szCs w:val="21"/>
              </w:rPr>
            </w:pPr>
          </w:p>
        </w:tc>
        <w:tc>
          <w:tcPr>
            <w:tcW w:w="19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Cs w:val="21"/>
              </w:rPr>
            </w:pP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3分</w:t>
            </w:r>
          </w:p>
        </w:tc>
        <w:tc>
          <w:tcPr>
            <w:tcW w:w="5646" w:type="dxa"/>
            <w:tcBorders>
              <w:top w:val="single" w:color="auto" w:sz="4" w:space="0"/>
              <w:left w:val="single" w:color="auto" w:sz="4" w:space="0"/>
              <w:bottom w:val="single" w:color="auto" w:sz="4" w:space="0"/>
              <w:right w:val="single" w:color="auto" w:sz="4" w:space="0"/>
            </w:tcBorders>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移交资产：</w:t>
            </w:r>
          </w:p>
          <w:p>
            <w:pPr>
              <w:pStyle w:val="61"/>
              <w:widowControl/>
              <w:numPr>
                <w:ilvl w:val="0"/>
                <w:numId w:val="8"/>
              </w:numPr>
              <w:ind w:firstLineChars="0"/>
              <w:jc w:val="left"/>
              <w:rPr>
                <w:rFonts w:hint="eastAsia" w:ascii="宋体" w:hAnsi="宋体" w:eastAsia="宋体" w:cs="宋体"/>
                <w:bCs/>
                <w:color w:val="auto"/>
                <w:szCs w:val="21"/>
              </w:rPr>
            </w:pPr>
            <w:r>
              <w:rPr>
                <w:rFonts w:hint="eastAsia" w:ascii="宋体" w:hAnsi="宋体" w:eastAsia="宋体" w:cs="宋体"/>
                <w:bCs/>
                <w:color w:val="auto"/>
                <w:szCs w:val="21"/>
              </w:rPr>
              <w:t>一档（3分</w:t>
            </w:r>
            <w:r>
              <w:rPr>
                <w:rFonts w:hint="eastAsia" w:ascii="宋体" w:hAnsi="宋体" w:eastAsia="宋体" w:cs="宋体"/>
                <w:color w:val="auto"/>
                <w:kern w:val="0"/>
                <w:szCs w:val="21"/>
              </w:rPr>
              <w:t>）</w:t>
            </w:r>
            <w:r>
              <w:rPr>
                <w:rFonts w:hint="eastAsia" w:ascii="宋体" w:hAnsi="宋体" w:eastAsia="宋体" w:cs="宋体"/>
                <w:bCs/>
                <w:color w:val="auto"/>
                <w:szCs w:val="21"/>
              </w:rPr>
              <w:t>：</w:t>
            </w:r>
          </w:p>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移交资产范围全面，资产的完好率和耐久性能优；</w:t>
            </w:r>
          </w:p>
          <w:p>
            <w:pPr>
              <w:pStyle w:val="61"/>
              <w:widowControl/>
              <w:numPr>
                <w:ilvl w:val="0"/>
                <w:numId w:val="8"/>
              </w:numPr>
              <w:ind w:firstLineChars="0"/>
              <w:jc w:val="left"/>
              <w:rPr>
                <w:rFonts w:hint="eastAsia" w:ascii="宋体" w:hAnsi="宋体" w:eastAsia="宋体" w:cs="宋体"/>
                <w:bCs/>
                <w:color w:val="auto"/>
                <w:szCs w:val="21"/>
              </w:rPr>
            </w:pPr>
            <w:r>
              <w:rPr>
                <w:rFonts w:hint="eastAsia" w:ascii="宋体" w:hAnsi="宋体" w:eastAsia="宋体" w:cs="宋体"/>
                <w:bCs/>
                <w:color w:val="auto"/>
                <w:szCs w:val="21"/>
              </w:rPr>
              <w:t>二档（1.5分</w:t>
            </w:r>
            <w:r>
              <w:rPr>
                <w:rFonts w:hint="eastAsia" w:ascii="宋体" w:hAnsi="宋体" w:eastAsia="宋体" w:cs="宋体"/>
                <w:color w:val="auto"/>
                <w:kern w:val="0"/>
                <w:szCs w:val="21"/>
              </w:rPr>
              <w:t>）</w:t>
            </w:r>
            <w:r>
              <w:rPr>
                <w:rFonts w:hint="eastAsia" w:ascii="宋体" w:hAnsi="宋体" w:eastAsia="宋体" w:cs="宋体"/>
                <w:bCs/>
                <w:color w:val="auto"/>
                <w:szCs w:val="21"/>
              </w:rPr>
              <w:t>：</w:t>
            </w:r>
          </w:p>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移交资产范围基本齐全，资产的完好率和耐久性能良；</w:t>
            </w:r>
          </w:p>
          <w:p>
            <w:pPr>
              <w:pStyle w:val="61"/>
              <w:widowControl/>
              <w:numPr>
                <w:ilvl w:val="0"/>
                <w:numId w:val="8"/>
              </w:numPr>
              <w:ind w:firstLineChars="0"/>
              <w:jc w:val="left"/>
              <w:rPr>
                <w:rFonts w:hint="eastAsia" w:ascii="宋体" w:hAnsi="宋体" w:eastAsia="宋体" w:cs="宋体"/>
                <w:bCs/>
                <w:color w:val="auto"/>
                <w:szCs w:val="21"/>
              </w:rPr>
            </w:pPr>
            <w:r>
              <w:rPr>
                <w:rFonts w:hint="eastAsia" w:ascii="宋体" w:hAnsi="宋体" w:eastAsia="宋体" w:cs="宋体"/>
                <w:bCs/>
                <w:color w:val="auto"/>
                <w:szCs w:val="21"/>
              </w:rPr>
              <w:t>三档（0分</w:t>
            </w:r>
            <w:r>
              <w:rPr>
                <w:rFonts w:hint="eastAsia" w:ascii="宋体" w:hAnsi="宋体" w:eastAsia="宋体" w:cs="宋体"/>
                <w:color w:val="auto"/>
                <w:kern w:val="0"/>
                <w:szCs w:val="21"/>
              </w:rPr>
              <w:t>）</w:t>
            </w:r>
            <w:r>
              <w:rPr>
                <w:rFonts w:hint="eastAsia" w:ascii="宋体" w:hAnsi="宋体" w:eastAsia="宋体" w:cs="宋体"/>
                <w:bCs/>
                <w:color w:val="auto"/>
                <w:szCs w:val="21"/>
              </w:rPr>
              <w:t>：</w:t>
            </w:r>
          </w:p>
          <w:p>
            <w:pPr>
              <w:widowControl/>
              <w:jc w:val="left"/>
              <w:rPr>
                <w:rFonts w:hint="eastAsia" w:ascii="宋体" w:hAnsi="宋体" w:eastAsia="宋体" w:cs="宋体"/>
                <w:b/>
                <w:color w:val="auto"/>
                <w:kern w:val="0"/>
                <w:szCs w:val="21"/>
              </w:rPr>
            </w:pPr>
            <w:r>
              <w:rPr>
                <w:rFonts w:hint="eastAsia" w:ascii="宋体" w:hAnsi="宋体" w:eastAsia="宋体" w:cs="宋体"/>
                <w:color w:val="auto"/>
                <w:kern w:val="0"/>
                <w:szCs w:val="21"/>
              </w:rPr>
              <w:t>移交资产范围不齐全，资产的完好率和耐久性能一般。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b/>
                <w:color w:val="auto"/>
                <w:kern w:val="0"/>
                <w:szCs w:val="21"/>
              </w:rPr>
            </w:pPr>
          </w:p>
        </w:tc>
        <w:tc>
          <w:tcPr>
            <w:tcW w:w="19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Cs w:val="21"/>
              </w:rPr>
            </w:pP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2分</w:t>
            </w:r>
          </w:p>
        </w:tc>
        <w:tc>
          <w:tcPr>
            <w:tcW w:w="5646" w:type="dxa"/>
            <w:tcBorders>
              <w:top w:val="single" w:color="auto" w:sz="4" w:space="0"/>
              <w:left w:val="single" w:color="auto" w:sz="4" w:space="0"/>
              <w:bottom w:val="single" w:color="auto" w:sz="4" w:space="0"/>
              <w:right w:val="single" w:color="auto" w:sz="4" w:space="0"/>
            </w:tcBorders>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移交时间：</w:t>
            </w:r>
          </w:p>
          <w:p>
            <w:pPr>
              <w:pStyle w:val="61"/>
              <w:widowControl/>
              <w:numPr>
                <w:ilvl w:val="0"/>
                <w:numId w:val="9"/>
              </w:numPr>
              <w:ind w:firstLineChars="0"/>
              <w:jc w:val="left"/>
              <w:rPr>
                <w:rFonts w:hint="eastAsia" w:ascii="宋体" w:hAnsi="宋体" w:eastAsia="宋体" w:cs="宋体"/>
                <w:bCs/>
                <w:color w:val="auto"/>
                <w:szCs w:val="21"/>
              </w:rPr>
            </w:pPr>
            <w:r>
              <w:rPr>
                <w:rFonts w:hint="eastAsia" w:ascii="宋体" w:hAnsi="宋体" w:eastAsia="宋体" w:cs="宋体"/>
                <w:bCs/>
                <w:color w:val="auto"/>
                <w:szCs w:val="21"/>
              </w:rPr>
              <w:t>一档（2分</w:t>
            </w:r>
            <w:r>
              <w:rPr>
                <w:rFonts w:hint="eastAsia" w:ascii="宋体" w:hAnsi="宋体" w:eastAsia="宋体" w:cs="宋体"/>
                <w:color w:val="auto"/>
                <w:kern w:val="0"/>
                <w:szCs w:val="21"/>
              </w:rPr>
              <w:t>）</w:t>
            </w:r>
            <w:r>
              <w:rPr>
                <w:rFonts w:hint="eastAsia" w:ascii="宋体" w:hAnsi="宋体" w:eastAsia="宋体" w:cs="宋体"/>
                <w:bCs/>
                <w:color w:val="auto"/>
                <w:szCs w:val="21"/>
              </w:rPr>
              <w:t>：</w:t>
            </w:r>
          </w:p>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移交时间计划安排合理、科学；</w:t>
            </w:r>
          </w:p>
          <w:p>
            <w:pPr>
              <w:pStyle w:val="61"/>
              <w:widowControl/>
              <w:numPr>
                <w:ilvl w:val="0"/>
                <w:numId w:val="9"/>
              </w:numPr>
              <w:ind w:firstLineChars="0"/>
              <w:jc w:val="left"/>
              <w:rPr>
                <w:rFonts w:hint="eastAsia" w:ascii="宋体" w:hAnsi="宋体" w:eastAsia="宋体" w:cs="宋体"/>
                <w:bCs/>
                <w:color w:val="auto"/>
                <w:szCs w:val="21"/>
              </w:rPr>
            </w:pPr>
            <w:r>
              <w:rPr>
                <w:rFonts w:hint="eastAsia" w:ascii="宋体" w:hAnsi="宋体" w:eastAsia="宋体" w:cs="宋体"/>
                <w:bCs/>
                <w:color w:val="auto"/>
                <w:szCs w:val="21"/>
              </w:rPr>
              <w:t>二档（1分</w:t>
            </w:r>
            <w:r>
              <w:rPr>
                <w:rFonts w:hint="eastAsia" w:ascii="宋体" w:hAnsi="宋体" w:eastAsia="宋体" w:cs="宋体"/>
                <w:color w:val="auto"/>
                <w:kern w:val="0"/>
                <w:szCs w:val="21"/>
              </w:rPr>
              <w:t>）</w:t>
            </w:r>
            <w:r>
              <w:rPr>
                <w:rFonts w:hint="eastAsia" w:ascii="宋体" w:hAnsi="宋体" w:eastAsia="宋体" w:cs="宋体"/>
                <w:bCs/>
                <w:color w:val="auto"/>
                <w:szCs w:val="21"/>
              </w:rPr>
              <w:t>：</w:t>
            </w:r>
          </w:p>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移交时间计划安排基本合理、基本可行；</w:t>
            </w:r>
          </w:p>
          <w:p>
            <w:pPr>
              <w:pStyle w:val="61"/>
              <w:widowControl/>
              <w:numPr>
                <w:ilvl w:val="0"/>
                <w:numId w:val="9"/>
              </w:numPr>
              <w:ind w:firstLineChars="0"/>
              <w:jc w:val="left"/>
              <w:rPr>
                <w:rFonts w:hint="eastAsia" w:ascii="宋体" w:hAnsi="宋体" w:eastAsia="宋体" w:cs="宋体"/>
                <w:bCs/>
                <w:color w:val="auto"/>
                <w:szCs w:val="21"/>
              </w:rPr>
            </w:pPr>
            <w:r>
              <w:rPr>
                <w:rFonts w:hint="eastAsia" w:ascii="宋体" w:hAnsi="宋体" w:eastAsia="宋体" w:cs="宋体"/>
                <w:bCs/>
                <w:color w:val="auto"/>
                <w:szCs w:val="21"/>
              </w:rPr>
              <w:t>三档（0分</w:t>
            </w:r>
            <w:r>
              <w:rPr>
                <w:rFonts w:hint="eastAsia" w:ascii="宋体" w:hAnsi="宋体" w:eastAsia="宋体" w:cs="宋体"/>
                <w:color w:val="auto"/>
                <w:kern w:val="0"/>
                <w:szCs w:val="21"/>
              </w:rPr>
              <w:t>）</w:t>
            </w:r>
            <w:r>
              <w:rPr>
                <w:rFonts w:hint="eastAsia" w:ascii="宋体" w:hAnsi="宋体" w:eastAsia="宋体" w:cs="宋体"/>
                <w:bCs/>
                <w:color w:val="auto"/>
                <w:szCs w:val="21"/>
              </w:rPr>
              <w:t>：</w:t>
            </w:r>
          </w:p>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移交时间计划安排不具备合理性。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b/>
                <w:color w:val="auto"/>
                <w:kern w:val="0"/>
                <w:szCs w:val="21"/>
              </w:rPr>
            </w:pPr>
          </w:p>
        </w:tc>
        <w:tc>
          <w:tcPr>
            <w:tcW w:w="19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Cs w:val="21"/>
              </w:rPr>
            </w:pP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1分</w:t>
            </w:r>
          </w:p>
        </w:tc>
        <w:tc>
          <w:tcPr>
            <w:tcW w:w="5646" w:type="dxa"/>
            <w:tcBorders>
              <w:top w:val="single" w:color="auto" w:sz="4" w:space="0"/>
              <w:left w:val="single" w:color="auto" w:sz="4" w:space="0"/>
              <w:bottom w:val="single" w:color="auto" w:sz="4" w:space="0"/>
              <w:right w:val="single" w:color="auto" w:sz="4" w:space="0"/>
            </w:tcBorders>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移交接收程序：</w:t>
            </w:r>
          </w:p>
          <w:p>
            <w:pPr>
              <w:pStyle w:val="61"/>
              <w:widowControl/>
              <w:numPr>
                <w:ilvl w:val="0"/>
                <w:numId w:val="10"/>
              </w:numPr>
              <w:ind w:firstLineChars="0"/>
              <w:jc w:val="left"/>
              <w:rPr>
                <w:rFonts w:hint="eastAsia" w:ascii="宋体" w:hAnsi="宋体" w:eastAsia="宋体" w:cs="宋体"/>
                <w:bCs/>
                <w:color w:val="auto"/>
                <w:szCs w:val="21"/>
              </w:rPr>
            </w:pPr>
            <w:r>
              <w:rPr>
                <w:rFonts w:hint="eastAsia" w:ascii="宋体" w:hAnsi="宋体" w:eastAsia="宋体" w:cs="宋体"/>
                <w:bCs/>
                <w:color w:val="auto"/>
                <w:szCs w:val="21"/>
              </w:rPr>
              <w:t>一档（1分）：</w:t>
            </w:r>
          </w:p>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移交验收程序规范，实物和资料的完整性高；</w:t>
            </w:r>
          </w:p>
          <w:p>
            <w:pPr>
              <w:pStyle w:val="61"/>
              <w:widowControl/>
              <w:numPr>
                <w:ilvl w:val="0"/>
                <w:numId w:val="10"/>
              </w:numPr>
              <w:ind w:firstLineChars="0"/>
              <w:jc w:val="left"/>
              <w:rPr>
                <w:rFonts w:hint="eastAsia" w:ascii="宋体" w:hAnsi="宋体" w:eastAsia="宋体" w:cs="宋体"/>
                <w:bCs/>
                <w:color w:val="auto"/>
                <w:szCs w:val="21"/>
              </w:rPr>
            </w:pPr>
            <w:r>
              <w:rPr>
                <w:rFonts w:hint="eastAsia" w:ascii="宋体" w:hAnsi="宋体" w:eastAsia="宋体" w:cs="宋体"/>
                <w:bCs/>
                <w:color w:val="auto"/>
                <w:szCs w:val="21"/>
              </w:rPr>
              <w:t>二档（0.5分</w:t>
            </w:r>
            <w:r>
              <w:rPr>
                <w:rFonts w:hint="eastAsia" w:ascii="宋体" w:hAnsi="宋体" w:eastAsia="宋体" w:cs="宋体"/>
                <w:color w:val="auto"/>
                <w:kern w:val="0"/>
                <w:szCs w:val="21"/>
              </w:rPr>
              <w:t>）</w:t>
            </w:r>
            <w:r>
              <w:rPr>
                <w:rFonts w:hint="eastAsia" w:ascii="宋体" w:hAnsi="宋体" w:eastAsia="宋体" w:cs="宋体"/>
                <w:bCs/>
                <w:color w:val="auto"/>
                <w:szCs w:val="21"/>
              </w:rPr>
              <w:t>：</w:t>
            </w:r>
          </w:p>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移交验收程序规范，实物和资料的完整性一般；</w:t>
            </w:r>
          </w:p>
          <w:p>
            <w:pPr>
              <w:pStyle w:val="61"/>
              <w:widowControl/>
              <w:numPr>
                <w:ilvl w:val="0"/>
                <w:numId w:val="10"/>
              </w:numPr>
              <w:ind w:firstLineChars="0"/>
              <w:jc w:val="left"/>
              <w:rPr>
                <w:rFonts w:hint="eastAsia" w:ascii="宋体" w:hAnsi="宋体" w:eastAsia="宋体" w:cs="宋体"/>
                <w:bCs/>
                <w:color w:val="auto"/>
                <w:szCs w:val="21"/>
              </w:rPr>
            </w:pPr>
            <w:r>
              <w:rPr>
                <w:rFonts w:hint="eastAsia" w:ascii="宋体" w:hAnsi="宋体" w:eastAsia="宋体" w:cs="宋体"/>
                <w:bCs/>
                <w:color w:val="auto"/>
                <w:szCs w:val="21"/>
              </w:rPr>
              <w:t>三档（0分</w:t>
            </w:r>
            <w:r>
              <w:rPr>
                <w:rFonts w:hint="eastAsia" w:ascii="宋体" w:hAnsi="宋体" w:eastAsia="宋体" w:cs="宋体"/>
                <w:color w:val="auto"/>
                <w:kern w:val="0"/>
                <w:szCs w:val="21"/>
              </w:rPr>
              <w:t>）</w:t>
            </w:r>
            <w:r>
              <w:rPr>
                <w:rFonts w:hint="eastAsia" w:ascii="宋体" w:hAnsi="宋体" w:eastAsia="宋体" w:cs="宋体"/>
                <w:bCs/>
                <w:color w:val="auto"/>
                <w:szCs w:val="21"/>
              </w:rPr>
              <w:t>：</w:t>
            </w:r>
          </w:p>
          <w:p>
            <w:pPr>
              <w:widowControl/>
              <w:jc w:val="left"/>
              <w:rPr>
                <w:rFonts w:hint="eastAsia" w:ascii="宋体" w:hAnsi="宋体" w:eastAsia="宋体" w:cs="宋体"/>
                <w:b/>
                <w:color w:val="auto"/>
                <w:kern w:val="0"/>
                <w:szCs w:val="21"/>
              </w:rPr>
            </w:pPr>
            <w:r>
              <w:rPr>
                <w:rFonts w:hint="eastAsia" w:ascii="宋体" w:hAnsi="宋体" w:eastAsia="宋体" w:cs="宋体"/>
                <w:color w:val="auto"/>
                <w:kern w:val="0"/>
                <w:szCs w:val="21"/>
              </w:rPr>
              <w:t>移交验收程序规范，实物和资料的完整性差。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gridSpan w:val="3"/>
            <w:tcBorders>
              <w:top w:val="single" w:color="auto" w:sz="4" w:space="0"/>
              <w:left w:val="single" w:color="auto" w:sz="4" w:space="0"/>
              <w:bottom w:val="single" w:color="auto" w:sz="4" w:space="0"/>
              <w:right w:val="single" w:color="auto" w:sz="4" w:space="0"/>
            </w:tcBorders>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合计</w:t>
            </w:r>
          </w:p>
        </w:tc>
        <w:tc>
          <w:tcPr>
            <w:tcW w:w="5646" w:type="dxa"/>
            <w:tcBorders>
              <w:top w:val="single" w:color="auto" w:sz="4" w:space="0"/>
              <w:left w:val="single" w:color="auto" w:sz="4" w:space="0"/>
              <w:bottom w:val="single" w:color="auto" w:sz="4" w:space="0"/>
              <w:right w:val="single" w:color="auto" w:sz="4" w:space="0"/>
            </w:tcBorders>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65分</w:t>
            </w:r>
          </w:p>
        </w:tc>
      </w:tr>
    </w:tbl>
    <w:p>
      <w:pPr>
        <w:pStyle w:val="6"/>
        <w:ind w:firstLine="422"/>
        <w:rPr>
          <w:rFonts w:hint="eastAsia" w:ascii="宋体" w:hAnsi="宋体" w:eastAsia="宋体" w:cs="宋体"/>
          <w:color w:val="auto"/>
          <w:kern w:val="0"/>
          <w:sz w:val="24"/>
          <w:szCs w:val="24"/>
        </w:rPr>
      </w:pP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zh-CN"/>
        </w:rPr>
        <w:t>四</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zh-CN"/>
        </w:rPr>
        <w:t>投标人最终得分</w:t>
      </w:r>
      <w:r>
        <w:rPr>
          <w:rFonts w:hint="eastAsia" w:ascii="宋体" w:hAnsi="宋体" w:eastAsia="宋体" w:cs="宋体"/>
          <w:b w:val="0"/>
          <w:bCs w:val="0"/>
          <w:color w:val="auto"/>
          <w:sz w:val="24"/>
          <w:szCs w:val="24"/>
        </w:rPr>
        <w:t>=A+B+C=100分</w:t>
      </w:r>
    </w:p>
    <w:p>
      <w:pPr>
        <w:pStyle w:val="6"/>
        <w:ind w:firstLine="422"/>
        <w:rPr>
          <w:rFonts w:hint="eastAsia" w:ascii="宋体" w:hAnsi="宋体" w:eastAsia="宋体" w:cs="宋体"/>
          <w:color w:val="auto"/>
          <w:kern w:val="0"/>
          <w:sz w:val="24"/>
          <w:szCs w:val="24"/>
        </w:rPr>
      </w:pPr>
    </w:p>
    <w:p>
      <w:pPr>
        <w:tabs>
          <w:tab w:val="left" w:pos="4214"/>
        </w:tabs>
        <w:snapToGrid w:val="0"/>
        <w:spacing w:line="300" w:lineRule="auto"/>
        <w:ind w:firstLine="422" w:firstLineChars="200"/>
        <w:rPr>
          <w:rFonts w:hint="eastAsia" w:ascii="宋体" w:hAnsi="宋体" w:eastAsia="宋体" w:cs="宋体"/>
          <w:b/>
          <w:color w:val="auto"/>
          <w:szCs w:val="20"/>
        </w:rPr>
      </w:pPr>
    </w:p>
    <w:p>
      <w:pPr>
        <w:widowControl/>
        <w:jc w:val="left"/>
        <w:rPr>
          <w:rFonts w:hint="eastAsia" w:ascii="宋体" w:hAnsi="宋体" w:eastAsia="宋体" w:cs="宋体"/>
          <w:color w:val="auto"/>
        </w:rPr>
      </w:pPr>
      <w:bookmarkStart w:id="310" w:name="_Toc54622566"/>
      <w:r>
        <w:rPr>
          <w:rFonts w:hint="eastAsia" w:ascii="宋体" w:hAnsi="宋体" w:eastAsia="宋体" w:cs="宋体"/>
          <w:color w:val="auto"/>
        </w:rPr>
        <w:br w:type="page"/>
      </w:r>
      <w:bookmarkStart w:id="311" w:name="_Toc1627"/>
    </w:p>
    <w:p>
      <w:pPr>
        <w:widowControl/>
        <w:jc w:val="left"/>
        <w:rPr>
          <w:rFonts w:hint="eastAsia" w:ascii="宋体" w:hAnsi="宋体" w:eastAsia="宋体" w:cs="宋体"/>
          <w:color w:val="auto"/>
        </w:rPr>
      </w:pPr>
    </w:p>
    <w:p>
      <w:pPr>
        <w:pStyle w:val="4"/>
        <w:spacing w:line="360" w:lineRule="auto"/>
        <w:jc w:val="center"/>
        <w:rPr>
          <w:rFonts w:hint="eastAsia" w:ascii="宋体" w:hAnsi="宋体" w:eastAsia="宋体" w:cs="宋体"/>
          <w:color w:val="auto"/>
          <w:sz w:val="32"/>
          <w:szCs w:val="32"/>
          <w:highlight w:val="yellow"/>
          <w:lang w:val="en-US" w:eastAsia="zh-CN"/>
        </w:rPr>
      </w:pPr>
      <w:r>
        <w:rPr>
          <w:rFonts w:hint="eastAsia" w:ascii="宋体" w:hAnsi="宋体" w:eastAsia="宋体" w:cs="宋体"/>
          <w:color w:val="auto"/>
          <w:sz w:val="32"/>
          <w:szCs w:val="32"/>
          <w:highlight w:val="yellow"/>
          <w:lang w:val="en-US" w:eastAsia="zh-CN"/>
        </w:rPr>
        <w:t>第五章 投标文件格式</w:t>
      </w:r>
      <w:bookmarkEnd w:id="310"/>
      <w:bookmarkEnd w:id="311"/>
    </w:p>
    <w:p>
      <w:pPr>
        <w:snapToGrid w:val="0"/>
        <w:spacing w:before="120" w:after="120" w:line="360" w:lineRule="auto"/>
        <w:jc w:val="center"/>
        <w:rPr>
          <w:rStyle w:val="39"/>
          <w:rFonts w:hint="eastAsia" w:ascii="宋体" w:hAnsi="宋体" w:eastAsia="宋体" w:cs="宋体"/>
          <w:b/>
          <w:bCs/>
          <w:color w:val="auto"/>
          <w:sz w:val="24"/>
        </w:rPr>
      </w:pPr>
    </w:p>
    <w:p>
      <w:pPr>
        <w:keepNext/>
        <w:keepLines/>
        <w:snapToGrid w:val="0"/>
        <w:spacing w:line="360" w:lineRule="auto"/>
        <w:jc w:val="center"/>
        <w:outlineLvl w:val="1"/>
        <w:rPr>
          <w:rFonts w:hint="eastAsia" w:ascii="宋体" w:hAnsi="宋体" w:eastAsia="宋体" w:cs="宋体"/>
          <w:color w:val="auto"/>
          <w:sz w:val="28"/>
          <w:szCs w:val="28"/>
        </w:rPr>
      </w:pPr>
      <w:bookmarkStart w:id="312" w:name="_Toc10989"/>
      <w:bookmarkStart w:id="313" w:name="_Toc24781"/>
      <w:r>
        <w:rPr>
          <w:rFonts w:hint="eastAsia" w:ascii="宋体" w:hAnsi="宋体" w:eastAsia="宋体" w:cs="宋体"/>
          <w:color w:val="auto"/>
          <w:sz w:val="28"/>
          <w:szCs w:val="28"/>
        </w:rPr>
        <w:t>封面格式</w:t>
      </w:r>
      <w:bookmarkEnd w:id="312"/>
      <w:bookmarkEnd w:id="313"/>
    </w:p>
    <w:p>
      <w:pPr>
        <w:spacing w:before="120" w:after="120" w:line="360" w:lineRule="auto"/>
        <w:jc w:val="center"/>
        <w:rPr>
          <w:rStyle w:val="39"/>
          <w:rFonts w:hint="eastAsia" w:ascii="宋体" w:hAnsi="宋体" w:eastAsia="宋体" w:cs="宋体"/>
          <w:color w:val="auto"/>
          <w:sz w:val="36"/>
          <w:szCs w:val="36"/>
        </w:rPr>
      </w:pPr>
    </w:p>
    <w:p>
      <w:pPr>
        <w:spacing w:before="120" w:after="120" w:line="360" w:lineRule="auto"/>
        <w:rPr>
          <w:rStyle w:val="39"/>
          <w:rFonts w:hint="eastAsia" w:ascii="宋体" w:hAnsi="宋体" w:eastAsia="宋体" w:cs="宋体"/>
          <w:color w:val="auto"/>
          <w:sz w:val="36"/>
          <w:szCs w:val="36"/>
        </w:rPr>
      </w:pPr>
    </w:p>
    <w:p>
      <w:pPr>
        <w:spacing w:before="120" w:after="120" w:line="360" w:lineRule="auto"/>
        <w:jc w:val="center"/>
        <w:rPr>
          <w:rStyle w:val="39"/>
          <w:rFonts w:hint="eastAsia" w:ascii="宋体" w:hAnsi="宋体" w:eastAsia="宋体" w:cs="宋体"/>
          <w:color w:val="auto"/>
          <w:sz w:val="36"/>
          <w:szCs w:val="36"/>
        </w:rPr>
      </w:pPr>
    </w:p>
    <w:p>
      <w:pPr>
        <w:spacing w:before="120" w:after="120" w:line="360" w:lineRule="auto"/>
        <w:jc w:val="center"/>
        <w:rPr>
          <w:rStyle w:val="39"/>
          <w:rFonts w:hint="eastAsia" w:ascii="宋体" w:hAnsi="宋体" w:eastAsia="宋体" w:cs="宋体"/>
          <w:color w:val="auto"/>
          <w:sz w:val="52"/>
          <w:szCs w:val="52"/>
        </w:rPr>
      </w:pPr>
      <w:r>
        <w:rPr>
          <w:rStyle w:val="39"/>
          <w:rFonts w:hint="eastAsia" w:ascii="宋体" w:hAnsi="宋体" w:eastAsia="宋体" w:cs="宋体"/>
          <w:color w:val="auto"/>
          <w:sz w:val="52"/>
          <w:szCs w:val="52"/>
        </w:rPr>
        <w:t>投标文件</w:t>
      </w:r>
    </w:p>
    <w:p>
      <w:pPr>
        <w:spacing w:before="120" w:after="120" w:line="360" w:lineRule="auto"/>
        <w:jc w:val="center"/>
        <w:rPr>
          <w:rStyle w:val="39"/>
          <w:rFonts w:hint="eastAsia" w:ascii="宋体" w:hAnsi="宋体" w:eastAsia="宋体" w:cs="宋体"/>
          <w:color w:val="auto"/>
          <w:sz w:val="36"/>
          <w:szCs w:val="36"/>
        </w:rPr>
      </w:pPr>
    </w:p>
    <w:p>
      <w:pPr>
        <w:spacing w:before="120" w:after="120" w:line="360" w:lineRule="auto"/>
        <w:jc w:val="center"/>
        <w:rPr>
          <w:rStyle w:val="39"/>
          <w:rFonts w:hint="eastAsia" w:ascii="宋体" w:hAnsi="宋体" w:eastAsia="宋体" w:cs="宋体"/>
          <w:color w:val="auto"/>
          <w:sz w:val="36"/>
          <w:szCs w:val="36"/>
        </w:rPr>
      </w:pPr>
    </w:p>
    <w:p>
      <w:pPr>
        <w:spacing w:before="120" w:after="120" w:line="360" w:lineRule="auto"/>
        <w:jc w:val="center"/>
        <w:rPr>
          <w:rStyle w:val="39"/>
          <w:rFonts w:hint="eastAsia" w:ascii="宋体" w:hAnsi="宋体" w:eastAsia="宋体" w:cs="宋体"/>
          <w:color w:val="auto"/>
          <w:sz w:val="36"/>
          <w:szCs w:val="36"/>
        </w:rPr>
      </w:pPr>
    </w:p>
    <w:p>
      <w:pPr>
        <w:spacing w:before="120" w:after="120" w:line="360" w:lineRule="auto"/>
        <w:jc w:val="center"/>
        <w:rPr>
          <w:rStyle w:val="39"/>
          <w:rFonts w:hint="eastAsia" w:ascii="宋体" w:hAnsi="宋体" w:eastAsia="宋体" w:cs="宋体"/>
          <w:color w:val="auto"/>
          <w:sz w:val="36"/>
          <w:szCs w:val="36"/>
        </w:rPr>
      </w:pPr>
    </w:p>
    <w:p>
      <w:pPr>
        <w:spacing w:before="120" w:after="120" w:line="360" w:lineRule="auto"/>
        <w:jc w:val="center"/>
        <w:rPr>
          <w:rStyle w:val="39"/>
          <w:rFonts w:hint="eastAsia" w:ascii="宋体" w:hAnsi="宋体" w:eastAsia="宋体" w:cs="宋体"/>
          <w:color w:val="auto"/>
          <w:sz w:val="36"/>
          <w:szCs w:val="36"/>
        </w:rPr>
      </w:pPr>
      <w:r>
        <w:rPr>
          <w:rStyle w:val="39"/>
          <w:rFonts w:hint="eastAsia" w:ascii="宋体" w:hAnsi="宋体" w:eastAsia="宋体" w:cs="宋体"/>
          <w:color w:val="auto"/>
          <w:sz w:val="36"/>
          <w:szCs w:val="36"/>
        </w:rPr>
        <w:t>正本/副本</w:t>
      </w:r>
    </w:p>
    <w:p>
      <w:pPr>
        <w:spacing w:before="120" w:after="120" w:line="360" w:lineRule="auto"/>
        <w:ind w:firstLine="1080" w:firstLineChars="450"/>
        <w:rPr>
          <w:rStyle w:val="39"/>
          <w:rFonts w:hint="eastAsia" w:ascii="宋体" w:hAnsi="宋体" w:eastAsia="宋体" w:cs="宋体"/>
          <w:color w:val="auto"/>
          <w:sz w:val="24"/>
        </w:rPr>
      </w:pPr>
    </w:p>
    <w:p>
      <w:pPr>
        <w:spacing w:before="120" w:after="120" w:line="360" w:lineRule="auto"/>
        <w:ind w:firstLine="1080" w:firstLineChars="450"/>
        <w:rPr>
          <w:rStyle w:val="39"/>
          <w:rFonts w:hint="eastAsia" w:ascii="宋体" w:hAnsi="宋体" w:eastAsia="宋体" w:cs="宋体"/>
          <w:color w:val="auto"/>
          <w:sz w:val="24"/>
        </w:rPr>
      </w:pPr>
    </w:p>
    <w:p>
      <w:pPr>
        <w:spacing w:line="360" w:lineRule="auto"/>
        <w:ind w:firstLine="1058" w:firstLineChars="378"/>
        <w:rPr>
          <w:rFonts w:hint="eastAsia" w:ascii="宋体" w:hAnsi="宋体" w:eastAsia="宋体" w:cs="宋体"/>
          <w:color w:val="auto"/>
          <w:sz w:val="28"/>
          <w:szCs w:val="28"/>
          <w:u w:val="single"/>
        </w:rPr>
      </w:pPr>
      <w:r>
        <w:rPr>
          <w:rFonts w:hint="eastAsia" w:ascii="宋体" w:hAnsi="宋体" w:eastAsia="宋体" w:cs="宋体"/>
          <w:color w:val="auto"/>
          <w:sz w:val="28"/>
          <w:szCs w:val="28"/>
        </w:rPr>
        <w:t>项目名称：</w:t>
      </w:r>
      <w:r>
        <w:rPr>
          <w:rFonts w:hint="eastAsia" w:ascii="宋体" w:hAnsi="宋体" w:eastAsia="宋体" w:cs="宋体"/>
          <w:color w:val="auto"/>
          <w:sz w:val="28"/>
          <w:szCs w:val="28"/>
          <w:u w:val="single"/>
        </w:rPr>
        <w:t xml:space="preserve">                                  </w:t>
      </w:r>
    </w:p>
    <w:p>
      <w:pPr>
        <w:spacing w:line="360" w:lineRule="auto"/>
        <w:ind w:firstLine="1058" w:firstLineChars="378"/>
        <w:rPr>
          <w:rFonts w:hint="eastAsia" w:ascii="宋体" w:hAnsi="宋体" w:eastAsia="宋体" w:cs="宋体"/>
          <w:color w:val="auto"/>
          <w:sz w:val="28"/>
          <w:szCs w:val="28"/>
        </w:rPr>
      </w:pPr>
      <w:r>
        <w:rPr>
          <w:rFonts w:hint="eastAsia" w:ascii="宋体" w:hAnsi="宋体" w:eastAsia="宋体" w:cs="宋体"/>
          <w:color w:val="auto"/>
          <w:sz w:val="28"/>
          <w:szCs w:val="28"/>
        </w:rPr>
        <w:t>项目编号：</w:t>
      </w:r>
      <w:r>
        <w:rPr>
          <w:rFonts w:hint="eastAsia" w:ascii="宋体" w:hAnsi="宋体" w:eastAsia="宋体" w:cs="宋体"/>
          <w:color w:val="auto"/>
          <w:sz w:val="28"/>
          <w:szCs w:val="28"/>
          <w:u w:val="single"/>
        </w:rPr>
        <w:t xml:space="preserve">                                  </w:t>
      </w:r>
    </w:p>
    <w:p>
      <w:pPr>
        <w:spacing w:line="360" w:lineRule="auto"/>
        <w:ind w:firstLine="1058" w:firstLineChars="378"/>
        <w:rPr>
          <w:rFonts w:hint="eastAsia" w:ascii="宋体" w:hAnsi="宋体" w:eastAsia="宋体" w:cs="宋体"/>
          <w:color w:val="auto"/>
          <w:sz w:val="28"/>
          <w:szCs w:val="28"/>
        </w:rPr>
      </w:pPr>
      <w:r>
        <w:rPr>
          <w:rFonts w:hint="eastAsia" w:ascii="宋体" w:hAnsi="宋体" w:eastAsia="宋体" w:cs="宋体"/>
          <w:color w:val="auto"/>
          <w:sz w:val="28"/>
          <w:szCs w:val="28"/>
        </w:rPr>
        <w:t>采购人名称：</w:t>
      </w:r>
      <w:r>
        <w:rPr>
          <w:rFonts w:hint="eastAsia" w:ascii="宋体" w:hAnsi="宋体" w:eastAsia="宋体" w:cs="宋体"/>
          <w:color w:val="auto"/>
          <w:sz w:val="28"/>
          <w:szCs w:val="28"/>
          <w:u w:val="single"/>
        </w:rPr>
        <w:t xml:space="preserve">                                </w:t>
      </w:r>
    </w:p>
    <w:p>
      <w:pPr>
        <w:spacing w:line="360" w:lineRule="auto"/>
        <w:ind w:firstLine="1058" w:firstLineChars="378"/>
        <w:rPr>
          <w:rFonts w:hint="eastAsia" w:ascii="宋体" w:hAnsi="宋体" w:eastAsia="宋体" w:cs="宋体"/>
          <w:color w:val="auto"/>
          <w:sz w:val="28"/>
          <w:szCs w:val="28"/>
        </w:rPr>
      </w:pPr>
      <w:r>
        <w:rPr>
          <w:rFonts w:hint="eastAsia" w:ascii="宋体" w:hAnsi="宋体" w:eastAsia="宋体" w:cs="宋体"/>
          <w:color w:val="auto"/>
          <w:sz w:val="28"/>
          <w:szCs w:val="28"/>
        </w:rPr>
        <w:t>投标人名称：</w:t>
      </w:r>
      <w:r>
        <w:rPr>
          <w:rFonts w:hint="eastAsia" w:ascii="宋体" w:hAnsi="宋体" w:eastAsia="宋体" w:cs="宋体"/>
          <w:color w:val="auto"/>
          <w:sz w:val="28"/>
          <w:szCs w:val="28"/>
          <w:u w:val="single"/>
        </w:rPr>
        <w:t xml:space="preserve">（盖单位公章）                  </w:t>
      </w:r>
    </w:p>
    <w:p>
      <w:pPr>
        <w:rPr>
          <w:rStyle w:val="39"/>
          <w:rFonts w:hint="eastAsia" w:ascii="宋体" w:hAnsi="宋体" w:eastAsia="宋体" w:cs="宋体"/>
          <w:color w:val="auto"/>
          <w:sz w:val="24"/>
        </w:rPr>
      </w:pPr>
      <w:bookmarkStart w:id="314" w:name="_Toc54622567"/>
      <w:r>
        <w:rPr>
          <w:rStyle w:val="39"/>
          <w:rFonts w:hint="eastAsia" w:ascii="宋体" w:hAnsi="宋体" w:eastAsia="宋体" w:cs="宋体"/>
          <w:color w:val="auto"/>
          <w:sz w:val="24"/>
        </w:rPr>
        <w:br w:type="page"/>
      </w:r>
    </w:p>
    <w:p>
      <w:pPr>
        <w:keepNext/>
        <w:keepLines/>
        <w:snapToGrid w:val="0"/>
        <w:spacing w:line="360" w:lineRule="auto"/>
        <w:jc w:val="center"/>
        <w:outlineLvl w:val="1"/>
        <w:rPr>
          <w:rFonts w:hint="eastAsia" w:ascii="宋体" w:hAnsi="宋体" w:eastAsia="宋体" w:cs="宋体"/>
          <w:b/>
          <w:bCs/>
          <w:color w:val="auto"/>
          <w:sz w:val="28"/>
          <w:szCs w:val="28"/>
        </w:rPr>
      </w:pPr>
      <w:bookmarkStart w:id="315" w:name="_Toc14324"/>
      <w:bookmarkStart w:id="316" w:name="_Toc146"/>
      <w:bookmarkStart w:id="317" w:name="_Toc30127"/>
      <w:bookmarkStart w:id="318" w:name="_Toc57369023"/>
      <w:bookmarkStart w:id="319" w:name="_Toc483660355"/>
      <w:bookmarkStart w:id="320" w:name="_Toc482216158"/>
      <w:r>
        <w:rPr>
          <w:rFonts w:hint="eastAsia" w:ascii="宋体" w:hAnsi="宋体" w:eastAsia="宋体" w:cs="宋体"/>
          <w:b/>
          <w:bCs/>
          <w:color w:val="auto"/>
          <w:sz w:val="28"/>
          <w:szCs w:val="28"/>
        </w:rPr>
        <w:t>投标文件</w:t>
      </w:r>
      <w:bookmarkStart w:id="321" w:name="_Hlk482098493"/>
      <w:r>
        <w:rPr>
          <w:rFonts w:hint="eastAsia" w:ascii="宋体" w:hAnsi="宋体" w:eastAsia="宋体" w:cs="宋体"/>
          <w:b/>
          <w:bCs/>
          <w:color w:val="auto"/>
          <w:sz w:val="28"/>
          <w:szCs w:val="28"/>
        </w:rPr>
        <w:t>评审索引表</w:t>
      </w:r>
      <w:bookmarkEnd w:id="315"/>
      <w:bookmarkEnd w:id="316"/>
      <w:bookmarkEnd w:id="317"/>
      <w:bookmarkEnd w:id="318"/>
      <w:bookmarkEnd w:id="319"/>
      <w:bookmarkEnd w:id="320"/>
    </w:p>
    <w:bookmarkEnd w:id="321"/>
    <w:p>
      <w:pPr>
        <w:snapToGrid w:val="0"/>
        <w:spacing w:line="27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投标人需对本项目评标方法中“评分细则”以及其他所有评审或评分项逐条对应填写，详细列明在投标文件中的章节、页码等位置，填写该表并放置在投标文件第一页。</w:t>
      </w:r>
    </w:p>
    <w:p>
      <w:pPr>
        <w:snapToGrid w:val="0"/>
        <w:rPr>
          <w:rFonts w:hint="eastAsia" w:ascii="宋体" w:hAnsi="宋体" w:eastAsia="宋体" w:cs="宋体"/>
          <w:color w:val="auto"/>
          <w:sz w:val="28"/>
          <w:szCs w:val="28"/>
        </w:rPr>
      </w:pPr>
    </w:p>
    <w:p>
      <w:pPr>
        <w:snapToGrid w:val="0"/>
        <w:spacing w:line="276" w:lineRule="auto"/>
        <w:rPr>
          <w:rFonts w:hint="eastAsia" w:ascii="宋体" w:hAnsi="宋体" w:eastAsia="宋体" w:cs="宋体"/>
          <w:color w:val="auto"/>
          <w:sz w:val="24"/>
        </w:rPr>
      </w:pPr>
      <w:r>
        <w:rPr>
          <w:rFonts w:hint="eastAsia" w:ascii="宋体" w:hAnsi="宋体" w:eastAsia="宋体" w:cs="宋体"/>
          <w:color w:val="auto"/>
          <w:sz w:val="24"/>
        </w:rPr>
        <w:t>项目名称：</w:t>
      </w:r>
    </w:p>
    <w:tbl>
      <w:tblPr>
        <w:tblStyle w:val="23"/>
        <w:tblW w:w="8295" w:type="dxa"/>
        <w:tblInd w:w="0" w:type="dxa"/>
        <w:tblBorders>
          <w:top w:val="thinThickMediumGap" w:color="auto" w:sz="12" w:space="0"/>
          <w:left w:val="single" w:color="auto" w:sz="4" w:space="0"/>
          <w:bottom w:val="thickThinMediumGap"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20"/>
        <w:gridCol w:w="1473"/>
        <w:gridCol w:w="1397"/>
        <w:gridCol w:w="1565"/>
        <w:gridCol w:w="1994"/>
        <w:gridCol w:w="1246"/>
      </w:tblGrid>
      <w:tr>
        <w:tblPrEx>
          <w:tblBorders>
            <w:top w:val="thinThickMediumGap" w:color="auto" w:sz="12" w:space="0"/>
            <w:left w:val="single" w:color="auto" w:sz="4" w:space="0"/>
            <w:bottom w:val="thickThinMediumGap"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20" w:type="dxa"/>
            <w:vMerge w:val="restart"/>
            <w:tcBorders>
              <w:top w:val="thinThickMediumGap" w:color="auto" w:sz="12" w:space="0"/>
              <w:left w:val="single" w:color="auto" w:sz="4"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r>
              <w:rPr>
                <w:rFonts w:hint="eastAsia" w:ascii="宋体" w:hAnsi="宋体" w:eastAsia="宋体" w:cs="宋体"/>
                <w:color w:val="auto"/>
                <w:kern w:val="0"/>
                <w:sz w:val="24"/>
              </w:rPr>
              <w:t>项号</w:t>
            </w:r>
          </w:p>
        </w:tc>
        <w:tc>
          <w:tcPr>
            <w:tcW w:w="2870" w:type="dxa"/>
            <w:gridSpan w:val="2"/>
            <w:tcBorders>
              <w:top w:val="thinThickMediumGap" w:color="auto" w:sz="12"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r>
              <w:rPr>
                <w:rFonts w:hint="eastAsia" w:ascii="宋体" w:hAnsi="宋体" w:eastAsia="宋体" w:cs="宋体"/>
                <w:color w:val="auto"/>
                <w:kern w:val="0"/>
                <w:sz w:val="24"/>
              </w:rPr>
              <w:t>招标文件需求</w:t>
            </w:r>
          </w:p>
        </w:tc>
        <w:tc>
          <w:tcPr>
            <w:tcW w:w="3559" w:type="dxa"/>
            <w:gridSpan w:val="2"/>
            <w:tcBorders>
              <w:top w:val="thinThickMediumGap" w:color="auto" w:sz="12"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r>
              <w:rPr>
                <w:rFonts w:hint="eastAsia" w:ascii="宋体" w:hAnsi="宋体" w:eastAsia="宋体" w:cs="宋体"/>
                <w:color w:val="auto"/>
                <w:kern w:val="0"/>
                <w:sz w:val="24"/>
              </w:rPr>
              <w:t>投标文件响应</w:t>
            </w:r>
          </w:p>
        </w:tc>
        <w:tc>
          <w:tcPr>
            <w:tcW w:w="1246" w:type="dxa"/>
            <w:vMerge w:val="restart"/>
            <w:tcBorders>
              <w:top w:val="thinThickMediumGap" w:color="auto" w:sz="12" w:space="0"/>
              <w:left w:val="single" w:color="auto" w:sz="6" w:space="0"/>
              <w:bottom w:val="single" w:color="auto" w:sz="6" w:space="0"/>
              <w:right w:val="single" w:color="auto" w:sz="4" w:space="0"/>
            </w:tcBorders>
            <w:vAlign w:val="center"/>
          </w:tcPr>
          <w:p>
            <w:pPr>
              <w:snapToGrid w:val="0"/>
              <w:jc w:val="center"/>
              <w:rPr>
                <w:rFonts w:hint="eastAsia" w:ascii="宋体" w:hAnsi="宋体" w:eastAsia="宋体" w:cs="宋体"/>
                <w:color w:val="auto"/>
                <w:kern w:val="0"/>
                <w:sz w:val="24"/>
              </w:rPr>
            </w:pPr>
            <w:r>
              <w:rPr>
                <w:rFonts w:hint="eastAsia" w:ascii="宋体" w:hAnsi="宋体" w:eastAsia="宋体" w:cs="宋体"/>
                <w:color w:val="auto"/>
                <w:kern w:val="0"/>
                <w:sz w:val="24"/>
              </w:rPr>
              <w:t>对应页码</w:t>
            </w:r>
          </w:p>
        </w:tc>
      </w:tr>
      <w:tr>
        <w:tblPrEx>
          <w:tblBorders>
            <w:top w:val="thinThickMediumGap" w:color="auto" w:sz="12" w:space="0"/>
            <w:left w:val="single" w:color="auto" w:sz="4" w:space="0"/>
            <w:bottom w:val="thickThinMediumGap"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20" w:type="dxa"/>
            <w:vMerge w:val="continue"/>
            <w:tcBorders>
              <w:top w:val="thinThickMediumGap" w:color="auto" w:sz="12" w:space="0"/>
              <w:left w:val="single" w:color="auto" w:sz="4" w:space="0"/>
              <w:bottom w:val="single" w:color="auto" w:sz="6" w:space="0"/>
              <w:right w:val="single" w:color="auto" w:sz="6" w:space="0"/>
            </w:tcBorders>
            <w:vAlign w:val="center"/>
          </w:tcPr>
          <w:p>
            <w:pPr>
              <w:widowControl/>
              <w:jc w:val="left"/>
              <w:rPr>
                <w:rFonts w:hint="eastAsia" w:ascii="宋体" w:hAnsi="宋体" w:eastAsia="宋体" w:cs="宋体"/>
                <w:color w:val="auto"/>
                <w:kern w:val="0"/>
                <w:sz w:val="24"/>
              </w:rPr>
            </w:pPr>
          </w:p>
        </w:tc>
        <w:tc>
          <w:tcPr>
            <w:tcW w:w="1473"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r>
              <w:rPr>
                <w:rFonts w:hint="eastAsia" w:ascii="宋体" w:hAnsi="宋体" w:eastAsia="宋体" w:cs="宋体"/>
                <w:color w:val="auto"/>
                <w:kern w:val="0"/>
                <w:sz w:val="24"/>
              </w:rPr>
              <w:t>审查因素</w:t>
            </w:r>
          </w:p>
        </w:tc>
        <w:tc>
          <w:tcPr>
            <w:tcW w:w="1397"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r>
              <w:rPr>
                <w:rFonts w:hint="eastAsia" w:ascii="宋体" w:hAnsi="宋体" w:eastAsia="宋体" w:cs="宋体"/>
                <w:color w:val="auto"/>
                <w:kern w:val="0"/>
                <w:sz w:val="24"/>
              </w:rPr>
              <w:t>审查标准</w:t>
            </w:r>
          </w:p>
        </w:tc>
        <w:tc>
          <w:tcPr>
            <w:tcW w:w="1565"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r>
              <w:rPr>
                <w:rFonts w:hint="eastAsia" w:ascii="宋体" w:hAnsi="宋体" w:eastAsia="宋体" w:cs="宋体"/>
                <w:color w:val="auto"/>
                <w:kern w:val="0"/>
                <w:sz w:val="24"/>
              </w:rPr>
              <w:t>审查因素</w:t>
            </w:r>
          </w:p>
        </w:tc>
        <w:tc>
          <w:tcPr>
            <w:tcW w:w="1994"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r>
              <w:rPr>
                <w:rFonts w:hint="eastAsia" w:ascii="宋体" w:hAnsi="宋体" w:eastAsia="宋体" w:cs="宋体"/>
                <w:color w:val="auto"/>
                <w:kern w:val="0"/>
                <w:sz w:val="24"/>
              </w:rPr>
              <w:t>响应情况</w:t>
            </w:r>
          </w:p>
        </w:tc>
        <w:tc>
          <w:tcPr>
            <w:tcW w:w="1246" w:type="dxa"/>
            <w:vMerge w:val="continue"/>
            <w:tcBorders>
              <w:top w:val="thinThickMediumGap" w:color="auto" w:sz="12" w:space="0"/>
              <w:left w:val="single" w:color="auto" w:sz="6" w:space="0"/>
              <w:bottom w:val="single" w:color="auto" w:sz="6" w:space="0"/>
              <w:right w:val="single" w:color="auto" w:sz="4" w:space="0"/>
            </w:tcBorders>
            <w:vAlign w:val="center"/>
          </w:tcPr>
          <w:p>
            <w:pPr>
              <w:widowControl/>
              <w:jc w:val="left"/>
              <w:rPr>
                <w:rFonts w:hint="eastAsia" w:ascii="宋体" w:hAnsi="宋体" w:eastAsia="宋体" w:cs="宋体"/>
                <w:color w:val="auto"/>
                <w:kern w:val="0"/>
                <w:sz w:val="24"/>
              </w:rPr>
            </w:pPr>
          </w:p>
        </w:tc>
      </w:tr>
      <w:tr>
        <w:tblPrEx>
          <w:tblBorders>
            <w:top w:val="thinThickMediumGap" w:color="auto" w:sz="12" w:space="0"/>
            <w:left w:val="single" w:color="auto" w:sz="4" w:space="0"/>
            <w:bottom w:val="thickThinMediumGap"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20" w:type="dxa"/>
            <w:tcBorders>
              <w:top w:val="single" w:color="auto" w:sz="6" w:space="0"/>
              <w:left w:val="single" w:color="auto" w:sz="4" w:space="0"/>
              <w:bottom w:val="single" w:color="auto" w:sz="6" w:space="0"/>
              <w:right w:val="single" w:color="auto" w:sz="6" w:space="0"/>
            </w:tcBorders>
            <w:vAlign w:val="center"/>
          </w:tcPr>
          <w:p>
            <w:pPr>
              <w:snapToGrid w:val="0"/>
              <w:jc w:val="center"/>
              <w:rPr>
                <w:rFonts w:hint="eastAsia" w:ascii="宋体" w:hAnsi="宋体" w:eastAsia="宋体" w:cs="宋体"/>
                <w:color w:val="auto"/>
                <w:spacing w:val="-20"/>
                <w:kern w:val="0"/>
                <w:sz w:val="24"/>
              </w:rPr>
            </w:pPr>
            <w:r>
              <w:rPr>
                <w:rFonts w:hint="eastAsia" w:ascii="宋体" w:hAnsi="宋体" w:eastAsia="宋体" w:cs="宋体"/>
                <w:color w:val="auto"/>
                <w:spacing w:val="-20"/>
                <w:kern w:val="0"/>
                <w:sz w:val="24"/>
              </w:rPr>
              <w:t>1</w:t>
            </w:r>
          </w:p>
        </w:tc>
        <w:tc>
          <w:tcPr>
            <w:tcW w:w="1473"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397"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565"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994"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246" w:type="dxa"/>
            <w:tcBorders>
              <w:top w:val="single" w:color="auto" w:sz="6" w:space="0"/>
              <w:left w:val="single" w:color="auto" w:sz="6" w:space="0"/>
              <w:bottom w:val="single" w:color="auto" w:sz="6" w:space="0"/>
              <w:right w:val="single" w:color="auto" w:sz="4" w:space="0"/>
            </w:tcBorders>
            <w:vAlign w:val="center"/>
          </w:tcPr>
          <w:p>
            <w:pPr>
              <w:snapToGrid w:val="0"/>
              <w:jc w:val="center"/>
              <w:rPr>
                <w:rFonts w:hint="eastAsia" w:ascii="宋体" w:hAnsi="宋体" w:eastAsia="宋体" w:cs="宋体"/>
                <w:color w:val="auto"/>
                <w:kern w:val="0"/>
                <w:sz w:val="24"/>
              </w:rPr>
            </w:pPr>
          </w:p>
        </w:tc>
      </w:tr>
      <w:tr>
        <w:tblPrEx>
          <w:tblBorders>
            <w:top w:val="thinThickMediumGap" w:color="auto" w:sz="12" w:space="0"/>
            <w:left w:val="single" w:color="auto" w:sz="4" w:space="0"/>
            <w:bottom w:val="thickThinMediumGap"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20" w:type="dxa"/>
            <w:tcBorders>
              <w:top w:val="single" w:color="auto" w:sz="6" w:space="0"/>
              <w:left w:val="single" w:color="auto" w:sz="4" w:space="0"/>
              <w:bottom w:val="single" w:color="auto" w:sz="6" w:space="0"/>
              <w:right w:val="single" w:color="auto" w:sz="6" w:space="0"/>
            </w:tcBorders>
            <w:vAlign w:val="center"/>
          </w:tcPr>
          <w:p>
            <w:pPr>
              <w:snapToGrid w:val="0"/>
              <w:jc w:val="center"/>
              <w:rPr>
                <w:rFonts w:hint="eastAsia" w:ascii="宋体" w:hAnsi="宋体" w:eastAsia="宋体" w:cs="宋体"/>
                <w:color w:val="auto"/>
                <w:spacing w:val="-20"/>
                <w:kern w:val="0"/>
                <w:sz w:val="24"/>
              </w:rPr>
            </w:pPr>
            <w:r>
              <w:rPr>
                <w:rFonts w:hint="eastAsia" w:ascii="宋体" w:hAnsi="宋体" w:eastAsia="宋体" w:cs="宋体"/>
                <w:color w:val="auto"/>
                <w:spacing w:val="-20"/>
                <w:kern w:val="0"/>
                <w:sz w:val="24"/>
              </w:rPr>
              <w:t>2</w:t>
            </w:r>
          </w:p>
        </w:tc>
        <w:tc>
          <w:tcPr>
            <w:tcW w:w="1473"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397"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565"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994"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246" w:type="dxa"/>
            <w:tcBorders>
              <w:top w:val="single" w:color="auto" w:sz="6" w:space="0"/>
              <w:left w:val="single" w:color="auto" w:sz="6" w:space="0"/>
              <w:bottom w:val="single" w:color="auto" w:sz="6" w:space="0"/>
              <w:right w:val="single" w:color="auto" w:sz="4" w:space="0"/>
            </w:tcBorders>
            <w:vAlign w:val="center"/>
          </w:tcPr>
          <w:p>
            <w:pPr>
              <w:snapToGrid w:val="0"/>
              <w:jc w:val="center"/>
              <w:rPr>
                <w:rFonts w:hint="eastAsia" w:ascii="宋体" w:hAnsi="宋体" w:eastAsia="宋体" w:cs="宋体"/>
                <w:color w:val="auto"/>
                <w:kern w:val="0"/>
                <w:sz w:val="24"/>
              </w:rPr>
            </w:pPr>
          </w:p>
        </w:tc>
      </w:tr>
      <w:tr>
        <w:tblPrEx>
          <w:tblBorders>
            <w:top w:val="thinThickMediumGap" w:color="auto" w:sz="12" w:space="0"/>
            <w:left w:val="single" w:color="auto" w:sz="4" w:space="0"/>
            <w:bottom w:val="thickThinMediumGap"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20" w:type="dxa"/>
            <w:tcBorders>
              <w:top w:val="single" w:color="auto" w:sz="6" w:space="0"/>
              <w:left w:val="single" w:color="auto" w:sz="4" w:space="0"/>
              <w:bottom w:val="single" w:color="auto" w:sz="6" w:space="0"/>
              <w:right w:val="single" w:color="auto" w:sz="6" w:space="0"/>
            </w:tcBorders>
            <w:vAlign w:val="center"/>
          </w:tcPr>
          <w:p>
            <w:pPr>
              <w:snapToGrid w:val="0"/>
              <w:jc w:val="center"/>
              <w:rPr>
                <w:rFonts w:hint="eastAsia" w:ascii="宋体" w:hAnsi="宋体" w:eastAsia="宋体" w:cs="宋体"/>
                <w:color w:val="auto"/>
                <w:spacing w:val="-20"/>
                <w:kern w:val="0"/>
                <w:sz w:val="24"/>
              </w:rPr>
            </w:pPr>
            <w:r>
              <w:rPr>
                <w:rFonts w:hint="eastAsia" w:ascii="宋体" w:hAnsi="宋体" w:eastAsia="宋体" w:cs="宋体"/>
                <w:color w:val="auto"/>
                <w:spacing w:val="-20"/>
                <w:kern w:val="0"/>
                <w:sz w:val="24"/>
              </w:rPr>
              <w:t>3</w:t>
            </w:r>
          </w:p>
        </w:tc>
        <w:tc>
          <w:tcPr>
            <w:tcW w:w="1473"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397"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565"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994"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246" w:type="dxa"/>
            <w:tcBorders>
              <w:top w:val="single" w:color="auto" w:sz="6" w:space="0"/>
              <w:left w:val="single" w:color="auto" w:sz="6" w:space="0"/>
              <w:bottom w:val="single" w:color="auto" w:sz="6" w:space="0"/>
              <w:right w:val="single" w:color="auto" w:sz="4" w:space="0"/>
            </w:tcBorders>
            <w:vAlign w:val="center"/>
          </w:tcPr>
          <w:p>
            <w:pPr>
              <w:snapToGrid w:val="0"/>
              <w:jc w:val="center"/>
              <w:rPr>
                <w:rFonts w:hint="eastAsia" w:ascii="宋体" w:hAnsi="宋体" w:eastAsia="宋体" w:cs="宋体"/>
                <w:color w:val="auto"/>
                <w:kern w:val="0"/>
                <w:sz w:val="24"/>
              </w:rPr>
            </w:pPr>
          </w:p>
        </w:tc>
      </w:tr>
      <w:tr>
        <w:tblPrEx>
          <w:tblBorders>
            <w:top w:val="thinThickMediumGap" w:color="auto" w:sz="12" w:space="0"/>
            <w:left w:val="single" w:color="auto" w:sz="4" w:space="0"/>
            <w:bottom w:val="thickThinMediumGap"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20" w:type="dxa"/>
            <w:tcBorders>
              <w:top w:val="single" w:color="auto" w:sz="6" w:space="0"/>
              <w:left w:val="single" w:color="auto" w:sz="4" w:space="0"/>
              <w:bottom w:val="single" w:color="auto" w:sz="6" w:space="0"/>
              <w:right w:val="single" w:color="auto" w:sz="6" w:space="0"/>
            </w:tcBorders>
            <w:vAlign w:val="center"/>
          </w:tcPr>
          <w:p>
            <w:pPr>
              <w:snapToGrid w:val="0"/>
              <w:jc w:val="center"/>
              <w:rPr>
                <w:rFonts w:hint="eastAsia" w:ascii="宋体" w:hAnsi="宋体" w:eastAsia="宋体" w:cs="宋体"/>
                <w:color w:val="auto"/>
                <w:spacing w:val="-20"/>
                <w:kern w:val="0"/>
                <w:sz w:val="24"/>
              </w:rPr>
            </w:pPr>
            <w:r>
              <w:rPr>
                <w:rFonts w:hint="eastAsia" w:ascii="宋体" w:hAnsi="宋体" w:eastAsia="宋体" w:cs="宋体"/>
                <w:color w:val="auto"/>
                <w:spacing w:val="-20"/>
                <w:kern w:val="0"/>
                <w:sz w:val="24"/>
              </w:rPr>
              <w:t>4</w:t>
            </w:r>
          </w:p>
        </w:tc>
        <w:tc>
          <w:tcPr>
            <w:tcW w:w="1473"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397"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565"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994"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246" w:type="dxa"/>
            <w:tcBorders>
              <w:top w:val="single" w:color="auto" w:sz="6" w:space="0"/>
              <w:left w:val="single" w:color="auto" w:sz="6" w:space="0"/>
              <w:bottom w:val="single" w:color="auto" w:sz="6" w:space="0"/>
              <w:right w:val="single" w:color="auto" w:sz="4" w:space="0"/>
            </w:tcBorders>
            <w:vAlign w:val="center"/>
          </w:tcPr>
          <w:p>
            <w:pPr>
              <w:snapToGrid w:val="0"/>
              <w:jc w:val="center"/>
              <w:rPr>
                <w:rFonts w:hint="eastAsia" w:ascii="宋体" w:hAnsi="宋体" w:eastAsia="宋体" w:cs="宋体"/>
                <w:color w:val="auto"/>
                <w:kern w:val="0"/>
                <w:sz w:val="24"/>
              </w:rPr>
            </w:pPr>
          </w:p>
        </w:tc>
      </w:tr>
      <w:tr>
        <w:tblPrEx>
          <w:tblBorders>
            <w:top w:val="thinThickMediumGap" w:color="auto" w:sz="12" w:space="0"/>
            <w:left w:val="single" w:color="auto" w:sz="4" w:space="0"/>
            <w:bottom w:val="thickThinMediumGap"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20" w:type="dxa"/>
            <w:tcBorders>
              <w:top w:val="single" w:color="auto" w:sz="6" w:space="0"/>
              <w:left w:val="single" w:color="auto" w:sz="4" w:space="0"/>
              <w:bottom w:val="single" w:color="auto" w:sz="6" w:space="0"/>
              <w:right w:val="single" w:color="auto" w:sz="6" w:space="0"/>
            </w:tcBorders>
            <w:vAlign w:val="center"/>
          </w:tcPr>
          <w:p>
            <w:pPr>
              <w:snapToGrid w:val="0"/>
              <w:jc w:val="center"/>
              <w:rPr>
                <w:rFonts w:hint="eastAsia" w:ascii="宋体" w:hAnsi="宋体" w:eastAsia="宋体" w:cs="宋体"/>
                <w:color w:val="auto"/>
                <w:spacing w:val="-20"/>
                <w:kern w:val="0"/>
                <w:sz w:val="24"/>
              </w:rPr>
            </w:pPr>
            <w:r>
              <w:rPr>
                <w:rFonts w:hint="eastAsia" w:ascii="宋体" w:hAnsi="宋体" w:eastAsia="宋体" w:cs="宋体"/>
                <w:color w:val="auto"/>
                <w:spacing w:val="-20"/>
                <w:kern w:val="0"/>
                <w:sz w:val="24"/>
              </w:rPr>
              <w:t>5</w:t>
            </w:r>
          </w:p>
        </w:tc>
        <w:tc>
          <w:tcPr>
            <w:tcW w:w="1473"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397"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565"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994" w:type="dxa"/>
            <w:tcBorders>
              <w:top w:val="single" w:color="auto" w:sz="6" w:space="0"/>
              <w:left w:val="single" w:color="auto" w:sz="6" w:space="0"/>
              <w:bottom w:val="single" w:color="auto" w:sz="6"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246" w:type="dxa"/>
            <w:tcBorders>
              <w:top w:val="single" w:color="auto" w:sz="6" w:space="0"/>
              <w:left w:val="single" w:color="auto" w:sz="6" w:space="0"/>
              <w:bottom w:val="single" w:color="auto" w:sz="6" w:space="0"/>
              <w:right w:val="single" w:color="auto" w:sz="4" w:space="0"/>
            </w:tcBorders>
            <w:vAlign w:val="center"/>
          </w:tcPr>
          <w:p>
            <w:pPr>
              <w:snapToGrid w:val="0"/>
              <w:jc w:val="center"/>
              <w:rPr>
                <w:rFonts w:hint="eastAsia" w:ascii="宋体" w:hAnsi="宋体" w:eastAsia="宋体" w:cs="宋体"/>
                <w:color w:val="auto"/>
                <w:kern w:val="0"/>
                <w:sz w:val="24"/>
              </w:rPr>
            </w:pPr>
          </w:p>
        </w:tc>
      </w:tr>
      <w:tr>
        <w:tblPrEx>
          <w:tblBorders>
            <w:top w:val="thinThickMediumGap" w:color="auto" w:sz="12" w:space="0"/>
            <w:left w:val="single" w:color="auto" w:sz="4" w:space="0"/>
            <w:bottom w:val="thickThinMediumGap"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20" w:type="dxa"/>
            <w:tcBorders>
              <w:top w:val="single" w:color="auto" w:sz="6" w:space="0"/>
              <w:left w:val="single" w:color="auto" w:sz="4" w:space="0"/>
              <w:bottom w:val="thickThinMediumGap" w:color="auto" w:sz="12" w:space="0"/>
              <w:right w:val="single" w:color="auto" w:sz="6" w:space="0"/>
            </w:tcBorders>
            <w:vAlign w:val="center"/>
          </w:tcPr>
          <w:p>
            <w:pPr>
              <w:snapToGrid w:val="0"/>
              <w:jc w:val="center"/>
              <w:rPr>
                <w:rFonts w:hint="eastAsia" w:ascii="宋体" w:hAnsi="宋体" w:eastAsia="宋体" w:cs="宋体"/>
                <w:color w:val="auto"/>
                <w:spacing w:val="-20"/>
                <w:kern w:val="0"/>
                <w:sz w:val="24"/>
              </w:rPr>
            </w:pPr>
            <w:r>
              <w:rPr>
                <w:rFonts w:hint="eastAsia" w:ascii="宋体" w:hAnsi="宋体" w:eastAsia="宋体" w:cs="宋体"/>
                <w:color w:val="auto"/>
                <w:spacing w:val="-20"/>
                <w:kern w:val="0"/>
                <w:sz w:val="24"/>
              </w:rPr>
              <w:t>...</w:t>
            </w:r>
          </w:p>
        </w:tc>
        <w:tc>
          <w:tcPr>
            <w:tcW w:w="1473" w:type="dxa"/>
            <w:tcBorders>
              <w:top w:val="single" w:color="auto" w:sz="6" w:space="0"/>
              <w:left w:val="single" w:color="auto" w:sz="6" w:space="0"/>
              <w:bottom w:val="thickThinMediumGap" w:color="auto" w:sz="12"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397" w:type="dxa"/>
            <w:tcBorders>
              <w:top w:val="single" w:color="auto" w:sz="6" w:space="0"/>
              <w:left w:val="single" w:color="auto" w:sz="6" w:space="0"/>
              <w:bottom w:val="thickThinMediumGap" w:color="auto" w:sz="12"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565" w:type="dxa"/>
            <w:tcBorders>
              <w:top w:val="single" w:color="auto" w:sz="6" w:space="0"/>
              <w:left w:val="single" w:color="auto" w:sz="6" w:space="0"/>
              <w:bottom w:val="thickThinMediumGap" w:color="auto" w:sz="12"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994" w:type="dxa"/>
            <w:tcBorders>
              <w:top w:val="single" w:color="auto" w:sz="6" w:space="0"/>
              <w:left w:val="single" w:color="auto" w:sz="6" w:space="0"/>
              <w:bottom w:val="thickThinMediumGap" w:color="auto" w:sz="12" w:space="0"/>
              <w:right w:val="single" w:color="auto" w:sz="6" w:space="0"/>
            </w:tcBorders>
            <w:vAlign w:val="center"/>
          </w:tcPr>
          <w:p>
            <w:pPr>
              <w:snapToGrid w:val="0"/>
              <w:jc w:val="center"/>
              <w:rPr>
                <w:rFonts w:hint="eastAsia" w:ascii="宋体" w:hAnsi="宋体" w:eastAsia="宋体" w:cs="宋体"/>
                <w:color w:val="auto"/>
                <w:kern w:val="0"/>
                <w:sz w:val="24"/>
              </w:rPr>
            </w:pPr>
          </w:p>
        </w:tc>
        <w:tc>
          <w:tcPr>
            <w:tcW w:w="1246" w:type="dxa"/>
            <w:tcBorders>
              <w:top w:val="single" w:color="auto" w:sz="6" w:space="0"/>
              <w:left w:val="single" w:color="auto" w:sz="6" w:space="0"/>
              <w:bottom w:val="thickThinMediumGap" w:color="auto" w:sz="12" w:space="0"/>
              <w:right w:val="single" w:color="auto" w:sz="4" w:space="0"/>
            </w:tcBorders>
            <w:vAlign w:val="center"/>
          </w:tcPr>
          <w:p>
            <w:pPr>
              <w:snapToGrid w:val="0"/>
              <w:jc w:val="center"/>
              <w:rPr>
                <w:rFonts w:hint="eastAsia" w:ascii="宋体" w:hAnsi="宋体" w:eastAsia="宋体" w:cs="宋体"/>
                <w:color w:val="auto"/>
                <w:kern w:val="0"/>
                <w:sz w:val="24"/>
              </w:rPr>
            </w:pPr>
          </w:p>
        </w:tc>
      </w:tr>
    </w:tbl>
    <w:p>
      <w:pPr>
        <w:snapToGrid w:val="0"/>
        <w:rPr>
          <w:rFonts w:hint="eastAsia" w:ascii="宋体" w:hAnsi="宋体" w:eastAsia="宋体" w:cs="宋体"/>
          <w:color w:val="auto"/>
          <w:sz w:val="24"/>
        </w:rPr>
      </w:pPr>
    </w:p>
    <w:p>
      <w:pPr>
        <w:snapToGrid w:val="0"/>
        <w:spacing w:line="27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注：投标人可根据实际情况变更上述表格形式，但需要详细反映“评分细则”以及其他所有评审或评分项中所要求的评审内容所在投标文件中的具体位置。</w:t>
      </w:r>
    </w:p>
    <w:p>
      <w:pPr>
        <w:widowControl/>
        <w:spacing w:line="276" w:lineRule="auto"/>
        <w:jc w:val="left"/>
        <w:rPr>
          <w:rFonts w:hint="eastAsia" w:ascii="宋体" w:hAnsi="宋体" w:eastAsia="宋体" w:cs="宋体"/>
          <w:color w:val="auto"/>
          <w:sz w:val="28"/>
          <w:szCs w:val="28"/>
        </w:rPr>
        <w:sectPr>
          <w:headerReference r:id="rId4" w:type="default"/>
          <w:footerReference r:id="rId5" w:type="default"/>
          <w:pgSz w:w="11906" w:h="16838"/>
          <w:pgMar w:top="1276" w:right="1133" w:bottom="1440" w:left="1800" w:header="851" w:footer="992" w:gutter="0"/>
          <w:cols w:space="720" w:num="1"/>
          <w:docGrid w:type="lines" w:linePitch="312" w:charSpace="0"/>
        </w:sectPr>
      </w:pPr>
    </w:p>
    <w:p>
      <w:pPr>
        <w:pStyle w:val="5"/>
        <w:jc w:val="left"/>
        <w:rPr>
          <w:rStyle w:val="39"/>
          <w:rFonts w:hint="eastAsia" w:ascii="宋体" w:hAnsi="宋体" w:eastAsia="宋体" w:cs="宋体"/>
          <w:color w:val="auto"/>
        </w:rPr>
      </w:pPr>
      <w:bookmarkStart w:id="322" w:name="_Toc18457"/>
      <w:bookmarkStart w:id="323" w:name="_Toc28296"/>
      <w:r>
        <w:rPr>
          <w:rStyle w:val="39"/>
          <w:rFonts w:hint="eastAsia" w:ascii="宋体" w:hAnsi="宋体" w:eastAsia="宋体" w:cs="宋体"/>
          <w:color w:val="auto"/>
        </w:rPr>
        <w:t>报价文件</w:t>
      </w:r>
      <w:bookmarkEnd w:id="322"/>
      <w:bookmarkEnd w:id="323"/>
    </w:p>
    <w:p>
      <w:pPr>
        <w:pStyle w:val="5"/>
        <w:rPr>
          <w:rStyle w:val="39"/>
          <w:rFonts w:hint="eastAsia" w:ascii="宋体" w:hAnsi="宋体" w:eastAsia="宋体" w:cs="宋体"/>
          <w:b w:val="0"/>
          <w:bCs w:val="0"/>
          <w:color w:val="auto"/>
        </w:rPr>
      </w:pPr>
      <w:bookmarkStart w:id="324" w:name="_Toc27946"/>
      <w:bookmarkStart w:id="325" w:name="_Toc15963"/>
      <w:r>
        <w:rPr>
          <w:rStyle w:val="39"/>
          <w:rFonts w:hint="eastAsia" w:ascii="宋体" w:hAnsi="宋体" w:eastAsia="宋体" w:cs="宋体"/>
          <w:color w:val="auto"/>
        </w:rPr>
        <w:t>一、投标函（格式）</w:t>
      </w:r>
      <w:bookmarkEnd w:id="314"/>
      <w:bookmarkEnd w:id="324"/>
      <w:bookmarkEnd w:id="325"/>
    </w:p>
    <w:p>
      <w:pPr>
        <w:spacing w:before="120" w:after="120" w:line="360" w:lineRule="auto"/>
        <w:ind w:firstLine="420"/>
        <w:jc w:val="right"/>
        <w:rPr>
          <w:rStyle w:val="39"/>
          <w:rFonts w:hint="eastAsia" w:ascii="宋体" w:hAnsi="宋体" w:eastAsia="宋体" w:cs="宋体"/>
          <w:bCs/>
          <w:color w:val="auto"/>
          <w:sz w:val="28"/>
          <w:szCs w:val="28"/>
        </w:rPr>
      </w:pPr>
    </w:p>
    <w:p>
      <w:pPr>
        <w:spacing w:line="360" w:lineRule="auto"/>
        <w:rPr>
          <w:rFonts w:hint="eastAsia" w:ascii="宋体" w:hAnsi="宋体" w:eastAsia="宋体" w:cs="宋体"/>
          <w:color w:val="auto"/>
          <w:sz w:val="24"/>
          <w:u w:val="single"/>
          <w:lang w:val="zh-CN"/>
        </w:rPr>
      </w:pPr>
      <w:bookmarkStart w:id="326" w:name="_Toc54622568"/>
      <w:r>
        <w:rPr>
          <w:rFonts w:hint="eastAsia" w:ascii="宋体" w:hAnsi="宋体" w:eastAsia="宋体" w:cs="宋体"/>
          <w:color w:val="auto"/>
          <w:sz w:val="24"/>
          <w:lang w:val="zh-CN"/>
        </w:rPr>
        <w:t>致：</w:t>
      </w:r>
      <w:r>
        <w:rPr>
          <w:rFonts w:hint="eastAsia" w:ascii="宋体" w:hAnsi="宋体" w:eastAsia="宋体" w:cs="宋体"/>
          <w:color w:val="auto"/>
          <w:sz w:val="24"/>
          <w:u w:val="single"/>
          <w:lang w:val="zh-CN"/>
        </w:rPr>
        <w:t>【采购人名称】</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一、我们非常荣幸参与</w:t>
      </w:r>
      <w:r>
        <w:rPr>
          <w:rFonts w:hint="eastAsia" w:ascii="宋体" w:hAnsi="宋体" w:eastAsia="宋体" w:cs="宋体"/>
          <w:color w:val="auto"/>
          <w:sz w:val="24"/>
          <w:u w:val="single"/>
        </w:rPr>
        <w:t>（项目名称）</w:t>
      </w:r>
      <w:r>
        <w:rPr>
          <w:rFonts w:hint="eastAsia" w:ascii="宋体" w:hAnsi="宋体" w:eastAsia="宋体" w:cs="宋体"/>
          <w:color w:val="auto"/>
          <w:sz w:val="24"/>
        </w:rPr>
        <w:t>投标，并依照</w:t>
      </w:r>
      <w:r>
        <w:rPr>
          <w:rFonts w:hint="eastAsia" w:ascii="宋体" w:hAnsi="宋体" w:eastAsia="宋体" w:cs="宋体"/>
          <w:color w:val="auto"/>
          <w:sz w:val="24"/>
          <w:u w:val="single"/>
        </w:rPr>
        <w:t>（项目名称）</w:t>
      </w:r>
      <w:r>
        <w:rPr>
          <w:rFonts w:hint="eastAsia" w:ascii="宋体" w:hAnsi="宋体" w:eastAsia="宋体" w:cs="宋体"/>
          <w:color w:val="auto"/>
          <w:sz w:val="24"/>
        </w:rPr>
        <w:t>招标文件，在此递交（</w:t>
      </w:r>
      <w:r>
        <w:rPr>
          <w:rFonts w:hint="eastAsia" w:ascii="宋体" w:hAnsi="宋体" w:eastAsia="宋体" w:cs="宋体"/>
          <w:color w:val="auto"/>
          <w:sz w:val="24"/>
          <w:u w:val="single"/>
        </w:rPr>
        <w:t>项目名称）</w:t>
      </w:r>
      <w:r>
        <w:rPr>
          <w:rFonts w:hint="eastAsia" w:ascii="宋体" w:hAnsi="宋体" w:eastAsia="宋体" w:cs="宋体"/>
          <w:color w:val="auto"/>
          <w:sz w:val="24"/>
        </w:rPr>
        <w:t>的投标文件。</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二、我们确认，我们已仔细阅读并研究了</w:t>
      </w:r>
      <w:r>
        <w:rPr>
          <w:rFonts w:hint="eastAsia" w:ascii="宋体" w:hAnsi="宋体" w:eastAsia="宋体" w:cs="宋体"/>
          <w:color w:val="auto"/>
          <w:sz w:val="24"/>
          <w:u w:val="single"/>
        </w:rPr>
        <w:t>（时间）</w:t>
      </w:r>
      <w:r>
        <w:rPr>
          <w:rFonts w:hint="eastAsia" w:ascii="宋体" w:hAnsi="宋体" w:eastAsia="宋体" w:cs="宋体"/>
          <w:color w:val="auto"/>
          <w:sz w:val="24"/>
        </w:rPr>
        <w:t>发布的招标文件，以及于</w:t>
      </w:r>
      <w:r>
        <w:rPr>
          <w:rFonts w:hint="eastAsia" w:ascii="宋体" w:hAnsi="宋体" w:eastAsia="宋体" w:cs="宋体"/>
          <w:color w:val="auto"/>
          <w:sz w:val="24"/>
          <w:u w:val="single"/>
        </w:rPr>
        <w:t>（时间）</w:t>
      </w:r>
      <w:r>
        <w:rPr>
          <w:rFonts w:hint="eastAsia" w:ascii="宋体" w:hAnsi="宋体" w:eastAsia="宋体" w:cs="宋体"/>
          <w:color w:val="auto"/>
          <w:sz w:val="24"/>
        </w:rPr>
        <w:t>发出的补充通知（如有），我们知道必须在整个投标阶段放弃以对上述文件和资料的所有条款存有含糊不清或不理解之处为由而要求免于承担责任的权利。</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三、我们确认，本投标文件的有效期为自</w:t>
      </w:r>
      <w:r>
        <w:rPr>
          <w:rFonts w:hint="eastAsia" w:ascii="宋体" w:hAnsi="宋体" w:eastAsia="宋体" w:cs="宋体"/>
          <w:color w:val="auto"/>
          <w:sz w:val="24"/>
          <w:u w:val="single"/>
        </w:rPr>
        <w:t>【投标截止日】</w:t>
      </w:r>
      <w:r>
        <w:rPr>
          <w:rFonts w:hint="eastAsia" w:ascii="宋体" w:hAnsi="宋体" w:eastAsia="宋体" w:cs="宋体"/>
          <w:color w:val="auto"/>
          <w:sz w:val="24"/>
        </w:rPr>
        <w:t>起的一百八十（180）日，且根据招标文件，该期限可以延长。在任何延长期内，我们的投标文件对我们仍有约束力，可以在任何时候被贵方接受。</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四、我们确认，我们完全同意招标文件制定的竞标规则，并承诺按照这些规则履行我们的所有义务。</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五、根据招标文件要求，我们在此与本投标函一并提交的文件和资料有：</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1、报价文件</w:t>
      </w:r>
      <w:r>
        <w:rPr>
          <w:rFonts w:hint="eastAsia" w:ascii="宋体" w:hAnsi="宋体" w:eastAsia="宋体" w:cs="宋体"/>
          <w:color w:val="auto"/>
          <w:sz w:val="24"/>
          <w:lang w:val="zh-CN"/>
        </w:rPr>
        <w:t>正本一份，副本六份</w:t>
      </w:r>
      <w:r>
        <w:rPr>
          <w:rFonts w:hint="eastAsia" w:ascii="宋体" w:hAnsi="宋体" w:eastAsia="宋体" w:cs="宋体"/>
          <w:color w:val="auto"/>
          <w:sz w:val="24"/>
        </w:rPr>
        <w:t>；</w:t>
      </w:r>
    </w:p>
    <w:p>
      <w:pPr>
        <w:spacing w:line="360" w:lineRule="auto"/>
        <w:rPr>
          <w:rFonts w:hint="eastAsia" w:ascii="宋体" w:hAnsi="宋体" w:eastAsia="宋体" w:cs="宋体"/>
          <w:color w:val="auto"/>
          <w:sz w:val="24"/>
          <w:lang w:val="zh-CN"/>
        </w:rPr>
      </w:pPr>
      <w:r>
        <w:rPr>
          <w:rFonts w:hint="eastAsia" w:ascii="宋体" w:hAnsi="宋体" w:eastAsia="宋体" w:cs="宋体"/>
          <w:color w:val="auto"/>
          <w:sz w:val="24"/>
          <w:lang w:val="zh-CN"/>
        </w:rPr>
        <w:t>2、商务文件正本一份，副本六份（包含按投标人须知第10.3项要求提交的全部文件）；</w:t>
      </w:r>
    </w:p>
    <w:p>
      <w:pPr>
        <w:spacing w:line="360" w:lineRule="auto"/>
        <w:rPr>
          <w:rFonts w:hint="eastAsia" w:ascii="宋体" w:hAnsi="宋体" w:eastAsia="宋体" w:cs="宋体"/>
          <w:color w:val="auto"/>
          <w:sz w:val="24"/>
          <w:lang w:val="zh-CN"/>
        </w:rPr>
      </w:pPr>
      <w:r>
        <w:rPr>
          <w:rFonts w:hint="eastAsia" w:ascii="宋体" w:hAnsi="宋体" w:eastAsia="宋体" w:cs="宋体"/>
          <w:color w:val="auto"/>
          <w:sz w:val="24"/>
          <w:lang w:val="zh-CN"/>
        </w:rPr>
        <w:t>2、技术文件正本一份，副本六份（包含按投标人须知第10.4项要求提交的全部文件）；</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4、投标文件电子版。（光盘或U盘）</w:t>
      </w:r>
    </w:p>
    <w:p>
      <w:pPr>
        <w:pStyle w:val="30"/>
        <w:rPr>
          <w:rFonts w:hint="eastAsia" w:ascii="宋体" w:hAnsi="宋体" w:eastAsia="宋体" w:cs="宋体"/>
          <w:color w:val="auto"/>
        </w:rPr>
      </w:pPr>
    </w:p>
    <w:p>
      <w:pPr>
        <w:spacing w:line="360" w:lineRule="auto"/>
        <w:rPr>
          <w:rFonts w:hint="eastAsia" w:ascii="宋体" w:hAnsi="宋体" w:eastAsia="宋体" w:cs="宋体"/>
          <w:color w:val="auto"/>
          <w:sz w:val="24"/>
        </w:rPr>
      </w:pPr>
      <w:r>
        <w:rPr>
          <w:rFonts w:hint="eastAsia" w:ascii="宋体" w:hAnsi="宋体" w:eastAsia="宋体" w:cs="宋体"/>
          <w:color w:val="auto"/>
          <w:sz w:val="24"/>
        </w:rPr>
        <w:t>六、我们同意采购人保留不接受我们的和/或任何其他投标人的投标文件的权利。</w:t>
      </w:r>
    </w:p>
    <w:p>
      <w:pPr>
        <w:spacing w:line="360" w:lineRule="auto"/>
        <w:rPr>
          <w:rFonts w:hint="eastAsia" w:ascii="宋体" w:hAnsi="宋体" w:eastAsia="宋体" w:cs="宋体"/>
          <w:color w:val="auto"/>
          <w:sz w:val="24"/>
          <w:lang w:val="zh-CN"/>
        </w:rPr>
      </w:pPr>
      <w:r>
        <w:rPr>
          <w:rFonts w:hint="eastAsia" w:ascii="宋体" w:hAnsi="宋体" w:eastAsia="宋体" w:cs="宋体"/>
          <w:color w:val="auto"/>
          <w:sz w:val="24"/>
        </w:rPr>
        <w:t>七、如我方中标，我方承诺在收到中标通知书后，在中标通知书规定的期限内，按附件</w:t>
      </w:r>
      <w:r>
        <w:rPr>
          <w:rFonts w:hint="eastAsia" w:ascii="宋体" w:hAnsi="宋体" w:eastAsia="宋体" w:cs="宋体"/>
          <w:color w:val="auto"/>
          <w:sz w:val="24"/>
          <w:lang w:val="zh-CN"/>
        </w:rPr>
        <w:t>“PPP项目合同”与采购人订立书面合同，并按照合同约定承担完成合同的责任和义务。</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八、我们在此保证，本投标文件的所有内容均属独立完成，未经与其他投标人以限制对本项目的竞争为目的进行协商、合作或达成谅解后完成。</w:t>
      </w:r>
    </w:p>
    <w:p>
      <w:pPr>
        <w:spacing w:line="360" w:lineRule="auto"/>
        <w:rPr>
          <w:rFonts w:hint="eastAsia" w:ascii="宋体" w:hAnsi="宋体" w:eastAsia="宋体" w:cs="宋体"/>
          <w:color w:val="auto"/>
          <w:sz w:val="24"/>
          <w:lang w:val="zh-CN"/>
        </w:rPr>
      </w:pPr>
      <w:r>
        <w:rPr>
          <w:rFonts w:hint="eastAsia" w:ascii="宋体" w:hAnsi="宋体" w:eastAsia="宋体" w:cs="宋体"/>
          <w:color w:val="auto"/>
          <w:sz w:val="24"/>
        </w:rPr>
        <w:t>九、我们承诺，本投标文件中陈述和资料是完整、真实和准确的。</w:t>
      </w:r>
    </w:p>
    <w:p>
      <w:pPr>
        <w:spacing w:line="360" w:lineRule="auto"/>
        <w:ind w:firstLine="420"/>
        <w:rPr>
          <w:rFonts w:hint="eastAsia" w:ascii="宋体" w:hAnsi="宋体" w:eastAsia="宋体" w:cs="宋体"/>
          <w:color w:val="auto"/>
          <w:sz w:val="24"/>
          <w:u w:val="single"/>
          <w:lang w:val="zh-CN"/>
        </w:rPr>
      </w:pPr>
      <w:r>
        <w:rPr>
          <w:rFonts w:hint="eastAsia" w:ascii="宋体" w:hAnsi="宋体" w:eastAsia="宋体" w:cs="宋体"/>
          <w:color w:val="auto"/>
          <w:sz w:val="24"/>
          <w:lang w:val="zh-CN"/>
        </w:rPr>
        <w:t>独立投标人或联合体</w:t>
      </w:r>
      <w:r>
        <w:rPr>
          <w:rFonts w:hint="eastAsia" w:ascii="宋体" w:hAnsi="宋体" w:eastAsia="宋体" w:cs="宋体"/>
          <w:color w:val="auto"/>
          <w:sz w:val="24"/>
        </w:rPr>
        <w:t>牵头方</w:t>
      </w:r>
      <w:r>
        <w:rPr>
          <w:rFonts w:hint="eastAsia" w:ascii="宋体" w:hAnsi="宋体" w:eastAsia="宋体" w:cs="宋体"/>
          <w:color w:val="auto"/>
          <w:sz w:val="24"/>
          <w:lang w:val="zh-CN"/>
        </w:rPr>
        <w:t>：（盖单位公章）</w:t>
      </w:r>
    </w:p>
    <w:p>
      <w:pPr>
        <w:spacing w:line="360" w:lineRule="auto"/>
        <w:ind w:firstLine="420"/>
        <w:rPr>
          <w:rFonts w:hint="eastAsia" w:ascii="宋体" w:hAnsi="宋体" w:eastAsia="宋体" w:cs="宋体"/>
          <w:color w:val="auto"/>
          <w:sz w:val="24"/>
          <w:lang w:val="zh-CN"/>
        </w:rPr>
      </w:pPr>
      <w:r>
        <w:rPr>
          <w:rFonts w:hint="eastAsia" w:ascii="宋体" w:hAnsi="宋体" w:eastAsia="宋体" w:cs="宋体"/>
          <w:color w:val="auto"/>
          <w:sz w:val="24"/>
          <w:lang w:val="zh-CN"/>
        </w:rPr>
        <w:t>法定代表人或其委托代理人：（签字或盖章）</w:t>
      </w:r>
    </w:p>
    <w:p>
      <w:pPr>
        <w:spacing w:line="360" w:lineRule="auto"/>
        <w:ind w:firstLine="420"/>
        <w:rPr>
          <w:rFonts w:hint="eastAsia" w:ascii="宋体" w:hAnsi="宋体" w:eastAsia="宋体" w:cs="宋体"/>
          <w:color w:val="auto"/>
          <w:sz w:val="24"/>
          <w:lang w:val="zh-CN"/>
        </w:rPr>
      </w:pPr>
      <w:r>
        <w:rPr>
          <w:rFonts w:hint="eastAsia" w:ascii="宋体" w:hAnsi="宋体" w:eastAsia="宋体" w:cs="宋体"/>
          <w:color w:val="auto"/>
          <w:sz w:val="24"/>
          <w:lang w:val="zh-CN"/>
        </w:rPr>
        <w:t>地址：</w:t>
      </w:r>
    </w:p>
    <w:p>
      <w:pPr>
        <w:spacing w:line="360" w:lineRule="auto"/>
        <w:ind w:firstLine="420"/>
        <w:rPr>
          <w:rFonts w:hint="eastAsia" w:ascii="宋体" w:hAnsi="宋体" w:eastAsia="宋体" w:cs="宋体"/>
          <w:color w:val="auto"/>
          <w:sz w:val="24"/>
          <w:u w:val="single"/>
          <w:lang w:val="zh-CN"/>
        </w:rPr>
      </w:pPr>
      <w:r>
        <w:rPr>
          <w:rFonts w:hint="eastAsia" w:ascii="宋体" w:hAnsi="宋体" w:eastAsia="宋体" w:cs="宋体"/>
          <w:color w:val="auto"/>
          <w:sz w:val="24"/>
          <w:lang w:val="zh-CN"/>
        </w:rPr>
        <w:t>电话：</w:t>
      </w:r>
      <w:r>
        <w:rPr>
          <w:rFonts w:hint="eastAsia" w:ascii="宋体" w:hAnsi="宋体" w:eastAsia="宋体" w:cs="宋体"/>
          <w:color w:val="auto"/>
          <w:sz w:val="24"/>
          <w:u w:val="single"/>
          <w:lang w:val="zh-CN"/>
        </w:rPr>
        <w:t>　　　　　　　　　</w:t>
      </w:r>
    </w:p>
    <w:p>
      <w:pPr>
        <w:spacing w:line="360" w:lineRule="auto"/>
        <w:ind w:firstLine="420"/>
        <w:rPr>
          <w:rFonts w:hint="eastAsia" w:ascii="宋体" w:hAnsi="宋体" w:eastAsia="宋体" w:cs="宋体"/>
          <w:color w:val="auto"/>
          <w:sz w:val="24"/>
          <w:lang w:val="zh-CN"/>
        </w:rPr>
      </w:pPr>
      <w:r>
        <w:rPr>
          <w:rFonts w:hint="eastAsia" w:ascii="宋体" w:hAnsi="宋体" w:eastAsia="宋体" w:cs="宋体"/>
          <w:color w:val="auto"/>
          <w:sz w:val="24"/>
          <w:lang w:val="zh-CN"/>
        </w:rPr>
        <w:t>传真：</w:t>
      </w:r>
      <w:r>
        <w:rPr>
          <w:rFonts w:hint="eastAsia" w:ascii="宋体" w:hAnsi="宋体" w:eastAsia="宋体" w:cs="宋体"/>
          <w:color w:val="auto"/>
          <w:sz w:val="24"/>
          <w:u w:val="single"/>
          <w:lang w:val="zh-CN"/>
        </w:rPr>
        <w:t>　　　　　　　　　　</w:t>
      </w:r>
    </w:p>
    <w:p>
      <w:pPr>
        <w:spacing w:line="360" w:lineRule="auto"/>
        <w:ind w:firstLine="420"/>
        <w:rPr>
          <w:rFonts w:hint="eastAsia" w:ascii="宋体" w:hAnsi="宋体" w:eastAsia="宋体" w:cs="宋体"/>
          <w:color w:val="auto"/>
          <w:sz w:val="24"/>
          <w:u w:val="single"/>
          <w:lang w:val="zh-CN"/>
        </w:rPr>
      </w:pPr>
      <w:r>
        <w:rPr>
          <w:rFonts w:hint="eastAsia" w:ascii="宋体" w:hAnsi="宋体" w:eastAsia="宋体" w:cs="宋体"/>
          <w:color w:val="auto"/>
          <w:sz w:val="24"/>
          <w:lang w:val="zh-CN"/>
        </w:rPr>
        <w:t>邮政编码：</w:t>
      </w:r>
    </w:p>
    <w:p>
      <w:pPr>
        <w:spacing w:line="360" w:lineRule="auto"/>
        <w:ind w:firstLine="420"/>
        <w:rPr>
          <w:rFonts w:hint="eastAsia" w:ascii="宋体" w:hAnsi="宋体" w:eastAsia="宋体" w:cs="宋体"/>
          <w:color w:val="auto"/>
          <w:sz w:val="24"/>
          <w:u w:val="single"/>
          <w:lang w:val="zh-CN"/>
        </w:rPr>
      </w:pPr>
      <w:r>
        <w:rPr>
          <w:rFonts w:hint="eastAsia" w:ascii="宋体" w:hAnsi="宋体" w:eastAsia="宋体" w:cs="宋体"/>
          <w:color w:val="auto"/>
          <w:sz w:val="24"/>
          <w:lang w:val="zh-CN"/>
        </w:rPr>
        <w:t>开户名称：</w:t>
      </w:r>
    </w:p>
    <w:p>
      <w:pPr>
        <w:spacing w:line="360" w:lineRule="auto"/>
        <w:ind w:firstLine="420"/>
        <w:rPr>
          <w:rFonts w:hint="eastAsia" w:ascii="宋体" w:hAnsi="宋体" w:eastAsia="宋体" w:cs="宋体"/>
          <w:color w:val="auto"/>
          <w:sz w:val="24"/>
          <w:u w:val="single"/>
          <w:lang w:val="zh-CN"/>
        </w:rPr>
      </w:pPr>
      <w:r>
        <w:rPr>
          <w:rFonts w:hint="eastAsia" w:ascii="宋体" w:hAnsi="宋体" w:eastAsia="宋体" w:cs="宋体"/>
          <w:color w:val="auto"/>
          <w:sz w:val="24"/>
          <w:lang w:val="zh-CN"/>
        </w:rPr>
        <w:t>开户银行：</w:t>
      </w:r>
    </w:p>
    <w:p>
      <w:pPr>
        <w:spacing w:line="360" w:lineRule="auto"/>
        <w:ind w:firstLine="420"/>
        <w:rPr>
          <w:rFonts w:hint="eastAsia" w:ascii="宋体" w:hAnsi="宋体" w:eastAsia="宋体" w:cs="宋体"/>
          <w:color w:val="auto"/>
          <w:sz w:val="24"/>
          <w:u w:val="single"/>
          <w:lang w:val="zh-CN"/>
        </w:rPr>
      </w:pPr>
      <w:r>
        <w:rPr>
          <w:rFonts w:hint="eastAsia" w:ascii="宋体" w:hAnsi="宋体" w:eastAsia="宋体" w:cs="宋体"/>
          <w:color w:val="auto"/>
          <w:sz w:val="24"/>
          <w:lang w:val="zh-CN"/>
        </w:rPr>
        <w:t>银行账号：</w:t>
      </w:r>
    </w:p>
    <w:p>
      <w:pPr>
        <w:ind w:firstLine="480" w:firstLineChars="200"/>
        <w:rPr>
          <w:rStyle w:val="39"/>
          <w:rFonts w:hint="eastAsia" w:ascii="宋体" w:hAnsi="宋体" w:eastAsia="宋体" w:cs="宋体"/>
          <w:color w:val="auto"/>
          <w:sz w:val="24"/>
        </w:rPr>
      </w:pPr>
      <w:r>
        <w:rPr>
          <w:rFonts w:hint="eastAsia" w:ascii="宋体" w:hAnsi="宋体" w:eastAsia="宋体" w:cs="宋体"/>
          <w:bCs/>
          <w:color w:val="auto"/>
          <w:sz w:val="24"/>
          <w:lang w:val="zh-CN"/>
        </w:rPr>
        <w:t>年月日</w:t>
      </w:r>
      <w:r>
        <w:rPr>
          <w:rStyle w:val="39"/>
          <w:rFonts w:hint="eastAsia" w:ascii="宋体" w:hAnsi="宋体" w:eastAsia="宋体" w:cs="宋体"/>
          <w:color w:val="auto"/>
          <w:sz w:val="24"/>
        </w:rPr>
        <w:br w:type="page"/>
      </w:r>
    </w:p>
    <w:p>
      <w:pPr>
        <w:pStyle w:val="5"/>
        <w:rPr>
          <w:rStyle w:val="39"/>
          <w:rFonts w:hint="eastAsia" w:ascii="宋体" w:hAnsi="宋体" w:eastAsia="宋体" w:cs="宋体"/>
          <w:b w:val="0"/>
          <w:bCs w:val="0"/>
          <w:color w:val="auto"/>
          <w:sz w:val="24"/>
          <w:szCs w:val="24"/>
        </w:rPr>
      </w:pPr>
      <w:bookmarkStart w:id="327" w:name="_Toc28936"/>
      <w:bookmarkStart w:id="328" w:name="_Toc6179"/>
      <w:r>
        <w:rPr>
          <w:rStyle w:val="39"/>
          <w:rFonts w:hint="eastAsia" w:ascii="宋体" w:hAnsi="宋体" w:eastAsia="宋体" w:cs="宋体"/>
          <w:color w:val="auto"/>
          <w:sz w:val="24"/>
          <w:szCs w:val="24"/>
        </w:rPr>
        <w:t>二、报价一览表（格式）</w:t>
      </w:r>
      <w:bookmarkEnd w:id="326"/>
      <w:bookmarkEnd w:id="327"/>
      <w:bookmarkEnd w:id="328"/>
    </w:p>
    <w:p>
      <w:pPr>
        <w:snapToGrid w:val="0"/>
        <w:spacing w:line="360" w:lineRule="auto"/>
        <w:rPr>
          <w:rStyle w:val="39"/>
          <w:rFonts w:hint="eastAsia" w:ascii="宋体" w:hAnsi="宋体" w:eastAsia="宋体" w:cs="宋体"/>
          <w:color w:val="auto"/>
          <w:sz w:val="24"/>
        </w:rPr>
      </w:pPr>
      <w:r>
        <w:rPr>
          <w:rStyle w:val="39"/>
          <w:rFonts w:hint="eastAsia" w:ascii="宋体" w:hAnsi="宋体" w:eastAsia="宋体" w:cs="宋体"/>
          <w:color w:val="auto"/>
          <w:sz w:val="24"/>
        </w:rPr>
        <w:t>项目名称：</w:t>
      </w:r>
      <w:r>
        <w:rPr>
          <w:rStyle w:val="39"/>
          <w:rFonts w:hint="eastAsia" w:ascii="宋体" w:hAnsi="宋体" w:eastAsia="宋体" w:cs="宋体"/>
          <w:color w:val="auto"/>
          <w:sz w:val="24"/>
          <w:highlight w:val="yellow"/>
        </w:rPr>
        <w:t>南宁市2020年第三批城镇老旧小区改造项目PPP社会资本方采购</w:t>
      </w:r>
    </w:p>
    <w:tbl>
      <w:tblPr>
        <w:tblStyle w:val="23"/>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2605"/>
        <w:gridCol w:w="2153"/>
        <w:gridCol w:w="1305"/>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r>
              <w:rPr>
                <w:rFonts w:hint="eastAsia" w:ascii="宋体" w:hAnsi="宋体" w:eastAsia="宋体" w:cs="宋体"/>
                <w:color w:val="auto"/>
                <w:lang w:bidi="ar"/>
              </w:rPr>
              <w:t>序号</w:t>
            </w:r>
          </w:p>
        </w:tc>
        <w:tc>
          <w:tcPr>
            <w:tcW w:w="1260"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r>
              <w:rPr>
                <w:rFonts w:hint="eastAsia" w:ascii="宋体" w:hAnsi="宋体" w:eastAsia="宋体" w:cs="宋体"/>
                <w:color w:val="auto"/>
                <w:lang w:bidi="ar"/>
              </w:rPr>
              <w:t>项目名称</w:t>
            </w:r>
          </w:p>
        </w:tc>
        <w:tc>
          <w:tcPr>
            <w:tcW w:w="260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color w:val="auto"/>
                <w:lang w:bidi="ar"/>
              </w:rPr>
            </w:pPr>
            <w:r>
              <w:rPr>
                <w:rFonts w:hint="eastAsia" w:ascii="宋体" w:hAnsi="宋体" w:eastAsia="宋体" w:cs="宋体"/>
                <w:color w:val="auto"/>
                <w:lang w:bidi="ar"/>
              </w:rPr>
              <w:t>建设工程费报价</w:t>
            </w:r>
          </w:p>
        </w:tc>
        <w:tc>
          <w:tcPr>
            <w:tcW w:w="215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color w:val="auto"/>
                <w:lang w:bidi="ar"/>
              </w:rPr>
            </w:pPr>
            <w:r>
              <w:rPr>
                <w:rFonts w:hint="eastAsia" w:ascii="宋体" w:hAnsi="宋体" w:eastAsia="宋体" w:cs="宋体"/>
                <w:color w:val="auto"/>
                <w:lang w:bidi="ar"/>
              </w:rPr>
              <w:t>建设工程其他费用报价</w:t>
            </w:r>
          </w:p>
        </w:tc>
        <w:tc>
          <w:tcPr>
            <w:tcW w:w="1305"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r>
              <w:rPr>
                <w:rFonts w:hint="eastAsia" w:ascii="宋体" w:hAnsi="宋体" w:eastAsia="宋体" w:cs="宋体"/>
                <w:color w:val="auto"/>
              </w:rPr>
              <w:t>项目公司全投资所得税前内部收益率</w:t>
            </w:r>
          </w:p>
        </w:tc>
        <w:tc>
          <w:tcPr>
            <w:tcW w:w="814"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r>
              <w:rPr>
                <w:rFonts w:hint="eastAsia" w:ascii="宋体" w:hAnsi="宋体" w:eastAsia="宋体" w:cs="宋体"/>
                <w:color w:val="auto"/>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szCs w:val="21"/>
                <w:lang w:bidi="ar"/>
              </w:rPr>
            </w:pPr>
            <w:r>
              <w:rPr>
                <w:rFonts w:hint="eastAsia" w:ascii="宋体" w:hAnsi="宋体" w:eastAsia="宋体" w:cs="宋体"/>
                <w:color w:val="auto"/>
                <w:kern w:val="0"/>
                <w:szCs w:val="21"/>
                <w:lang w:bidi="ar"/>
              </w:rPr>
              <w:t>1</w:t>
            </w:r>
          </w:p>
        </w:tc>
        <w:tc>
          <w:tcPr>
            <w:tcW w:w="1260"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szCs w:val="21"/>
                <w:lang w:bidi="ar"/>
              </w:rPr>
            </w:pPr>
            <w:r>
              <w:rPr>
                <w:rFonts w:hint="eastAsia" w:ascii="宋体" w:hAnsi="宋体" w:eastAsia="宋体" w:cs="宋体"/>
                <w:color w:val="auto"/>
                <w:kern w:val="0"/>
                <w:szCs w:val="21"/>
                <w:lang w:bidi="ar"/>
              </w:rPr>
              <w:t>南宁市城镇老旧小区改造工程江南区第七片区项目</w:t>
            </w:r>
          </w:p>
        </w:tc>
        <w:tc>
          <w:tcPr>
            <w:tcW w:w="2605"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szCs w:val="21"/>
                <w:lang w:bidi="ar"/>
              </w:rPr>
            </w:pPr>
            <w:r>
              <w:rPr>
                <w:rFonts w:hint="eastAsia" w:ascii="宋体" w:hAnsi="宋体" w:eastAsia="宋体" w:cs="宋体"/>
                <w:color w:val="auto"/>
                <w:kern w:val="0"/>
                <w:szCs w:val="21"/>
              </w:rPr>
              <w:t>（大写）人民币</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元（小写：RMB</w:t>
            </w:r>
            <w:r>
              <w:rPr>
                <w:rFonts w:hint="eastAsia" w:ascii="宋体" w:hAnsi="宋体" w:eastAsia="宋体" w:cs="宋体"/>
                <w:color w:val="auto"/>
                <w:kern w:val="0"/>
                <w:szCs w:val="21"/>
                <w:u w:val="single"/>
              </w:rPr>
              <w:t xml:space="preserve">    元</w:t>
            </w:r>
            <w:r>
              <w:rPr>
                <w:rFonts w:hint="eastAsia" w:ascii="宋体" w:hAnsi="宋体" w:eastAsia="宋体" w:cs="宋体"/>
                <w:color w:val="auto"/>
                <w:kern w:val="0"/>
                <w:szCs w:val="21"/>
              </w:rPr>
              <w:t>），</w:t>
            </w:r>
          </w:p>
        </w:tc>
        <w:tc>
          <w:tcPr>
            <w:tcW w:w="2153"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szCs w:val="21"/>
                <w:lang w:bidi="ar"/>
              </w:rPr>
            </w:pPr>
            <w:r>
              <w:rPr>
                <w:rFonts w:hint="eastAsia" w:ascii="宋体" w:hAnsi="宋体" w:eastAsia="宋体" w:cs="宋体"/>
                <w:color w:val="auto"/>
                <w:kern w:val="0"/>
                <w:szCs w:val="21"/>
              </w:rPr>
              <w:t>（大写）人民币</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元（小写：RMB</w:t>
            </w:r>
            <w:r>
              <w:rPr>
                <w:rFonts w:hint="eastAsia" w:ascii="宋体" w:hAnsi="宋体" w:eastAsia="宋体" w:cs="宋体"/>
                <w:color w:val="auto"/>
                <w:kern w:val="0"/>
                <w:szCs w:val="21"/>
                <w:u w:val="single"/>
              </w:rPr>
              <w:t xml:space="preserve">    元</w:t>
            </w:r>
            <w:r>
              <w:rPr>
                <w:rFonts w:hint="eastAsia" w:ascii="宋体" w:hAnsi="宋体" w:eastAsia="宋体" w:cs="宋体"/>
                <w:color w:val="auto"/>
                <w:kern w:val="0"/>
                <w:szCs w:val="21"/>
              </w:rPr>
              <w:t>）</w:t>
            </w:r>
          </w:p>
        </w:tc>
        <w:tc>
          <w:tcPr>
            <w:tcW w:w="1305" w:type="dxa"/>
            <w:vMerge w:val="restart"/>
            <w:tcBorders>
              <w:top w:val="single" w:color="auto" w:sz="4" w:space="0"/>
              <w:left w:val="nil"/>
              <w:right w:val="single" w:color="auto" w:sz="4" w:space="0"/>
            </w:tcBorders>
            <w:vAlign w:val="center"/>
          </w:tcPr>
          <w:p>
            <w:pPr>
              <w:spacing w:line="360" w:lineRule="auto"/>
              <w:jc w:val="center"/>
              <w:rPr>
                <w:rFonts w:hint="eastAsia" w:ascii="宋体" w:hAnsi="宋体" w:eastAsia="宋体" w:cs="宋体"/>
                <w:color w:val="auto"/>
                <w:lang w:bidi="ar"/>
              </w:rPr>
            </w:pPr>
            <w:r>
              <w:rPr>
                <w:rFonts w:hint="eastAsia" w:ascii="宋体" w:hAnsi="宋体" w:eastAsia="宋体" w:cs="宋体"/>
                <w:color w:val="auto"/>
                <w:lang w:bidi="ar"/>
              </w:rPr>
              <w:t>%</w:t>
            </w:r>
          </w:p>
        </w:tc>
        <w:tc>
          <w:tcPr>
            <w:tcW w:w="814"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szCs w:val="21"/>
                <w:lang w:bidi="ar"/>
              </w:rPr>
            </w:pPr>
            <w:r>
              <w:rPr>
                <w:rFonts w:hint="eastAsia" w:ascii="宋体" w:hAnsi="宋体" w:eastAsia="宋体" w:cs="宋体"/>
                <w:color w:val="auto"/>
                <w:kern w:val="0"/>
                <w:szCs w:val="21"/>
                <w:lang w:bidi="ar"/>
              </w:rPr>
              <w:t>2</w:t>
            </w:r>
          </w:p>
        </w:tc>
        <w:tc>
          <w:tcPr>
            <w:tcW w:w="1260"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szCs w:val="21"/>
                <w:lang w:bidi="ar"/>
              </w:rPr>
            </w:pPr>
            <w:r>
              <w:rPr>
                <w:rFonts w:hint="eastAsia" w:ascii="宋体" w:hAnsi="宋体" w:eastAsia="宋体" w:cs="宋体"/>
                <w:color w:val="auto"/>
                <w:kern w:val="0"/>
                <w:szCs w:val="21"/>
                <w:lang w:bidi="ar"/>
              </w:rPr>
              <w:t>南宁市城镇老旧小区改造工程江南区第八片区项目</w:t>
            </w:r>
          </w:p>
        </w:tc>
        <w:tc>
          <w:tcPr>
            <w:tcW w:w="2605"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r>
              <w:rPr>
                <w:rFonts w:hint="eastAsia" w:ascii="宋体" w:hAnsi="宋体" w:eastAsia="宋体" w:cs="宋体"/>
                <w:color w:val="auto"/>
                <w:kern w:val="0"/>
                <w:szCs w:val="21"/>
              </w:rPr>
              <w:t>（大写）人民币</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元（小写：RMB</w:t>
            </w:r>
            <w:r>
              <w:rPr>
                <w:rFonts w:hint="eastAsia" w:ascii="宋体" w:hAnsi="宋体" w:eastAsia="宋体" w:cs="宋体"/>
                <w:color w:val="auto"/>
                <w:kern w:val="0"/>
                <w:szCs w:val="21"/>
                <w:u w:val="single"/>
              </w:rPr>
              <w:t xml:space="preserve">    元</w:t>
            </w:r>
            <w:r>
              <w:rPr>
                <w:rFonts w:hint="eastAsia" w:ascii="宋体" w:hAnsi="宋体" w:eastAsia="宋体" w:cs="宋体"/>
                <w:color w:val="auto"/>
                <w:kern w:val="0"/>
                <w:szCs w:val="21"/>
              </w:rPr>
              <w:t>），</w:t>
            </w:r>
          </w:p>
        </w:tc>
        <w:tc>
          <w:tcPr>
            <w:tcW w:w="2153"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r>
              <w:rPr>
                <w:rFonts w:hint="eastAsia" w:ascii="宋体" w:hAnsi="宋体" w:eastAsia="宋体" w:cs="宋体"/>
                <w:color w:val="auto"/>
                <w:kern w:val="0"/>
                <w:szCs w:val="21"/>
              </w:rPr>
              <w:t>（大写）人民币</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元（小写：RMB</w:t>
            </w:r>
            <w:r>
              <w:rPr>
                <w:rFonts w:hint="eastAsia" w:ascii="宋体" w:hAnsi="宋体" w:eastAsia="宋体" w:cs="宋体"/>
                <w:color w:val="auto"/>
                <w:kern w:val="0"/>
                <w:szCs w:val="21"/>
                <w:u w:val="single"/>
              </w:rPr>
              <w:t xml:space="preserve">    元</w:t>
            </w:r>
            <w:r>
              <w:rPr>
                <w:rFonts w:hint="eastAsia" w:ascii="宋体" w:hAnsi="宋体" w:eastAsia="宋体" w:cs="宋体"/>
                <w:color w:val="auto"/>
                <w:kern w:val="0"/>
                <w:szCs w:val="21"/>
              </w:rPr>
              <w:t>）</w:t>
            </w:r>
          </w:p>
        </w:tc>
        <w:tc>
          <w:tcPr>
            <w:tcW w:w="1305" w:type="dxa"/>
            <w:vMerge w:val="continue"/>
            <w:tcBorders>
              <w:left w:val="nil"/>
              <w:right w:val="single" w:color="auto" w:sz="4" w:space="0"/>
            </w:tcBorders>
            <w:vAlign w:val="center"/>
          </w:tcPr>
          <w:p>
            <w:pPr>
              <w:spacing w:line="360" w:lineRule="auto"/>
              <w:jc w:val="center"/>
              <w:rPr>
                <w:rFonts w:hint="eastAsia" w:ascii="宋体" w:hAnsi="宋体" w:eastAsia="宋体" w:cs="宋体"/>
                <w:color w:val="auto"/>
                <w:lang w:bidi="ar"/>
              </w:rPr>
            </w:pPr>
          </w:p>
        </w:tc>
        <w:tc>
          <w:tcPr>
            <w:tcW w:w="814"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szCs w:val="21"/>
                <w:lang w:bidi="ar"/>
              </w:rPr>
            </w:pPr>
            <w:r>
              <w:rPr>
                <w:rFonts w:hint="eastAsia" w:ascii="宋体" w:hAnsi="宋体" w:eastAsia="宋体" w:cs="宋体"/>
                <w:color w:val="auto"/>
                <w:kern w:val="0"/>
                <w:szCs w:val="21"/>
                <w:lang w:bidi="ar"/>
              </w:rPr>
              <w:t>3</w:t>
            </w:r>
          </w:p>
        </w:tc>
        <w:tc>
          <w:tcPr>
            <w:tcW w:w="1260"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szCs w:val="21"/>
                <w:lang w:bidi="ar"/>
              </w:rPr>
            </w:pPr>
            <w:r>
              <w:rPr>
                <w:rFonts w:hint="eastAsia" w:ascii="宋体" w:hAnsi="宋体" w:eastAsia="宋体" w:cs="宋体"/>
                <w:color w:val="auto"/>
                <w:kern w:val="0"/>
                <w:szCs w:val="21"/>
                <w:lang w:bidi="ar"/>
              </w:rPr>
              <w:t>南宁市城镇老旧小区改造工程西乡塘区第二片区项目</w:t>
            </w:r>
          </w:p>
        </w:tc>
        <w:tc>
          <w:tcPr>
            <w:tcW w:w="2605"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r>
              <w:rPr>
                <w:rFonts w:hint="eastAsia" w:ascii="宋体" w:hAnsi="宋体" w:eastAsia="宋体" w:cs="宋体"/>
                <w:color w:val="auto"/>
                <w:kern w:val="0"/>
                <w:szCs w:val="21"/>
              </w:rPr>
              <w:t>（大写）人民币</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元（小写：RMB</w:t>
            </w:r>
            <w:r>
              <w:rPr>
                <w:rFonts w:hint="eastAsia" w:ascii="宋体" w:hAnsi="宋体" w:eastAsia="宋体" w:cs="宋体"/>
                <w:color w:val="auto"/>
                <w:kern w:val="0"/>
                <w:szCs w:val="21"/>
                <w:u w:val="single"/>
              </w:rPr>
              <w:t xml:space="preserve">    元</w:t>
            </w:r>
            <w:r>
              <w:rPr>
                <w:rFonts w:hint="eastAsia" w:ascii="宋体" w:hAnsi="宋体" w:eastAsia="宋体" w:cs="宋体"/>
                <w:color w:val="auto"/>
                <w:kern w:val="0"/>
                <w:szCs w:val="21"/>
              </w:rPr>
              <w:t>），</w:t>
            </w:r>
          </w:p>
        </w:tc>
        <w:tc>
          <w:tcPr>
            <w:tcW w:w="2153"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r>
              <w:rPr>
                <w:rFonts w:hint="eastAsia" w:ascii="宋体" w:hAnsi="宋体" w:eastAsia="宋体" w:cs="宋体"/>
                <w:color w:val="auto"/>
                <w:kern w:val="0"/>
                <w:szCs w:val="21"/>
              </w:rPr>
              <w:t>（大写）人民币</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元（小写：RMB</w:t>
            </w:r>
            <w:r>
              <w:rPr>
                <w:rFonts w:hint="eastAsia" w:ascii="宋体" w:hAnsi="宋体" w:eastAsia="宋体" w:cs="宋体"/>
                <w:color w:val="auto"/>
                <w:kern w:val="0"/>
                <w:szCs w:val="21"/>
                <w:u w:val="single"/>
              </w:rPr>
              <w:t xml:space="preserve">    元</w:t>
            </w:r>
            <w:r>
              <w:rPr>
                <w:rFonts w:hint="eastAsia" w:ascii="宋体" w:hAnsi="宋体" w:eastAsia="宋体" w:cs="宋体"/>
                <w:color w:val="auto"/>
                <w:kern w:val="0"/>
                <w:szCs w:val="21"/>
              </w:rPr>
              <w:t>）</w:t>
            </w:r>
          </w:p>
        </w:tc>
        <w:tc>
          <w:tcPr>
            <w:tcW w:w="1305" w:type="dxa"/>
            <w:vMerge w:val="continue"/>
            <w:tcBorders>
              <w:left w:val="nil"/>
              <w:right w:val="single" w:color="auto" w:sz="4" w:space="0"/>
            </w:tcBorders>
            <w:vAlign w:val="center"/>
          </w:tcPr>
          <w:p>
            <w:pPr>
              <w:spacing w:line="360" w:lineRule="auto"/>
              <w:jc w:val="center"/>
              <w:rPr>
                <w:rFonts w:hint="eastAsia" w:ascii="宋体" w:hAnsi="宋体" w:eastAsia="宋体" w:cs="宋体"/>
                <w:color w:val="auto"/>
                <w:lang w:bidi="ar"/>
              </w:rPr>
            </w:pPr>
          </w:p>
        </w:tc>
        <w:tc>
          <w:tcPr>
            <w:tcW w:w="814"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szCs w:val="21"/>
                <w:lang w:bidi="ar"/>
              </w:rPr>
            </w:pPr>
            <w:r>
              <w:rPr>
                <w:rFonts w:hint="eastAsia" w:ascii="宋体" w:hAnsi="宋体" w:eastAsia="宋体" w:cs="宋体"/>
                <w:color w:val="auto"/>
                <w:kern w:val="0"/>
                <w:szCs w:val="21"/>
                <w:lang w:bidi="ar"/>
              </w:rPr>
              <w:t>4</w:t>
            </w:r>
          </w:p>
        </w:tc>
        <w:tc>
          <w:tcPr>
            <w:tcW w:w="1260"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szCs w:val="21"/>
                <w:lang w:bidi="ar"/>
              </w:rPr>
            </w:pPr>
            <w:r>
              <w:rPr>
                <w:rFonts w:hint="eastAsia" w:ascii="宋体" w:hAnsi="宋体" w:eastAsia="宋体" w:cs="宋体"/>
                <w:color w:val="auto"/>
                <w:kern w:val="0"/>
                <w:szCs w:val="21"/>
                <w:lang w:bidi="ar"/>
              </w:rPr>
              <w:t>南宁市城镇老旧小区改造工程兴宁区第二片区项目</w:t>
            </w:r>
          </w:p>
        </w:tc>
        <w:tc>
          <w:tcPr>
            <w:tcW w:w="2605"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r>
              <w:rPr>
                <w:rFonts w:hint="eastAsia" w:ascii="宋体" w:hAnsi="宋体" w:eastAsia="宋体" w:cs="宋体"/>
                <w:color w:val="auto"/>
                <w:kern w:val="0"/>
                <w:szCs w:val="21"/>
              </w:rPr>
              <w:t>（大写）人民币</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元（小写：RMB</w:t>
            </w:r>
            <w:r>
              <w:rPr>
                <w:rFonts w:hint="eastAsia" w:ascii="宋体" w:hAnsi="宋体" w:eastAsia="宋体" w:cs="宋体"/>
                <w:color w:val="auto"/>
                <w:kern w:val="0"/>
                <w:szCs w:val="21"/>
                <w:u w:val="single"/>
              </w:rPr>
              <w:t xml:space="preserve">    元</w:t>
            </w:r>
            <w:r>
              <w:rPr>
                <w:rFonts w:hint="eastAsia" w:ascii="宋体" w:hAnsi="宋体" w:eastAsia="宋体" w:cs="宋体"/>
                <w:color w:val="auto"/>
                <w:kern w:val="0"/>
                <w:szCs w:val="21"/>
              </w:rPr>
              <w:t>），</w:t>
            </w:r>
          </w:p>
        </w:tc>
        <w:tc>
          <w:tcPr>
            <w:tcW w:w="2153"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r>
              <w:rPr>
                <w:rFonts w:hint="eastAsia" w:ascii="宋体" w:hAnsi="宋体" w:eastAsia="宋体" w:cs="宋体"/>
                <w:color w:val="auto"/>
                <w:kern w:val="0"/>
                <w:szCs w:val="21"/>
              </w:rPr>
              <w:t>（大写）人民币</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元（小写：RMB</w:t>
            </w:r>
            <w:r>
              <w:rPr>
                <w:rFonts w:hint="eastAsia" w:ascii="宋体" w:hAnsi="宋体" w:eastAsia="宋体" w:cs="宋体"/>
                <w:color w:val="auto"/>
                <w:kern w:val="0"/>
                <w:szCs w:val="21"/>
                <w:u w:val="single"/>
              </w:rPr>
              <w:t xml:space="preserve">    元</w:t>
            </w:r>
            <w:r>
              <w:rPr>
                <w:rFonts w:hint="eastAsia" w:ascii="宋体" w:hAnsi="宋体" w:eastAsia="宋体" w:cs="宋体"/>
                <w:color w:val="auto"/>
                <w:kern w:val="0"/>
                <w:szCs w:val="21"/>
              </w:rPr>
              <w:t>）</w:t>
            </w:r>
          </w:p>
        </w:tc>
        <w:tc>
          <w:tcPr>
            <w:tcW w:w="1305" w:type="dxa"/>
            <w:vMerge w:val="continue"/>
            <w:tcBorders>
              <w:left w:val="nil"/>
              <w:right w:val="single" w:color="auto" w:sz="4" w:space="0"/>
            </w:tcBorders>
            <w:vAlign w:val="center"/>
          </w:tcPr>
          <w:p>
            <w:pPr>
              <w:spacing w:line="360" w:lineRule="auto"/>
              <w:jc w:val="center"/>
              <w:rPr>
                <w:rFonts w:hint="eastAsia" w:ascii="宋体" w:hAnsi="宋体" w:eastAsia="宋体" w:cs="宋体"/>
                <w:color w:val="auto"/>
                <w:lang w:bidi="ar"/>
              </w:rPr>
            </w:pPr>
          </w:p>
        </w:tc>
        <w:tc>
          <w:tcPr>
            <w:tcW w:w="814"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szCs w:val="21"/>
                <w:lang w:bidi="ar"/>
              </w:rPr>
            </w:pPr>
            <w:r>
              <w:rPr>
                <w:rFonts w:hint="eastAsia" w:ascii="宋体" w:hAnsi="宋体" w:eastAsia="宋体" w:cs="宋体"/>
                <w:color w:val="auto"/>
                <w:kern w:val="0"/>
                <w:szCs w:val="21"/>
                <w:lang w:bidi="ar"/>
              </w:rPr>
              <w:t>5</w:t>
            </w:r>
          </w:p>
        </w:tc>
        <w:tc>
          <w:tcPr>
            <w:tcW w:w="1260"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szCs w:val="21"/>
                <w:lang w:bidi="ar"/>
              </w:rPr>
            </w:pPr>
            <w:r>
              <w:rPr>
                <w:rFonts w:hint="eastAsia" w:ascii="宋体" w:hAnsi="宋体" w:eastAsia="宋体" w:cs="宋体"/>
                <w:color w:val="auto"/>
                <w:kern w:val="0"/>
                <w:szCs w:val="21"/>
                <w:lang w:bidi="ar"/>
              </w:rPr>
              <w:t>南宁市城镇老旧小区改造工程青秀区第一片区项目</w:t>
            </w:r>
          </w:p>
        </w:tc>
        <w:tc>
          <w:tcPr>
            <w:tcW w:w="2605"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r>
              <w:rPr>
                <w:rFonts w:hint="eastAsia" w:ascii="宋体" w:hAnsi="宋体" w:eastAsia="宋体" w:cs="宋体"/>
                <w:color w:val="auto"/>
                <w:kern w:val="0"/>
                <w:szCs w:val="21"/>
              </w:rPr>
              <w:t>（大写）人民币</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元（小写：RMB</w:t>
            </w:r>
            <w:r>
              <w:rPr>
                <w:rFonts w:hint="eastAsia" w:ascii="宋体" w:hAnsi="宋体" w:eastAsia="宋体" w:cs="宋体"/>
                <w:color w:val="auto"/>
                <w:kern w:val="0"/>
                <w:szCs w:val="21"/>
                <w:u w:val="single"/>
              </w:rPr>
              <w:t xml:space="preserve">    元</w:t>
            </w:r>
            <w:r>
              <w:rPr>
                <w:rFonts w:hint="eastAsia" w:ascii="宋体" w:hAnsi="宋体" w:eastAsia="宋体" w:cs="宋体"/>
                <w:color w:val="auto"/>
                <w:kern w:val="0"/>
                <w:szCs w:val="21"/>
              </w:rPr>
              <w:t>），</w:t>
            </w:r>
          </w:p>
        </w:tc>
        <w:tc>
          <w:tcPr>
            <w:tcW w:w="2153"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r>
              <w:rPr>
                <w:rFonts w:hint="eastAsia" w:ascii="宋体" w:hAnsi="宋体" w:eastAsia="宋体" w:cs="宋体"/>
                <w:color w:val="auto"/>
                <w:kern w:val="0"/>
                <w:szCs w:val="21"/>
              </w:rPr>
              <w:t>（大写）人民币</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元（小写：RMB</w:t>
            </w:r>
            <w:r>
              <w:rPr>
                <w:rFonts w:hint="eastAsia" w:ascii="宋体" w:hAnsi="宋体" w:eastAsia="宋体" w:cs="宋体"/>
                <w:color w:val="auto"/>
                <w:kern w:val="0"/>
                <w:szCs w:val="21"/>
                <w:u w:val="single"/>
              </w:rPr>
              <w:t xml:space="preserve">    元</w:t>
            </w:r>
            <w:r>
              <w:rPr>
                <w:rFonts w:hint="eastAsia" w:ascii="宋体" w:hAnsi="宋体" w:eastAsia="宋体" w:cs="宋体"/>
                <w:color w:val="auto"/>
                <w:kern w:val="0"/>
                <w:szCs w:val="21"/>
              </w:rPr>
              <w:t>）</w:t>
            </w:r>
          </w:p>
        </w:tc>
        <w:tc>
          <w:tcPr>
            <w:tcW w:w="1305" w:type="dxa"/>
            <w:vMerge w:val="continue"/>
            <w:tcBorders>
              <w:left w:val="nil"/>
              <w:right w:val="single" w:color="auto" w:sz="4" w:space="0"/>
            </w:tcBorders>
            <w:vAlign w:val="center"/>
          </w:tcPr>
          <w:p>
            <w:pPr>
              <w:spacing w:line="360" w:lineRule="auto"/>
              <w:jc w:val="center"/>
              <w:rPr>
                <w:rFonts w:hint="eastAsia" w:ascii="宋体" w:hAnsi="宋体" w:eastAsia="宋体" w:cs="宋体"/>
                <w:color w:val="auto"/>
                <w:lang w:bidi="ar"/>
              </w:rPr>
            </w:pPr>
          </w:p>
        </w:tc>
        <w:tc>
          <w:tcPr>
            <w:tcW w:w="814"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szCs w:val="21"/>
                <w:lang w:bidi="ar"/>
              </w:rPr>
            </w:pPr>
            <w:r>
              <w:rPr>
                <w:rFonts w:hint="eastAsia" w:ascii="宋体" w:hAnsi="宋体" w:eastAsia="宋体" w:cs="宋体"/>
                <w:color w:val="auto"/>
                <w:kern w:val="0"/>
                <w:szCs w:val="21"/>
                <w:lang w:bidi="ar"/>
              </w:rPr>
              <w:t>6</w:t>
            </w:r>
          </w:p>
        </w:tc>
        <w:tc>
          <w:tcPr>
            <w:tcW w:w="1260"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szCs w:val="21"/>
                <w:lang w:bidi="ar"/>
              </w:rPr>
            </w:pPr>
            <w:r>
              <w:rPr>
                <w:rFonts w:hint="eastAsia" w:ascii="宋体" w:hAnsi="宋体" w:eastAsia="宋体" w:cs="宋体"/>
                <w:color w:val="auto"/>
                <w:kern w:val="0"/>
                <w:szCs w:val="21"/>
                <w:lang w:bidi="ar"/>
              </w:rPr>
              <w:t>南宁市城镇老旧小区改造工程青秀区第二片区项目</w:t>
            </w:r>
          </w:p>
        </w:tc>
        <w:tc>
          <w:tcPr>
            <w:tcW w:w="2605"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r>
              <w:rPr>
                <w:rFonts w:hint="eastAsia" w:ascii="宋体" w:hAnsi="宋体" w:eastAsia="宋体" w:cs="宋体"/>
                <w:color w:val="auto"/>
                <w:kern w:val="0"/>
                <w:szCs w:val="21"/>
              </w:rPr>
              <w:t>（大写）人民币</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元（小写：RMB</w:t>
            </w:r>
            <w:r>
              <w:rPr>
                <w:rFonts w:hint="eastAsia" w:ascii="宋体" w:hAnsi="宋体" w:eastAsia="宋体" w:cs="宋体"/>
                <w:color w:val="auto"/>
                <w:kern w:val="0"/>
                <w:szCs w:val="21"/>
                <w:u w:val="single"/>
              </w:rPr>
              <w:t xml:space="preserve">    元</w:t>
            </w:r>
            <w:r>
              <w:rPr>
                <w:rFonts w:hint="eastAsia" w:ascii="宋体" w:hAnsi="宋体" w:eastAsia="宋体" w:cs="宋体"/>
                <w:color w:val="auto"/>
                <w:kern w:val="0"/>
                <w:szCs w:val="21"/>
              </w:rPr>
              <w:t>），</w:t>
            </w:r>
          </w:p>
        </w:tc>
        <w:tc>
          <w:tcPr>
            <w:tcW w:w="2153"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r>
              <w:rPr>
                <w:rFonts w:hint="eastAsia" w:ascii="宋体" w:hAnsi="宋体" w:eastAsia="宋体" w:cs="宋体"/>
                <w:color w:val="auto"/>
                <w:kern w:val="0"/>
                <w:szCs w:val="21"/>
              </w:rPr>
              <w:t>（大写）人民币</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元（小写：RMB</w:t>
            </w:r>
            <w:r>
              <w:rPr>
                <w:rFonts w:hint="eastAsia" w:ascii="宋体" w:hAnsi="宋体" w:eastAsia="宋体" w:cs="宋体"/>
                <w:color w:val="auto"/>
                <w:kern w:val="0"/>
                <w:szCs w:val="21"/>
                <w:u w:val="single"/>
              </w:rPr>
              <w:t xml:space="preserve">    元</w:t>
            </w:r>
            <w:r>
              <w:rPr>
                <w:rFonts w:hint="eastAsia" w:ascii="宋体" w:hAnsi="宋体" w:eastAsia="宋体" w:cs="宋体"/>
                <w:color w:val="auto"/>
                <w:kern w:val="0"/>
                <w:szCs w:val="21"/>
              </w:rPr>
              <w:t>）</w:t>
            </w:r>
          </w:p>
        </w:tc>
        <w:tc>
          <w:tcPr>
            <w:tcW w:w="1305" w:type="dxa"/>
            <w:vMerge w:val="continue"/>
            <w:tcBorders>
              <w:left w:val="nil"/>
              <w:right w:val="single" w:color="auto" w:sz="4" w:space="0"/>
            </w:tcBorders>
            <w:vAlign w:val="center"/>
          </w:tcPr>
          <w:p>
            <w:pPr>
              <w:spacing w:line="360" w:lineRule="auto"/>
              <w:jc w:val="center"/>
              <w:rPr>
                <w:rFonts w:hint="eastAsia" w:ascii="宋体" w:hAnsi="宋体" w:eastAsia="宋体" w:cs="宋体"/>
                <w:color w:val="auto"/>
                <w:lang w:bidi="ar"/>
              </w:rPr>
            </w:pPr>
          </w:p>
        </w:tc>
        <w:tc>
          <w:tcPr>
            <w:tcW w:w="814"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7</w:t>
            </w:r>
          </w:p>
        </w:tc>
        <w:tc>
          <w:tcPr>
            <w:tcW w:w="1260"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南宁市城镇老旧小区改造工程（三期）</w:t>
            </w:r>
          </w:p>
        </w:tc>
        <w:tc>
          <w:tcPr>
            <w:tcW w:w="2605"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r>
              <w:rPr>
                <w:rFonts w:hint="eastAsia" w:ascii="宋体" w:hAnsi="宋体" w:eastAsia="宋体" w:cs="宋体"/>
                <w:color w:val="auto"/>
                <w:kern w:val="0"/>
                <w:szCs w:val="21"/>
              </w:rPr>
              <w:t>（大写）人民币</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元（小写：RMB</w:t>
            </w:r>
            <w:r>
              <w:rPr>
                <w:rFonts w:hint="eastAsia" w:ascii="宋体" w:hAnsi="宋体" w:eastAsia="宋体" w:cs="宋体"/>
                <w:color w:val="auto"/>
                <w:kern w:val="0"/>
                <w:szCs w:val="21"/>
                <w:u w:val="single"/>
              </w:rPr>
              <w:t xml:space="preserve">    元</w:t>
            </w:r>
            <w:r>
              <w:rPr>
                <w:rFonts w:hint="eastAsia" w:ascii="宋体" w:hAnsi="宋体" w:eastAsia="宋体" w:cs="宋体"/>
                <w:color w:val="auto"/>
                <w:kern w:val="0"/>
                <w:szCs w:val="21"/>
              </w:rPr>
              <w:t>），</w:t>
            </w:r>
          </w:p>
        </w:tc>
        <w:tc>
          <w:tcPr>
            <w:tcW w:w="2153"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r>
              <w:rPr>
                <w:rFonts w:hint="eastAsia" w:ascii="宋体" w:hAnsi="宋体" w:eastAsia="宋体" w:cs="宋体"/>
                <w:color w:val="auto"/>
                <w:kern w:val="0"/>
                <w:szCs w:val="21"/>
              </w:rPr>
              <w:t>（大写）人民币</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元（小写：RMB</w:t>
            </w:r>
            <w:r>
              <w:rPr>
                <w:rFonts w:hint="eastAsia" w:ascii="宋体" w:hAnsi="宋体" w:eastAsia="宋体" w:cs="宋体"/>
                <w:color w:val="auto"/>
                <w:kern w:val="0"/>
                <w:szCs w:val="21"/>
                <w:u w:val="single"/>
              </w:rPr>
              <w:t xml:space="preserve">    元</w:t>
            </w:r>
            <w:r>
              <w:rPr>
                <w:rFonts w:hint="eastAsia" w:ascii="宋体" w:hAnsi="宋体" w:eastAsia="宋体" w:cs="宋体"/>
                <w:color w:val="auto"/>
                <w:kern w:val="0"/>
                <w:szCs w:val="21"/>
              </w:rPr>
              <w:t>）</w:t>
            </w:r>
          </w:p>
        </w:tc>
        <w:tc>
          <w:tcPr>
            <w:tcW w:w="1305" w:type="dxa"/>
            <w:vMerge w:val="continue"/>
            <w:tcBorders>
              <w:left w:val="nil"/>
              <w:bottom w:val="single" w:color="auto" w:sz="4" w:space="0"/>
              <w:right w:val="single" w:color="auto" w:sz="4" w:space="0"/>
            </w:tcBorders>
            <w:vAlign w:val="center"/>
          </w:tcPr>
          <w:p>
            <w:pPr>
              <w:spacing w:line="360" w:lineRule="auto"/>
              <w:jc w:val="center"/>
              <w:rPr>
                <w:rFonts w:hint="eastAsia" w:ascii="宋体" w:hAnsi="宋体" w:eastAsia="宋体" w:cs="宋体"/>
                <w:color w:val="auto"/>
                <w:lang w:bidi="ar"/>
              </w:rPr>
            </w:pPr>
          </w:p>
        </w:tc>
        <w:tc>
          <w:tcPr>
            <w:tcW w:w="814"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197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合计</w:t>
            </w:r>
          </w:p>
        </w:tc>
        <w:tc>
          <w:tcPr>
            <w:tcW w:w="2605"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r>
              <w:rPr>
                <w:rFonts w:hint="eastAsia" w:ascii="宋体" w:hAnsi="宋体" w:eastAsia="宋体" w:cs="宋体"/>
                <w:color w:val="auto"/>
                <w:kern w:val="0"/>
                <w:szCs w:val="21"/>
              </w:rPr>
              <w:t>（大写）人民币</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元（小写：RMB</w:t>
            </w:r>
            <w:r>
              <w:rPr>
                <w:rFonts w:hint="eastAsia" w:ascii="宋体" w:hAnsi="宋体" w:eastAsia="宋体" w:cs="宋体"/>
                <w:color w:val="auto"/>
                <w:kern w:val="0"/>
                <w:szCs w:val="21"/>
                <w:u w:val="single"/>
              </w:rPr>
              <w:t xml:space="preserve">    元</w:t>
            </w:r>
            <w:r>
              <w:rPr>
                <w:rFonts w:hint="eastAsia" w:ascii="宋体" w:hAnsi="宋体" w:eastAsia="宋体" w:cs="宋体"/>
                <w:color w:val="auto"/>
                <w:kern w:val="0"/>
                <w:szCs w:val="21"/>
              </w:rPr>
              <w:t>），</w:t>
            </w:r>
          </w:p>
        </w:tc>
        <w:tc>
          <w:tcPr>
            <w:tcW w:w="2153"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r>
              <w:rPr>
                <w:rFonts w:hint="eastAsia" w:ascii="宋体" w:hAnsi="宋体" w:eastAsia="宋体" w:cs="宋体"/>
                <w:color w:val="auto"/>
                <w:kern w:val="0"/>
                <w:szCs w:val="21"/>
              </w:rPr>
              <w:t>（大写）人民币</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元（小写：RMB</w:t>
            </w:r>
            <w:r>
              <w:rPr>
                <w:rFonts w:hint="eastAsia" w:ascii="宋体" w:hAnsi="宋体" w:eastAsia="宋体" w:cs="宋体"/>
                <w:color w:val="auto"/>
                <w:kern w:val="0"/>
                <w:szCs w:val="21"/>
                <w:u w:val="single"/>
              </w:rPr>
              <w:t xml:space="preserve">    元</w:t>
            </w:r>
            <w:r>
              <w:rPr>
                <w:rFonts w:hint="eastAsia" w:ascii="宋体" w:hAnsi="宋体" w:eastAsia="宋体" w:cs="宋体"/>
                <w:color w:val="auto"/>
                <w:kern w:val="0"/>
                <w:szCs w:val="21"/>
              </w:rPr>
              <w:t>）</w:t>
            </w:r>
          </w:p>
        </w:tc>
        <w:tc>
          <w:tcPr>
            <w:tcW w:w="130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color w:val="auto"/>
                <w:lang w:bidi="ar"/>
              </w:rPr>
            </w:pPr>
            <w:r>
              <w:rPr>
                <w:rFonts w:hint="eastAsia" w:ascii="宋体" w:hAnsi="宋体" w:eastAsia="宋体" w:cs="宋体"/>
                <w:color w:val="auto"/>
                <w:lang w:bidi="ar"/>
              </w:rPr>
              <w:t>%</w:t>
            </w:r>
          </w:p>
        </w:tc>
        <w:tc>
          <w:tcPr>
            <w:tcW w:w="814"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lang w:bidi="ar"/>
              </w:rPr>
            </w:pPr>
          </w:p>
        </w:tc>
      </w:tr>
    </w:tbl>
    <w:p>
      <w:pPr>
        <w:spacing w:line="360" w:lineRule="auto"/>
        <w:rPr>
          <w:rStyle w:val="39"/>
          <w:rFonts w:hint="eastAsia" w:ascii="宋体" w:hAnsi="宋体" w:eastAsia="宋体" w:cs="宋体"/>
          <w:color w:val="auto"/>
          <w:sz w:val="24"/>
        </w:rPr>
      </w:pPr>
    </w:p>
    <w:p>
      <w:pPr>
        <w:spacing w:line="360" w:lineRule="auto"/>
        <w:rPr>
          <w:rStyle w:val="39"/>
          <w:rFonts w:hint="eastAsia" w:ascii="宋体" w:hAnsi="宋体" w:eastAsia="宋体" w:cs="宋体"/>
          <w:color w:val="auto"/>
          <w:sz w:val="24"/>
        </w:rPr>
      </w:pPr>
      <w:r>
        <w:rPr>
          <w:rStyle w:val="39"/>
          <w:rFonts w:hint="eastAsia" w:ascii="宋体" w:hAnsi="宋体" w:eastAsia="宋体" w:cs="宋体"/>
          <w:color w:val="auto"/>
          <w:sz w:val="24"/>
        </w:rPr>
        <w:t>注：</w:t>
      </w:r>
    </w:p>
    <w:p>
      <w:pPr>
        <w:spacing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（1）除以上必须的报价构成，更细分的部分由投标人自行提出。</w:t>
      </w:r>
    </w:p>
    <w:p>
      <w:pPr>
        <w:spacing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（2）以上报价均含按相关法律法规应缴纳的税金。</w:t>
      </w:r>
    </w:p>
    <w:p>
      <w:pPr>
        <w:spacing w:line="360" w:lineRule="auto"/>
        <w:ind w:firstLine="480" w:firstLineChars="200"/>
        <w:rPr>
          <w:rStyle w:val="39"/>
          <w:rFonts w:hint="eastAsia" w:ascii="宋体" w:hAnsi="宋体" w:eastAsia="宋体" w:cs="宋体"/>
          <w:color w:val="auto"/>
          <w:sz w:val="24"/>
        </w:rPr>
      </w:pPr>
      <w:r>
        <w:rPr>
          <w:rStyle w:val="39"/>
          <w:rFonts w:hint="eastAsia" w:ascii="宋体" w:hAnsi="宋体" w:eastAsia="宋体" w:cs="宋体"/>
          <w:color w:val="auto"/>
          <w:sz w:val="24"/>
        </w:rPr>
        <w:t>（3）投标人须结合第四评分细则和第二章采购需求中的报价内容及上控价进行报价。</w:t>
      </w:r>
    </w:p>
    <w:p>
      <w:pPr>
        <w:spacing w:line="600" w:lineRule="exact"/>
        <w:rPr>
          <w:rStyle w:val="39"/>
          <w:rFonts w:hint="eastAsia" w:ascii="宋体" w:hAnsi="宋体" w:eastAsia="宋体" w:cs="宋体"/>
          <w:color w:val="auto"/>
          <w:sz w:val="24"/>
        </w:rPr>
      </w:pPr>
    </w:p>
    <w:p>
      <w:pPr>
        <w:spacing w:line="600" w:lineRule="exact"/>
        <w:jc w:val="right"/>
        <w:rPr>
          <w:rFonts w:hint="eastAsia" w:ascii="宋体" w:hAnsi="宋体" w:eastAsia="宋体" w:cs="宋体"/>
          <w:color w:val="auto"/>
          <w:sz w:val="24"/>
          <w:u w:val="single"/>
          <w:lang w:val="zh-CN"/>
        </w:rPr>
      </w:pPr>
      <w:r>
        <w:rPr>
          <w:rFonts w:hint="eastAsia" w:ascii="宋体" w:hAnsi="宋体" w:eastAsia="宋体" w:cs="宋体"/>
          <w:color w:val="auto"/>
          <w:sz w:val="24"/>
          <w:lang w:val="zh-CN"/>
        </w:rPr>
        <w:t>独立投标人或联合体牵头方：</w:t>
      </w:r>
      <w:r>
        <w:rPr>
          <w:rFonts w:hint="eastAsia" w:ascii="宋体" w:hAnsi="宋体" w:eastAsia="宋体" w:cs="宋体"/>
          <w:color w:val="auto"/>
          <w:sz w:val="24"/>
        </w:rPr>
        <w:t>（盖单位公章）</w:t>
      </w:r>
    </w:p>
    <w:p>
      <w:pPr>
        <w:spacing w:line="500" w:lineRule="exact"/>
        <w:jc w:val="right"/>
        <w:rPr>
          <w:rFonts w:hint="eastAsia" w:ascii="宋体" w:hAnsi="宋体" w:eastAsia="宋体" w:cs="宋体"/>
          <w:color w:val="auto"/>
          <w:sz w:val="24"/>
          <w:u w:val="single"/>
          <w:lang w:val="zh-CN"/>
        </w:rPr>
      </w:pPr>
      <w:r>
        <w:rPr>
          <w:rFonts w:hint="eastAsia" w:ascii="宋体" w:hAnsi="宋体" w:eastAsia="宋体" w:cs="宋体"/>
          <w:color w:val="auto"/>
          <w:sz w:val="24"/>
          <w:lang w:val="zh-CN"/>
        </w:rPr>
        <w:t>法定代表人或其委托代理人：</w:t>
      </w:r>
      <w:r>
        <w:rPr>
          <w:rFonts w:hint="eastAsia" w:ascii="宋体" w:hAnsi="宋体" w:eastAsia="宋体" w:cs="宋体"/>
          <w:color w:val="auto"/>
          <w:sz w:val="24"/>
        </w:rPr>
        <w:t>（签字或盖章）</w:t>
      </w:r>
    </w:p>
    <w:p>
      <w:pPr>
        <w:topLinePunct/>
        <w:snapToGrid w:val="0"/>
        <w:spacing w:line="276" w:lineRule="auto"/>
        <w:ind w:firstLine="480" w:firstLineChars="200"/>
        <w:jc w:val="right"/>
        <w:rPr>
          <w:rFonts w:hint="eastAsia" w:ascii="宋体" w:hAnsi="宋体" w:eastAsia="宋体" w:cs="宋体"/>
          <w:bCs/>
          <w:color w:val="auto"/>
          <w:sz w:val="24"/>
        </w:rPr>
      </w:pPr>
      <w:r>
        <w:rPr>
          <w:rFonts w:hint="eastAsia" w:ascii="宋体" w:hAnsi="宋体" w:eastAsia="宋体" w:cs="宋体"/>
          <w:bCs/>
          <w:color w:val="auto"/>
          <w:sz w:val="24"/>
        </w:rPr>
        <w:t>年月日</w:t>
      </w:r>
    </w:p>
    <w:p>
      <w:pPr>
        <w:spacing w:line="500" w:lineRule="exact"/>
        <w:rPr>
          <w:rStyle w:val="39"/>
          <w:rFonts w:hint="eastAsia" w:ascii="宋体" w:hAnsi="宋体" w:eastAsia="宋体" w:cs="宋体"/>
          <w:color w:val="auto"/>
          <w:sz w:val="24"/>
        </w:rPr>
      </w:pPr>
    </w:p>
    <w:p>
      <w:pPr>
        <w:snapToGrid w:val="0"/>
        <w:spacing w:line="360" w:lineRule="auto"/>
        <w:ind w:firstLine="480" w:firstLineChars="200"/>
        <w:rPr>
          <w:rStyle w:val="39"/>
          <w:rFonts w:hint="eastAsia" w:ascii="宋体" w:hAnsi="宋体" w:eastAsia="宋体" w:cs="宋体"/>
          <w:color w:val="auto"/>
          <w:sz w:val="24"/>
        </w:rPr>
      </w:pPr>
    </w:p>
    <w:p>
      <w:pPr>
        <w:spacing w:before="60" w:after="60" w:line="360" w:lineRule="auto"/>
        <w:ind w:firstLine="480" w:firstLineChars="200"/>
        <w:rPr>
          <w:rStyle w:val="39"/>
          <w:rFonts w:hint="eastAsia" w:ascii="宋体" w:hAnsi="宋体" w:eastAsia="宋体" w:cs="宋体"/>
          <w:color w:val="auto"/>
          <w:sz w:val="24"/>
        </w:rPr>
      </w:pPr>
    </w:p>
    <w:p>
      <w:pPr>
        <w:spacing w:beforeAutospacing="1" w:afterAutospacing="1"/>
        <w:jc w:val="left"/>
        <w:rPr>
          <w:rStyle w:val="39"/>
          <w:rFonts w:hint="eastAsia" w:ascii="宋体" w:hAnsi="宋体" w:eastAsia="宋体" w:cs="宋体"/>
          <w:color w:val="auto"/>
          <w:kern w:val="0"/>
          <w:sz w:val="24"/>
        </w:rPr>
        <w:sectPr>
          <w:pgSz w:w="11906" w:h="16838"/>
          <w:pgMar w:top="1134" w:right="1418" w:bottom="1134" w:left="1418" w:header="851" w:footer="850" w:gutter="0"/>
          <w:cols w:space="720" w:num="1"/>
        </w:sectPr>
      </w:pPr>
    </w:p>
    <w:p>
      <w:pPr>
        <w:pStyle w:val="5"/>
        <w:jc w:val="left"/>
        <w:rPr>
          <w:rStyle w:val="39"/>
          <w:rFonts w:hint="eastAsia" w:ascii="宋体" w:hAnsi="宋体" w:eastAsia="宋体" w:cs="宋体"/>
          <w:color w:val="auto"/>
          <w:sz w:val="24"/>
          <w:szCs w:val="24"/>
        </w:rPr>
      </w:pPr>
      <w:bookmarkStart w:id="329" w:name="_Toc16086"/>
      <w:bookmarkStart w:id="330" w:name="_Toc24906"/>
      <w:bookmarkStart w:id="331" w:name="_Toc54622569"/>
      <w:r>
        <w:rPr>
          <w:rStyle w:val="39"/>
          <w:rFonts w:hint="eastAsia" w:ascii="宋体" w:hAnsi="宋体" w:eastAsia="宋体" w:cs="宋体"/>
          <w:color w:val="auto"/>
          <w:sz w:val="24"/>
          <w:szCs w:val="24"/>
        </w:rPr>
        <w:t>商务文件</w:t>
      </w:r>
      <w:bookmarkEnd w:id="329"/>
      <w:bookmarkEnd w:id="330"/>
    </w:p>
    <w:p>
      <w:pPr>
        <w:pStyle w:val="5"/>
        <w:rPr>
          <w:rStyle w:val="39"/>
          <w:rFonts w:hint="eastAsia" w:ascii="宋体" w:hAnsi="宋体" w:eastAsia="宋体" w:cs="宋体"/>
          <w:color w:val="auto"/>
        </w:rPr>
      </w:pPr>
      <w:bookmarkStart w:id="332" w:name="_Toc29022"/>
      <w:bookmarkStart w:id="333" w:name="_Toc11156"/>
      <w:r>
        <w:rPr>
          <w:rStyle w:val="39"/>
          <w:rFonts w:hint="eastAsia" w:ascii="宋体" w:hAnsi="宋体" w:eastAsia="宋体" w:cs="宋体"/>
          <w:color w:val="auto"/>
        </w:rPr>
        <w:t>一、资格条件确认函</w:t>
      </w:r>
      <w:bookmarkEnd w:id="331"/>
      <w:bookmarkEnd w:id="332"/>
      <w:bookmarkEnd w:id="333"/>
    </w:p>
    <w:p>
      <w:pPr>
        <w:rPr>
          <w:rFonts w:hint="eastAsia" w:ascii="宋体" w:hAnsi="宋体" w:eastAsia="宋体" w:cs="宋体"/>
          <w:color w:val="auto"/>
        </w:rPr>
      </w:pPr>
    </w:p>
    <w:p>
      <w:pPr>
        <w:jc w:val="center"/>
        <w:rPr>
          <w:rStyle w:val="39"/>
          <w:rFonts w:hint="eastAsia" w:ascii="宋体" w:hAnsi="宋体" w:eastAsia="宋体" w:cs="宋体"/>
          <w:b/>
          <w:color w:val="auto"/>
          <w:sz w:val="28"/>
          <w:szCs w:val="28"/>
        </w:rPr>
      </w:pPr>
    </w:p>
    <w:p>
      <w:pPr>
        <w:spacing w:before="60"/>
        <w:jc w:val="left"/>
        <w:rPr>
          <w:rStyle w:val="39"/>
          <w:rFonts w:hint="eastAsia" w:ascii="宋体" w:hAnsi="宋体" w:eastAsia="宋体" w:cs="宋体"/>
          <w:b/>
          <w:color w:val="auto"/>
          <w:sz w:val="28"/>
          <w:szCs w:val="28"/>
        </w:rPr>
      </w:pPr>
    </w:p>
    <w:p>
      <w:pPr>
        <w:pStyle w:val="41"/>
        <w:ind w:firstLine="0" w:firstLineChars="0"/>
        <w:rPr>
          <w:rStyle w:val="39"/>
          <w:rFonts w:hint="eastAsia" w:ascii="宋体" w:hAnsi="宋体" w:eastAsia="宋体" w:cs="宋体"/>
          <w:color w:val="auto"/>
          <w:sz w:val="24"/>
          <w:szCs w:val="24"/>
        </w:rPr>
      </w:pPr>
      <w:r>
        <w:rPr>
          <w:rStyle w:val="39"/>
          <w:rFonts w:hint="eastAsia" w:ascii="宋体" w:hAnsi="宋体" w:eastAsia="宋体" w:cs="宋体"/>
          <w:color w:val="auto"/>
          <w:sz w:val="24"/>
          <w:szCs w:val="24"/>
        </w:rPr>
        <w:t>南宁市保障住房建设管理服务中心：</w:t>
      </w:r>
    </w:p>
    <w:p>
      <w:pPr>
        <w:pStyle w:val="41"/>
        <w:ind w:firstLine="566" w:firstLineChars="236"/>
        <w:rPr>
          <w:rStyle w:val="39"/>
          <w:rFonts w:hint="eastAsia" w:ascii="宋体" w:hAnsi="宋体" w:eastAsia="宋体" w:cs="宋体"/>
          <w:color w:val="auto"/>
          <w:sz w:val="24"/>
          <w:szCs w:val="24"/>
        </w:rPr>
      </w:pPr>
      <w:r>
        <w:rPr>
          <w:rStyle w:val="39"/>
          <w:rFonts w:hint="eastAsia" w:ascii="宋体" w:hAnsi="宋体" w:eastAsia="宋体" w:cs="宋体"/>
          <w:color w:val="auto"/>
          <w:sz w:val="24"/>
          <w:szCs w:val="24"/>
        </w:rPr>
        <w:t>自资格预审通过之日至投标截止日，我公司仍完全符合资格预审公告规定的所有资格条件要求，特此确认！如有不实，我公司愿意承担由此引起的一切后果。（如果投标人资格条件相比较资格预审通过之时有任何变化的，请在此一并说明）</w:t>
      </w:r>
    </w:p>
    <w:p>
      <w:pPr>
        <w:pStyle w:val="41"/>
        <w:ind w:firstLineChars="0"/>
        <w:rPr>
          <w:rStyle w:val="39"/>
          <w:rFonts w:hint="eastAsia" w:ascii="宋体" w:hAnsi="宋体" w:eastAsia="宋体" w:cs="宋体"/>
          <w:color w:val="auto"/>
          <w:sz w:val="24"/>
          <w:szCs w:val="24"/>
        </w:rPr>
      </w:pPr>
    </w:p>
    <w:p>
      <w:pPr>
        <w:spacing w:line="600" w:lineRule="exact"/>
        <w:ind w:firstLine="480" w:firstLineChars="200"/>
        <w:jc w:val="both"/>
        <w:rPr>
          <w:rFonts w:hint="eastAsia" w:ascii="宋体" w:hAnsi="宋体" w:eastAsia="宋体" w:cs="宋体"/>
          <w:color w:val="auto"/>
          <w:sz w:val="24"/>
          <w:u w:val="single"/>
          <w:lang w:val="zh-CN"/>
        </w:rPr>
      </w:pPr>
      <w:r>
        <w:rPr>
          <w:rFonts w:hint="eastAsia" w:ascii="宋体" w:hAnsi="宋体" w:eastAsia="宋体" w:cs="宋体"/>
          <w:color w:val="auto"/>
          <w:sz w:val="24"/>
          <w:lang w:val="zh-CN"/>
        </w:rPr>
        <w:t>独立投标人或联合体牵头方：</w:t>
      </w:r>
      <w:r>
        <w:rPr>
          <w:rFonts w:hint="eastAsia" w:ascii="宋体" w:hAnsi="宋体" w:eastAsia="宋体" w:cs="宋体"/>
          <w:color w:val="auto"/>
          <w:sz w:val="24"/>
        </w:rPr>
        <w:t>（盖单位公章）</w:t>
      </w:r>
    </w:p>
    <w:p>
      <w:pPr>
        <w:pStyle w:val="41"/>
        <w:ind w:firstLine="480"/>
        <w:rPr>
          <w:rStyle w:val="39"/>
          <w:rFonts w:hint="eastAsia" w:ascii="宋体" w:hAnsi="宋体" w:eastAsia="宋体" w:cs="宋体"/>
          <w:color w:val="auto"/>
          <w:sz w:val="24"/>
          <w:szCs w:val="24"/>
        </w:rPr>
      </w:pPr>
      <w:r>
        <w:rPr>
          <w:rFonts w:hint="eastAsia" w:ascii="宋体" w:hAnsi="宋体" w:eastAsia="宋体" w:cs="宋体"/>
          <w:color w:val="auto"/>
          <w:sz w:val="24"/>
          <w:lang w:val="zh-CN"/>
        </w:rPr>
        <w:t>法定代表人或其委托代理人：</w:t>
      </w:r>
      <w:r>
        <w:rPr>
          <w:rFonts w:hint="eastAsia" w:ascii="宋体" w:hAnsi="宋体" w:eastAsia="宋体" w:cs="宋体"/>
          <w:color w:val="auto"/>
          <w:sz w:val="24"/>
        </w:rPr>
        <w:t>（签字或盖章）</w:t>
      </w:r>
    </w:p>
    <w:p>
      <w:pPr>
        <w:pStyle w:val="41"/>
        <w:ind w:firstLine="480"/>
        <w:rPr>
          <w:rStyle w:val="39"/>
          <w:rFonts w:hint="eastAsia" w:ascii="宋体" w:hAnsi="宋体" w:eastAsia="宋体" w:cs="宋体"/>
          <w:color w:val="auto"/>
          <w:sz w:val="24"/>
          <w:szCs w:val="24"/>
        </w:rPr>
      </w:pPr>
      <w:r>
        <w:rPr>
          <w:rStyle w:val="39"/>
          <w:rFonts w:hint="eastAsia" w:ascii="宋体" w:hAnsi="宋体" w:eastAsia="宋体" w:cs="宋体"/>
          <w:color w:val="auto"/>
          <w:sz w:val="24"/>
          <w:szCs w:val="24"/>
        </w:rPr>
        <w:t>日期：  年    月   日</w:t>
      </w:r>
    </w:p>
    <w:p>
      <w:pPr>
        <w:pStyle w:val="43"/>
        <w:rPr>
          <w:rStyle w:val="39"/>
          <w:rFonts w:hint="eastAsia" w:ascii="宋体" w:hAnsi="宋体" w:eastAsia="宋体" w:cs="宋体"/>
          <w:color w:val="auto"/>
          <w:sz w:val="24"/>
          <w:szCs w:val="24"/>
        </w:rPr>
      </w:pPr>
    </w:p>
    <w:p>
      <w:pPr>
        <w:spacing w:beforeAutospacing="1" w:afterAutospacing="1" w:line="360" w:lineRule="auto"/>
        <w:jc w:val="left"/>
        <w:rPr>
          <w:rStyle w:val="39"/>
          <w:rFonts w:hint="eastAsia" w:ascii="宋体" w:hAnsi="宋体" w:eastAsia="宋体" w:cs="宋体"/>
          <w:b/>
          <w:bCs/>
          <w:color w:val="auto"/>
          <w:sz w:val="24"/>
        </w:rPr>
        <w:sectPr>
          <w:pgSz w:w="11906" w:h="16838"/>
          <w:pgMar w:top="1134" w:right="1418" w:bottom="1134" w:left="1418" w:header="851" w:footer="850" w:gutter="0"/>
          <w:cols w:space="720" w:num="1"/>
        </w:sectPr>
      </w:pPr>
    </w:p>
    <w:p>
      <w:pPr>
        <w:pStyle w:val="5"/>
        <w:rPr>
          <w:rStyle w:val="39"/>
          <w:rFonts w:hint="eastAsia" w:ascii="宋体" w:hAnsi="宋体" w:eastAsia="宋体" w:cs="宋体"/>
          <w:color w:val="auto"/>
        </w:rPr>
      </w:pPr>
      <w:bookmarkStart w:id="334" w:name="_Toc4007"/>
      <w:bookmarkStart w:id="335" w:name="_Toc23968"/>
      <w:bookmarkStart w:id="336" w:name="_Toc54622570"/>
      <w:r>
        <w:rPr>
          <w:rStyle w:val="39"/>
          <w:rFonts w:hint="eastAsia" w:ascii="宋体" w:hAnsi="宋体" w:eastAsia="宋体" w:cs="宋体"/>
          <w:color w:val="auto"/>
        </w:rPr>
        <w:t>二、法定代表人身份证明（格式）</w:t>
      </w:r>
      <w:bookmarkEnd w:id="334"/>
      <w:bookmarkEnd w:id="335"/>
    </w:p>
    <w:bookmarkEnd w:id="336"/>
    <w:p>
      <w:pPr>
        <w:spacing w:before="120" w:after="120" w:line="360" w:lineRule="auto"/>
        <w:ind w:firstLine="480" w:firstLineChars="200"/>
        <w:rPr>
          <w:rStyle w:val="39"/>
          <w:rFonts w:hint="eastAsia" w:ascii="宋体" w:hAnsi="宋体" w:eastAsia="宋体" w:cs="宋体"/>
          <w:color w:val="auto"/>
          <w:sz w:val="24"/>
        </w:rPr>
      </w:pPr>
    </w:p>
    <w:p>
      <w:pPr>
        <w:snapToGrid w:val="0"/>
        <w:spacing w:line="276" w:lineRule="auto"/>
        <w:ind w:firstLine="480" w:firstLineChars="200"/>
        <w:jc w:val="left"/>
        <w:rPr>
          <w:rFonts w:hint="eastAsia" w:ascii="宋体" w:hAnsi="宋体" w:eastAsia="宋体" w:cs="宋体"/>
          <w:bCs/>
          <w:color w:val="auto"/>
          <w:sz w:val="24"/>
          <w:szCs w:val="28"/>
          <w:u w:val="single"/>
        </w:rPr>
      </w:pPr>
      <w:bookmarkStart w:id="337" w:name="_Hlk484767538"/>
      <w:r>
        <w:rPr>
          <w:rFonts w:hint="eastAsia" w:ascii="宋体" w:hAnsi="宋体" w:eastAsia="宋体" w:cs="宋体"/>
          <w:bCs/>
          <w:color w:val="auto"/>
          <w:sz w:val="24"/>
          <w:szCs w:val="28"/>
        </w:rPr>
        <w:t>投标人名称：</w:t>
      </w:r>
      <w:r>
        <w:rPr>
          <w:rFonts w:hint="eastAsia" w:ascii="宋体" w:hAnsi="宋体" w:eastAsia="宋体" w:cs="宋体"/>
          <w:bCs/>
          <w:color w:val="auto"/>
          <w:sz w:val="24"/>
          <w:szCs w:val="28"/>
          <w:u w:val="single"/>
        </w:rPr>
        <w:t xml:space="preserve">                    </w:t>
      </w:r>
    </w:p>
    <w:p>
      <w:pPr>
        <w:topLinePunct/>
        <w:snapToGrid w:val="0"/>
        <w:spacing w:line="276" w:lineRule="auto"/>
        <w:ind w:firstLine="480" w:firstLineChars="200"/>
        <w:rPr>
          <w:rFonts w:hint="eastAsia" w:ascii="宋体" w:hAnsi="宋体" w:eastAsia="宋体" w:cs="宋体"/>
          <w:bCs/>
          <w:color w:val="auto"/>
          <w:sz w:val="24"/>
          <w:szCs w:val="28"/>
          <w:u w:val="single"/>
        </w:rPr>
      </w:pPr>
      <w:r>
        <w:rPr>
          <w:rFonts w:hint="eastAsia" w:ascii="宋体" w:hAnsi="宋体" w:eastAsia="宋体" w:cs="宋体"/>
          <w:bCs/>
          <w:color w:val="auto"/>
          <w:sz w:val="24"/>
          <w:szCs w:val="28"/>
        </w:rPr>
        <w:t>单位性质：</w:t>
      </w:r>
      <w:r>
        <w:rPr>
          <w:rFonts w:hint="eastAsia" w:ascii="宋体" w:hAnsi="宋体" w:eastAsia="宋体" w:cs="宋体"/>
          <w:bCs/>
          <w:color w:val="auto"/>
          <w:sz w:val="24"/>
          <w:szCs w:val="28"/>
          <w:u w:val="single"/>
        </w:rPr>
        <w:t xml:space="preserve">                    </w:t>
      </w:r>
    </w:p>
    <w:p>
      <w:pPr>
        <w:topLinePunct/>
        <w:snapToGrid w:val="0"/>
        <w:spacing w:line="276" w:lineRule="auto"/>
        <w:ind w:firstLine="480" w:firstLineChars="200"/>
        <w:rPr>
          <w:rFonts w:hint="eastAsia" w:ascii="宋体" w:hAnsi="宋体" w:eastAsia="宋体" w:cs="宋体"/>
          <w:bCs/>
          <w:color w:val="auto"/>
          <w:sz w:val="24"/>
          <w:szCs w:val="28"/>
          <w:u w:val="single"/>
        </w:rPr>
      </w:pPr>
      <w:r>
        <w:rPr>
          <w:rFonts w:hint="eastAsia" w:ascii="宋体" w:hAnsi="宋体" w:eastAsia="宋体" w:cs="宋体"/>
          <w:bCs/>
          <w:color w:val="auto"/>
          <w:sz w:val="24"/>
          <w:szCs w:val="28"/>
        </w:rPr>
        <w:t>成立时间：</w:t>
      </w:r>
      <w:r>
        <w:rPr>
          <w:rFonts w:hint="eastAsia" w:ascii="宋体" w:hAnsi="宋体" w:cs="宋体"/>
          <w:bCs/>
          <w:color w:val="auto"/>
          <w:sz w:val="24"/>
          <w:szCs w:val="28"/>
          <w:u w:val="single"/>
          <w:lang w:val="en-US" w:eastAsia="zh-CN"/>
        </w:rPr>
        <w:t xml:space="preserve">    </w:t>
      </w:r>
      <w:r>
        <w:rPr>
          <w:rFonts w:hint="eastAsia" w:ascii="宋体" w:hAnsi="宋体" w:eastAsia="宋体" w:cs="宋体"/>
          <w:bCs/>
          <w:color w:val="auto"/>
          <w:sz w:val="24"/>
          <w:szCs w:val="28"/>
          <w:u w:val="single"/>
        </w:rPr>
        <w:t>年</w:t>
      </w:r>
      <w:r>
        <w:rPr>
          <w:rFonts w:hint="eastAsia" w:ascii="宋体" w:hAnsi="宋体" w:cs="宋体"/>
          <w:bCs/>
          <w:color w:val="auto"/>
          <w:sz w:val="24"/>
          <w:szCs w:val="28"/>
          <w:u w:val="single"/>
          <w:lang w:val="en-US" w:eastAsia="zh-CN"/>
        </w:rPr>
        <w:t xml:space="preserve">    </w:t>
      </w:r>
      <w:r>
        <w:rPr>
          <w:rFonts w:hint="eastAsia" w:ascii="宋体" w:hAnsi="宋体" w:eastAsia="宋体" w:cs="宋体"/>
          <w:bCs/>
          <w:color w:val="auto"/>
          <w:sz w:val="24"/>
          <w:szCs w:val="28"/>
          <w:u w:val="single"/>
        </w:rPr>
        <w:t>月</w:t>
      </w:r>
      <w:r>
        <w:rPr>
          <w:rFonts w:hint="eastAsia" w:ascii="宋体" w:hAnsi="宋体" w:cs="宋体"/>
          <w:bCs/>
          <w:color w:val="auto"/>
          <w:sz w:val="24"/>
          <w:szCs w:val="28"/>
          <w:u w:val="single"/>
          <w:lang w:val="en-US" w:eastAsia="zh-CN"/>
        </w:rPr>
        <w:t xml:space="preserve">       </w:t>
      </w:r>
      <w:r>
        <w:rPr>
          <w:rFonts w:hint="eastAsia" w:ascii="宋体" w:hAnsi="宋体" w:eastAsia="宋体" w:cs="宋体"/>
          <w:bCs/>
          <w:color w:val="auto"/>
          <w:sz w:val="24"/>
          <w:szCs w:val="28"/>
          <w:u w:val="single"/>
        </w:rPr>
        <w:t>日</w:t>
      </w:r>
    </w:p>
    <w:p>
      <w:pPr>
        <w:topLinePunct/>
        <w:snapToGrid w:val="0"/>
        <w:spacing w:line="276" w:lineRule="auto"/>
        <w:ind w:firstLine="480" w:firstLineChars="200"/>
        <w:rPr>
          <w:rFonts w:hint="eastAsia" w:ascii="宋体" w:hAnsi="宋体" w:eastAsia="宋体" w:cs="宋体"/>
          <w:bCs/>
          <w:color w:val="auto"/>
          <w:sz w:val="24"/>
          <w:szCs w:val="28"/>
        </w:rPr>
      </w:pPr>
      <w:r>
        <w:rPr>
          <w:rFonts w:hint="eastAsia" w:ascii="宋体" w:hAnsi="宋体" w:eastAsia="宋体" w:cs="宋体"/>
          <w:bCs/>
          <w:color w:val="auto"/>
          <w:sz w:val="24"/>
          <w:szCs w:val="28"/>
        </w:rPr>
        <w:t>经营期限：</w:t>
      </w:r>
      <w:r>
        <w:rPr>
          <w:rFonts w:hint="eastAsia" w:ascii="宋体" w:hAnsi="宋体" w:eastAsia="宋体" w:cs="宋体"/>
          <w:bCs/>
          <w:color w:val="auto"/>
          <w:sz w:val="24"/>
          <w:szCs w:val="28"/>
          <w:u w:val="single"/>
        </w:rPr>
        <w:t xml:space="preserve">                    </w:t>
      </w:r>
    </w:p>
    <w:p>
      <w:pPr>
        <w:topLinePunct/>
        <w:snapToGrid w:val="0"/>
        <w:spacing w:line="276" w:lineRule="auto"/>
        <w:ind w:firstLine="480" w:firstLineChars="200"/>
        <w:rPr>
          <w:rFonts w:hint="eastAsia" w:ascii="宋体" w:hAnsi="宋体" w:eastAsia="宋体" w:cs="宋体"/>
          <w:bCs/>
          <w:color w:val="auto"/>
          <w:sz w:val="24"/>
          <w:szCs w:val="28"/>
          <w:u w:val="single"/>
        </w:rPr>
      </w:pPr>
      <w:r>
        <w:rPr>
          <w:rFonts w:hint="eastAsia" w:ascii="宋体" w:hAnsi="宋体" w:eastAsia="宋体" w:cs="宋体"/>
          <w:bCs/>
          <w:color w:val="auto"/>
          <w:sz w:val="24"/>
          <w:szCs w:val="28"/>
        </w:rPr>
        <w:t>姓名：</w:t>
      </w:r>
      <w:r>
        <w:rPr>
          <w:rFonts w:hint="eastAsia" w:ascii="宋体" w:hAnsi="宋体" w:eastAsia="宋体" w:cs="宋体"/>
          <w:bCs/>
          <w:color w:val="auto"/>
          <w:sz w:val="24"/>
          <w:szCs w:val="28"/>
          <w:u w:val="single"/>
        </w:rPr>
        <w:t xml:space="preserve">   性别：  年龄：     职务：     </w:t>
      </w:r>
    </w:p>
    <w:p>
      <w:pPr>
        <w:topLinePunct/>
        <w:snapToGrid w:val="0"/>
        <w:spacing w:line="276" w:lineRule="auto"/>
        <w:ind w:firstLine="480" w:firstLineChars="200"/>
        <w:rPr>
          <w:rFonts w:hint="eastAsia" w:ascii="宋体" w:hAnsi="宋体" w:eastAsia="宋体" w:cs="宋体"/>
          <w:bCs/>
          <w:color w:val="auto"/>
          <w:sz w:val="24"/>
          <w:szCs w:val="28"/>
        </w:rPr>
      </w:pPr>
      <w:r>
        <w:rPr>
          <w:rFonts w:hint="eastAsia" w:ascii="宋体" w:hAnsi="宋体" w:eastAsia="宋体" w:cs="宋体"/>
          <w:bCs/>
          <w:color w:val="auto"/>
          <w:sz w:val="24"/>
          <w:szCs w:val="28"/>
        </w:rPr>
        <w:t>系</w:t>
      </w:r>
      <w:r>
        <w:rPr>
          <w:rFonts w:hint="eastAsia" w:ascii="宋体" w:hAnsi="宋体" w:cs="宋体"/>
          <w:bCs/>
          <w:color w:val="auto"/>
          <w:sz w:val="24"/>
          <w:szCs w:val="28"/>
          <w:u w:val="single"/>
          <w:lang w:val="en-US" w:eastAsia="zh-CN"/>
        </w:rPr>
        <w:t xml:space="preserve">        </w:t>
      </w:r>
      <w:r>
        <w:rPr>
          <w:rFonts w:hint="eastAsia" w:ascii="宋体" w:hAnsi="宋体" w:eastAsia="宋体" w:cs="宋体"/>
          <w:bCs/>
          <w:color w:val="auto"/>
          <w:sz w:val="24"/>
          <w:szCs w:val="28"/>
          <w:u w:val="single"/>
        </w:rPr>
        <w:t>（投标人名称）</w:t>
      </w:r>
      <w:r>
        <w:rPr>
          <w:rFonts w:hint="eastAsia" w:ascii="宋体" w:hAnsi="宋体" w:cs="宋体"/>
          <w:bCs/>
          <w:color w:val="auto"/>
          <w:sz w:val="24"/>
          <w:szCs w:val="28"/>
          <w:u w:val="single"/>
          <w:lang w:val="en-US" w:eastAsia="zh-CN"/>
        </w:rPr>
        <w:t xml:space="preserve">           </w:t>
      </w:r>
      <w:r>
        <w:rPr>
          <w:rFonts w:hint="eastAsia" w:ascii="宋体" w:hAnsi="宋体" w:eastAsia="宋体" w:cs="宋体"/>
          <w:bCs/>
          <w:color w:val="auto"/>
          <w:sz w:val="24"/>
          <w:szCs w:val="28"/>
        </w:rPr>
        <w:t>的法定代表人。</w:t>
      </w:r>
    </w:p>
    <w:p>
      <w:pPr>
        <w:topLinePunct/>
        <w:snapToGrid w:val="0"/>
        <w:spacing w:line="276" w:lineRule="auto"/>
        <w:ind w:firstLine="480" w:firstLineChars="200"/>
        <w:rPr>
          <w:rFonts w:hint="eastAsia" w:ascii="宋体" w:hAnsi="宋体" w:eastAsia="宋体" w:cs="宋体"/>
          <w:bCs/>
          <w:color w:val="auto"/>
          <w:sz w:val="24"/>
          <w:szCs w:val="28"/>
        </w:rPr>
      </w:pPr>
      <w:r>
        <w:rPr>
          <w:rFonts w:hint="eastAsia" w:ascii="宋体" w:hAnsi="宋体" w:eastAsia="宋体" w:cs="宋体"/>
          <w:bCs/>
          <w:color w:val="auto"/>
          <w:sz w:val="24"/>
          <w:szCs w:val="28"/>
        </w:rPr>
        <w:t>特此证明。</w:t>
      </w:r>
    </w:p>
    <w:p>
      <w:pPr>
        <w:topLinePunct/>
        <w:snapToGrid w:val="0"/>
        <w:spacing w:line="440" w:lineRule="exact"/>
        <w:ind w:firstLine="480" w:firstLineChars="200"/>
        <w:jc w:val="left"/>
        <w:rPr>
          <w:rFonts w:hint="eastAsia" w:ascii="宋体" w:hAnsi="宋体" w:eastAsia="宋体" w:cs="宋体"/>
          <w:bCs/>
          <w:color w:val="auto"/>
          <w:sz w:val="24"/>
          <w:szCs w:val="28"/>
        </w:rPr>
      </w:pPr>
    </w:p>
    <w:p>
      <w:pPr>
        <w:topLinePunct/>
        <w:snapToGrid w:val="0"/>
        <w:spacing w:line="440" w:lineRule="exact"/>
        <w:ind w:firstLine="480" w:firstLineChars="200"/>
        <w:jc w:val="left"/>
        <w:rPr>
          <w:rFonts w:hint="eastAsia" w:ascii="宋体" w:hAnsi="宋体" w:eastAsia="宋体" w:cs="宋体"/>
          <w:bCs/>
          <w:color w:val="auto"/>
          <w:sz w:val="24"/>
          <w:szCs w:val="28"/>
        </w:rPr>
      </w:pPr>
    </w:p>
    <w:p>
      <w:pPr>
        <w:snapToGrid w:val="0"/>
        <w:spacing w:line="276" w:lineRule="auto"/>
        <w:ind w:firstLine="424" w:firstLineChars="177"/>
        <w:jc w:val="left"/>
        <w:rPr>
          <w:rFonts w:hint="eastAsia" w:ascii="宋体" w:hAnsi="宋体" w:eastAsia="宋体" w:cs="宋体"/>
          <w:bCs/>
          <w:color w:val="auto"/>
          <w:sz w:val="24"/>
          <w:szCs w:val="28"/>
        </w:rPr>
      </w:pPr>
      <w:r>
        <w:rPr>
          <w:rFonts w:hint="eastAsia" w:ascii="宋体" w:hAnsi="宋体" w:cs="宋体"/>
          <w:bCs/>
          <w:color w:val="auto"/>
          <w:sz w:val="24"/>
          <w:szCs w:val="28"/>
          <w:lang w:val="en-US" w:eastAsia="zh-CN"/>
        </w:rPr>
        <w:t>投标人</w:t>
      </w:r>
      <w:r>
        <w:rPr>
          <w:rFonts w:hint="eastAsia" w:ascii="宋体" w:hAnsi="宋体" w:eastAsia="宋体" w:cs="宋体"/>
          <w:bCs/>
          <w:color w:val="auto"/>
          <w:sz w:val="24"/>
          <w:szCs w:val="28"/>
        </w:rPr>
        <w:t>：（盖单位公章）</w:t>
      </w:r>
    </w:p>
    <w:p>
      <w:pPr>
        <w:topLinePunct/>
        <w:snapToGrid w:val="0"/>
        <w:spacing w:line="276" w:lineRule="auto"/>
        <w:ind w:firstLine="480" w:firstLineChars="200"/>
        <w:rPr>
          <w:rFonts w:hint="eastAsia" w:ascii="宋体" w:hAnsi="宋体" w:eastAsia="宋体" w:cs="宋体"/>
          <w:bCs/>
          <w:color w:val="auto"/>
          <w:sz w:val="24"/>
          <w:szCs w:val="28"/>
        </w:rPr>
      </w:pPr>
      <w:r>
        <w:rPr>
          <w:rFonts w:hint="eastAsia" w:ascii="宋体" w:hAnsi="宋体" w:eastAsia="宋体" w:cs="宋体"/>
          <w:bCs/>
          <w:color w:val="auto"/>
          <w:sz w:val="24"/>
          <w:szCs w:val="28"/>
        </w:rPr>
        <w:t>年  月   日</w:t>
      </w:r>
    </w:p>
    <w:p>
      <w:pPr>
        <w:snapToGrid w:val="0"/>
        <w:spacing w:line="400" w:lineRule="exact"/>
        <w:ind w:firstLine="480" w:firstLineChars="200"/>
        <w:jc w:val="left"/>
        <w:rPr>
          <w:rFonts w:hint="eastAsia" w:ascii="宋体" w:hAnsi="宋体" w:eastAsia="宋体" w:cs="宋体"/>
          <w:color w:val="auto"/>
          <w:sz w:val="24"/>
          <w:szCs w:val="28"/>
        </w:rPr>
      </w:pPr>
    </w:p>
    <w:p>
      <w:pPr>
        <w:snapToGrid w:val="0"/>
        <w:spacing w:line="400" w:lineRule="exact"/>
        <w:ind w:firstLine="480" w:firstLineChars="200"/>
        <w:jc w:val="left"/>
        <w:rPr>
          <w:rFonts w:hint="eastAsia" w:ascii="宋体" w:hAnsi="宋体" w:eastAsia="宋体" w:cs="宋体"/>
          <w:color w:val="auto"/>
          <w:sz w:val="24"/>
          <w:szCs w:val="28"/>
        </w:rPr>
      </w:pPr>
    </w:p>
    <w:p>
      <w:pPr>
        <w:snapToGrid w:val="0"/>
        <w:spacing w:line="400" w:lineRule="exact"/>
        <w:ind w:firstLine="480" w:firstLineChars="200"/>
        <w:jc w:val="left"/>
        <w:rPr>
          <w:rFonts w:hint="eastAsia" w:ascii="宋体" w:hAnsi="宋体" w:eastAsia="宋体" w:cs="宋体"/>
          <w:color w:val="auto"/>
          <w:sz w:val="24"/>
          <w:szCs w:val="28"/>
        </w:rPr>
      </w:pPr>
      <w:r>
        <w:rPr>
          <w:rFonts w:hint="eastAsia" w:ascii="宋体" w:hAnsi="宋体" w:eastAsia="宋体" w:cs="宋体"/>
          <w:color w:val="auto"/>
          <w:sz w:val="24"/>
          <w:szCs w:val="28"/>
        </w:rPr>
        <w:t>附：法定代表人身份证正反面复印件</w:t>
      </w:r>
    </w:p>
    <w:p>
      <w:pPr>
        <w:snapToGrid w:val="0"/>
        <w:spacing w:line="400" w:lineRule="exact"/>
        <w:ind w:firstLine="480" w:firstLineChars="200"/>
        <w:jc w:val="left"/>
        <w:rPr>
          <w:rFonts w:hint="eastAsia" w:ascii="宋体" w:hAnsi="宋体" w:eastAsia="宋体" w:cs="宋体"/>
          <w:color w:val="auto"/>
          <w:sz w:val="24"/>
          <w:szCs w:val="28"/>
        </w:rPr>
      </w:pPr>
    </w:p>
    <w:p>
      <w:pPr>
        <w:snapToGrid w:val="0"/>
        <w:spacing w:line="400" w:lineRule="exact"/>
        <w:ind w:firstLine="480" w:firstLineChars="200"/>
        <w:jc w:val="left"/>
        <w:rPr>
          <w:rFonts w:hint="eastAsia" w:ascii="宋体" w:hAnsi="宋体" w:eastAsia="宋体" w:cs="宋体"/>
          <w:color w:val="auto"/>
          <w:sz w:val="24"/>
          <w:szCs w:val="28"/>
        </w:rPr>
      </w:pPr>
    </w:p>
    <w:p>
      <w:pPr>
        <w:snapToGrid w:val="0"/>
        <w:spacing w:line="400" w:lineRule="exact"/>
        <w:ind w:firstLine="480" w:firstLineChars="200"/>
        <w:jc w:val="left"/>
        <w:rPr>
          <w:rFonts w:hint="eastAsia" w:ascii="宋体" w:hAnsi="宋体" w:eastAsia="宋体" w:cs="宋体"/>
          <w:color w:val="auto"/>
          <w:sz w:val="24"/>
          <w:szCs w:val="28"/>
        </w:rPr>
      </w:pPr>
    </w:p>
    <w:p>
      <w:pPr>
        <w:snapToGrid w:val="0"/>
        <w:spacing w:line="480" w:lineRule="auto"/>
        <w:ind w:firstLine="602" w:firstLineChars="200"/>
        <w:jc w:val="left"/>
        <w:rPr>
          <w:rFonts w:hint="eastAsia" w:ascii="宋体" w:hAnsi="宋体" w:eastAsia="宋体" w:cs="宋体"/>
          <w:color w:val="auto"/>
          <w:sz w:val="24"/>
          <w:szCs w:val="28"/>
        </w:rPr>
      </w:pPr>
      <w:r>
        <w:rPr>
          <w:rFonts w:hint="eastAsia" w:ascii="宋体" w:hAnsi="宋体" w:eastAsia="宋体" w:cs="宋体"/>
          <w:b/>
          <w:bCs/>
          <w:color w:val="auto"/>
          <w:sz w:val="30"/>
          <w:szCs w:val="30"/>
        </w:rPr>
        <w:t>注：若为联合体投标，则联合体各成员方须分别出具其各自法定代表人身份证明（即本项证明），并在各自出具的证明上加盖公章。</w:t>
      </w:r>
      <w:bookmarkEnd w:id="337"/>
    </w:p>
    <w:p>
      <w:pPr>
        <w:spacing w:beforeAutospacing="1" w:afterAutospacing="1" w:line="360" w:lineRule="auto"/>
        <w:jc w:val="left"/>
        <w:rPr>
          <w:rStyle w:val="39"/>
          <w:rFonts w:hint="eastAsia" w:ascii="宋体" w:hAnsi="宋体" w:eastAsia="宋体" w:cs="宋体"/>
          <w:b/>
          <w:bCs/>
          <w:color w:val="auto"/>
          <w:sz w:val="24"/>
        </w:rPr>
        <w:sectPr>
          <w:pgSz w:w="11906" w:h="16838"/>
          <w:pgMar w:top="1247" w:right="1418" w:bottom="1247" w:left="1418" w:header="851" w:footer="851" w:gutter="0"/>
          <w:cols w:space="720" w:num="1"/>
        </w:sectPr>
      </w:pPr>
    </w:p>
    <w:p>
      <w:pPr>
        <w:pStyle w:val="5"/>
        <w:jc w:val="both"/>
        <w:rPr>
          <w:rStyle w:val="39"/>
          <w:rFonts w:hint="eastAsia" w:ascii="宋体" w:hAnsi="宋体" w:eastAsia="宋体" w:cs="宋体"/>
          <w:color w:val="auto"/>
        </w:rPr>
      </w:pPr>
      <w:bookmarkStart w:id="338" w:name="_Toc54622571"/>
      <w:bookmarkStart w:id="339" w:name="_Toc15881"/>
      <w:bookmarkStart w:id="340" w:name="_Toc17981"/>
      <w:r>
        <w:rPr>
          <w:rStyle w:val="39"/>
          <w:rFonts w:hint="eastAsia" w:ascii="宋体" w:hAnsi="宋体" w:eastAsia="宋体" w:cs="宋体"/>
          <w:color w:val="auto"/>
          <w:sz w:val="24"/>
          <w:szCs w:val="24"/>
        </w:rPr>
        <w:t>三、法定代表人授权书及委托代理人身份证复印件</w:t>
      </w:r>
      <w:bookmarkEnd w:id="338"/>
      <w:bookmarkEnd w:id="339"/>
      <w:bookmarkEnd w:id="340"/>
    </w:p>
    <w:p>
      <w:pPr>
        <w:pStyle w:val="2"/>
        <w:spacing w:before="120" w:after="120"/>
        <w:rPr>
          <w:rFonts w:hint="eastAsia" w:ascii="宋体" w:hAnsi="宋体" w:eastAsia="宋体" w:cs="宋体"/>
          <w:color w:val="auto"/>
        </w:rPr>
      </w:pPr>
      <w:r>
        <w:rPr>
          <w:rFonts w:hint="eastAsia" w:ascii="宋体" w:hAnsi="宋体" w:eastAsia="宋体" w:cs="宋体"/>
          <w:color w:val="auto"/>
        </w:rPr>
        <w:t>致：（采购人名称）</w:t>
      </w:r>
    </w:p>
    <w:p>
      <w:pPr>
        <w:pStyle w:val="2"/>
        <w:spacing w:before="120" w:after="120"/>
        <w:ind w:firstLine="480"/>
        <w:rPr>
          <w:rFonts w:hint="eastAsia" w:ascii="宋体" w:hAnsi="宋体" w:eastAsia="宋体" w:cs="宋体"/>
          <w:color w:val="auto"/>
        </w:rPr>
      </w:pPr>
      <w:r>
        <w:rPr>
          <w:rFonts w:hint="eastAsia" w:ascii="宋体" w:hAnsi="宋体" w:eastAsia="宋体" w:cs="宋体"/>
          <w:color w:val="auto"/>
        </w:rPr>
        <w:t>本人</w:t>
      </w:r>
      <w:r>
        <w:rPr>
          <w:rFonts w:hint="eastAsia" w:ascii="宋体" w:hAnsi="宋体" w:eastAsia="宋体" w:cs="宋体"/>
          <w:color w:val="auto"/>
          <w:u w:val="single"/>
        </w:rPr>
        <w:t>（姓名）</w:t>
      </w:r>
      <w:r>
        <w:rPr>
          <w:rFonts w:hint="eastAsia" w:ascii="宋体" w:hAnsi="宋体" w:eastAsia="宋体" w:cs="宋体"/>
          <w:color w:val="auto"/>
        </w:rPr>
        <w:t>系</w:t>
      </w:r>
      <w:r>
        <w:rPr>
          <w:rFonts w:hint="eastAsia" w:ascii="宋体" w:hAnsi="宋体" w:eastAsia="宋体" w:cs="宋体"/>
          <w:color w:val="auto"/>
          <w:u w:val="single"/>
        </w:rPr>
        <w:t>（单位名称或与</w:t>
      </w:r>
      <w:r>
        <w:rPr>
          <w:rFonts w:hint="eastAsia" w:ascii="宋体" w:hAnsi="宋体" w:eastAsia="宋体" w:cs="宋体"/>
          <w:b/>
          <w:color w:val="auto"/>
          <w:u w:val="single"/>
        </w:rPr>
        <w:t>组成联合体的牵头方</w:t>
      </w:r>
      <w:r>
        <w:rPr>
          <w:rFonts w:hint="eastAsia" w:ascii="宋体" w:hAnsi="宋体" w:eastAsia="宋体" w:cs="宋体"/>
          <w:color w:val="auto"/>
          <w:u w:val="single"/>
        </w:rPr>
        <w:t>）</w:t>
      </w:r>
      <w:r>
        <w:rPr>
          <w:rFonts w:hint="eastAsia" w:ascii="宋体" w:hAnsi="宋体" w:eastAsia="宋体" w:cs="宋体"/>
          <w:color w:val="auto"/>
        </w:rPr>
        <w:t>的法定代表人，现授权我单位在职正式员工</w:t>
      </w:r>
      <w:r>
        <w:rPr>
          <w:rFonts w:hint="eastAsia" w:ascii="宋体" w:hAnsi="宋体" w:eastAsia="宋体" w:cs="宋体"/>
          <w:color w:val="auto"/>
          <w:u w:val="single"/>
        </w:rPr>
        <w:t>（姓名和职务）</w:t>
      </w:r>
      <w:r>
        <w:rPr>
          <w:rFonts w:hint="eastAsia" w:ascii="宋体" w:hAnsi="宋体" w:eastAsia="宋体" w:cs="宋体"/>
          <w:color w:val="auto"/>
        </w:rPr>
        <w:t>为我方代理人。代理人根据授权，以我方名义签署、澄清、说明、补正、递交、撤回、修改贵方组织的</w:t>
      </w:r>
      <w:r>
        <w:rPr>
          <w:rFonts w:hint="eastAsia" w:ascii="宋体" w:hAnsi="宋体" w:eastAsia="宋体" w:cs="宋体"/>
          <w:color w:val="auto"/>
          <w:u w:val="single"/>
        </w:rPr>
        <w:t>项目（项目编号：         ）</w:t>
      </w:r>
      <w:r>
        <w:rPr>
          <w:rFonts w:hint="eastAsia" w:ascii="宋体" w:hAnsi="宋体" w:eastAsia="宋体" w:cs="宋体"/>
          <w:color w:val="auto"/>
        </w:rPr>
        <w:t>的投标文件、采购结果确认谈判、签订合同和处理一切有关事宜，其法律后果由我方（或联合体各方共同）承担。</w:t>
      </w:r>
    </w:p>
    <w:p>
      <w:pPr>
        <w:pStyle w:val="2"/>
        <w:spacing w:before="120" w:after="120"/>
        <w:ind w:firstLine="480"/>
        <w:rPr>
          <w:rFonts w:hint="eastAsia" w:ascii="宋体" w:hAnsi="宋体" w:eastAsia="宋体" w:cs="宋体"/>
          <w:color w:val="auto"/>
        </w:rPr>
      </w:pPr>
      <w:r>
        <w:rPr>
          <w:rFonts w:hint="eastAsia" w:ascii="宋体" w:hAnsi="宋体" w:eastAsia="宋体" w:cs="宋体"/>
          <w:color w:val="auto"/>
        </w:rPr>
        <w:t>本授权书于</w:t>
      </w:r>
      <w:r>
        <w:rPr>
          <w:rFonts w:hint="eastAsia" w:ascii="宋体" w:hAnsi="宋体" w:eastAsia="宋体" w:cs="宋体"/>
          <w:color w:val="auto"/>
          <w:u w:val="single"/>
        </w:rPr>
        <w:t xml:space="preserve">   年   月   日</w:t>
      </w:r>
      <w:r>
        <w:rPr>
          <w:rFonts w:hint="eastAsia" w:ascii="宋体" w:hAnsi="宋体" w:eastAsia="宋体" w:cs="宋体"/>
          <w:color w:val="auto"/>
        </w:rPr>
        <w:t>签字生效，委托期限：</w:t>
      </w:r>
      <w:r>
        <w:rPr>
          <w:rFonts w:hint="eastAsia" w:ascii="宋体" w:hAnsi="宋体" w:eastAsia="宋体" w:cs="宋体"/>
          <w:color w:val="auto"/>
          <w:u w:val="single"/>
        </w:rPr>
        <w:t xml:space="preserve">            </w:t>
      </w:r>
      <w:r>
        <w:rPr>
          <w:rFonts w:hint="eastAsia" w:ascii="宋体" w:hAnsi="宋体" w:eastAsia="宋体" w:cs="宋体"/>
          <w:color w:val="auto"/>
        </w:rPr>
        <w:t xml:space="preserve"> 。</w:t>
      </w:r>
    </w:p>
    <w:p>
      <w:pPr>
        <w:pStyle w:val="2"/>
        <w:spacing w:before="120" w:after="120"/>
        <w:ind w:firstLine="480"/>
        <w:rPr>
          <w:rFonts w:hint="eastAsia" w:ascii="宋体" w:hAnsi="宋体" w:eastAsia="宋体" w:cs="宋体"/>
          <w:color w:val="auto"/>
        </w:rPr>
      </w:pPr>
      <w:r>
        <w:rPr>
          <w:rFonts w:hint="eastAsia" w:ascii="宋体" w:hAnsi="宋体" w:eastAsia="宋体" w:cs="宋体"/>
          <w:color w:val="auto"/>
        </w:rPr>
        <w:t>代理人无转委托权。</w:t>
      </w:r>
    </w:p>
    <w:p>
      <w:pPr>
        <w:pStyle w:val="2"/>
        <w:spacing w:before="120" w:after="120"/>
        <w:ind w:firstLine="480"/>
        <w:rPr>
          <w:rFonts w:hint="eastAsia" w:ascii="宋体" w:hAnsi="宋体" w:eastAsia="宋体" w:cs="宋体"/>
          <w:color w:val="auto"/>
        </w:rPr>
      </w:pPr>
    </w:p>
    <w:p>
      <w:pPr>
        <w:pStyle w:val="2"/>
        <w:spacing w:before="120" w:after="120"/>
        <w:ind w:firstLine="480"/>
        <w:rPr>
          <w:rFonts w:hint="eastAsia" w:ascii="宋体" w:hAnsi="宋体" w:eastAsia="宋体" w:cs="宋体"/>
          <w:color w:val="auto"/>
          <w:u w:val="single"/>
        </w:rPr>
      </w:pPr>
      <w:r>
        <w:rPr>
          <w:rFonts w:hint="eastAsia" w:ascii="宋体" w:hAnsi="宋体" w:eastAsia="宋体" w:cs="宋体"/>
          <w:color w:val="auto"/>
        </w:rPr>
        <w:t>独立投标人或联合体牵头方：（盖单位公章）</w:t>
      </w:r>
    </w:p>
    <w:p>
      <w:pPr>
        <w:pStyle w:val="2"/>
        <w:spacing w:before="120" w:after="120"/>
        <w:ind w:firstLine="480"/>
        <w:rPr>
          <w:rFonts w:hint="eastAsia" w:ascii="宋体" w:hAnsi="宋体" w:eastAsia="宋体" w:cs="宋体"/>
          <w:color w:val="auto"/>
          <w:u w:val="single"/>
        </w:rPr>
      </w:pPr>
      <w:r>
        <w:rPr>
          <w:rFonts w:hint="eastAsia" w:ascii="宋体" w:hAnsi="宋体" w:eastAsia="宋体" w:cs="宋体"/>
          <w:color w:val="auto"/>
        </w:rPr>
        <w:t>法定代表人：（签字或盖章）</w:t>
      </w:r>
    </w:p>
    <w:p>
      <w:pPr>
        <w:pStyle w:val="2"/>
        <w:spacing w:before="120" w:after="120"/>
        <w:ind w:firstLine="480"/>
        <w:rPr>
          <w:rFonts w:hint="eastAsia" w:ascii="宋体" w:hAnsi="宋体" w:eastAsia="宋体" w:cs="宋体"/>
          <w:color w:val="auto"/>
          <w:u w:val="single"/>
        </w:rPr>
      </w:pPr>
      <w:r>
        <w:rPr>
          <w:rFonts w:hint="eastAsia" w:ascii="宋体" w:hAnsi="宋体" w:eastAsia="宋体" w:cs="宋体"/>
          <w:color w:val="auto"/>
        </w:rPr>
        <w:t>委托代理人：（签字或盖章）</w:t>
      </w:r>
    </w:p>
    <w:p>
      <w:pPr>
        <w:topLinePunct/>
        <w:snapToGrid w:val="0"/>
        <w:spacing w:line="276"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年月日</w:t>
      </w:r>
    </w:p>
    <w:p>
      <w:pPr>
        <w:pStyle w:val="2"/>
        <w:spacing w:before="120" w:after="120"/>
        <w:ind w:firstLine="480"/>
        <w:rPr>
          <w:rFonts w:hint="eastAsia" w:ascii="宋体" w:hAnsi="宋体" w:eastAsia="宋体" w:cs="宋体"/>
          <w:color w:val="auto"/>
          <w:u w:val="single"/>
        </w:rPr>
      </w:pPr>
    </w:p>
    <w:p>
      <w:pPr>
        <w:pStyle w:val="2"/>
        <w:spacing w:before="120" w:after="120"/>
        <w:ind w:firstLine="480"/>
        <w:rPr>
          <w:rFonts w:hint="eastAsia" w:ascii="宋体" w:hAnsi="宋体" w:eastAsia="宋体" w:cs="宋体"/>
          <w:color w:val="auto"/>
          <w:u w:val="single"/>
        </w:rPr>
      </w:pPr>
    </w:p>
    <w:p>
      <w:pPr>
        <w:spacing w:beforeAutospacing="1" w:afterAutospacing="1" w:line="360" w:lineRule="auto"/>
        <w:jc w:val="left"/>
        <w:rPr>
          <w:rStyle w:val="39"/>
          <w:rFonts w:hint="eastAsia" w:ascii="宋体" w:hAnsi="宋体" w:eastAsia="宋体" w:cs="宋体"/>
          <w:b/>
          <w:bCs/>
          <w:color w:val="auto"/>
          <w:sz w:val="28"/>
          <w:szCs w:val="28"/>
        </w:rPr>
        <w:sectPr>
          <w:pgSz w:w="11906" w:h="16838"/>
          <w:pgMar w:top="1247" w:right="1418" w:bottom="1247" w:left="1418" w:header="851" w:footer="851" w:gutter="0"/>
          <w:cols w:space="720" w:num="1"/>
        </w:sectPr>
      </w:pPr>
      <w:r>
        <w:rPr>
          <w:rFonts w:hint="eastAsia" w:ascii="宋体" w:hAnsi="宋体" w:eastAsia="宋体" w:cs="宋体"/>
          <w:color w:val="auto"/>
          <w:sz w:val="24"/>
        </w:rPr>
        <w:t>附：委托代理人身份证正反面复印件</w:t>
      </w:r>
    </w:p>
    <w:p>
      <w:pPr>
        <w:pStyle w:val="5"/>
        <w:jc w:val="both"/>
        <w:rPr>
          <w:rStyle w:val="39"/>
          <w:rFonts w:hint="eastAsia" w:ascii="宋体" w:hAnsi="宋体" w:eastAsia="宋体" w:cs="宋体"/>
          <w:color w:val="auto"/>
          <w:sz w:val="24"/>
          <w:szCs w:val="24"/>
        </w:rPr>
      </w:pPr>
      <w:bookmarkStart w:id="341" w:name="_Toc6506"/>
      <w:bookmarkStart w:id="342" w:name="_Toc30918"/>
      <w:bookmarkStart w:id="343" w:name="_Toc54622572"/>
      <w:r>
        <w:rPr>
          <w:rStyle w:val="39"/>
          <w:rFonts w:hint="eastAsia" w:ascii="宋体" w:hAnsi="宋体" w:eastAsia="宋体" w:cs="宋体"/>
          <w:color w:val="auto"/>
          <w:sz w:val="24"/>
          <w:szCs w:val="24"/>
        </w:rPr>
        <w:t>四、联合体协议书（格式）</w:t>
      </w:r>
      <w:bookmarkEnd w:id="341"/>
      <w:bookmarkEnd w:id="342"/>
      <w:bookmarkEnd w:id="343"/>
    </w:p>
    <w:p>
      <w:pPr>
        <w:rPr>
          <w:rFonts w:hint="eastAsia" w:ascii="宋体" w:hAnsi="宋体" w:eastAsia="宋体" w:cs="宋体"/>
          <w:color w:val="auto"/>
        </w:rPr>
      </w:pPr>
    </w:p>
    <w:p>
      <w:pPr>
        <w:autoSpaceDE w:val="0"/>
        <w:autoSpaceDN w:val="0"/>
        <w:adjustRightInd w:val="0"/>
        <w:spacing w:line="360" w:lineRule="auto"/>
        <w:ind w:firstLine="562" w:firstLineChars="200"/>
        <w:jc w:val="left"/>
        <w:rPr>
          <w:rFonts w:hint="eastAsia" w:ascii="宋体" w:hAnsi="宋体" w:eastAsia="宋体" w:cs="宋体"/>
          <w:b/>
          <w:color w:val="auto"/>
          <w:sz w:val="24"/>
        </w:rPr>
      </w:pPr>
      <w:bookmarkStart w:id="344" w:name="_Hlk484767685"/>
      <w:r>
        <w:rPr>
          <w:rFonts w:hint="eastAsia" w:ascii="宋体" w:hAnsi="宋体" w:eastAsia="宋体" w:cs="宋体"/>
          <w:b/>
          <w:color w:val="auto"/>
          <w:sz w:val="28"/>
          <w:szCs w:val="28"/>
          <w:u w:val="thick"/>
        </w:rPr>
        <w:t>（</w:t>
      </w:r>
      <w:r>
        <w:rPr>
          <w:rFonts w:hint="eastAsia" w:ascii="宋体" w:hAnsi="宋体" w:eastAsia="宋体" w:cs="宋体"/>
          <w:b/>
          <w:color w:val="auto"/>
          <w:sz w:val="24"/>
          <w:u w:val="thick"/>
        </w:rPr>
        <w:t>所有成员单位名称）</w:t>
      </w:r>
      <w:r>
        <w:rPr>
          <w:rFonts w:hint="eastAsia" w:ascii="宋体" w:hAnsi="宋体" w:eastAsia="宋体" w:cs="宋体"/>
          <w:color w:val="auto"/>
          <w:sz w:val="24"/>
        </w:rPr>
        <w:t>自愿组成联合体，共同参加</w:t>
      </w:r>
      <w:r>
        <w:rPr>
          <w:rFonts w:hint="eastAsia" w:ascii="宋体" w:hAnsi="宋体" w:eastAsia="宋体" w:cs="宋体"/>
          <w:color w:val="auto"/>
          <w:sz w:val="24"/>
          <w:u w:val="thick"/>
        </w:rPr>
        <w:t>（</w:t>
      </w:r>
      <w:r>
        <w:rPr>
          <w:rFonts w:hint="eastAsia" w:ascii="宋体" w:hAnsi="宋体" w:eastAsia="宋体" w:cs="宋体"/>
          <w:b/>
          <w:color w:val="auto"/>
          <w:sz w:val="24"/>
          <w:u w:val="thick"/>
        </w:rPr>
        <w:t>采购代理机构名称）</w:t>
      </w:r>
      <w:r>
        <w:rPr>
          <w:rFonts w:hint="eastAsia" w:ascii="宋体" w:hAnsi="宋体" w:eastAsia="宋体" w:cs="宋体"/>
          <w:color w:val="auto"/>
          <w:sz w:val="24"/>
        </w:rPr>
        <w:t>组织的项目</w:t>
      </w:r>
      <w:r>
        <w:rPr>
          <w:rFonts w:hint="eastAsia" w:ascii="宋体" w:hAnsi="宋体" w:eastAsia="宋体" w:cs="宋体"/>
          <w:b/>
          <w:color w:val="auto"/>
          <w:sz w:val="24"/>
          <w:u w:val="thick"/>
        </w:rPr>
        <w:t>（项目编号：        ）</w:t>
      </w:r>
      <w:r>
        <w:rPr>
          <w:rFonts w:hint="eastAsia" w:ascii="宋体" w:hAnsi="宋体" w:eastAsia="宋体" w:cs="宋体"/>
          <w:color w:val="auto"/>
          <w:sz w:val="24"/>
        </w:rPr>
        <w:t>的投标。现就联合体投标事宜订立如下协议：</w:t>
      </w:r>
    </w:p>
    <w:p>
      <w:pPr>
        <w:autoSpaceDE w:val="0"/>
        <w:autoSpaceDN w:val="0"/>
        <w:adjustRightInd w:val="0"/>
        <w:spacing w:line="360" w:lineRule="auto"/>
        <w:ind w:firstLine="360" w:firstLineChars="150"/>
        <w:jc w:val="left"/>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b/>
          <w:color w:val="auto"/>
          <w:sz w:val="24"/>
          <w:u w:val="thick"/>
        </w:rPr>
        <w:t>（某成员单位名称）</w:t>
      </w:r>
      <w:r>
        <w:rPr>
          <w:rFonts w:hint="eastAsia" w:ascii="宋体" w:hAnsi="宋体" w:eastAsia="宋体" w:cs="宋体"/>
          <w:color w:val="auto"/>
          <w:sz w:val="24"/>
        </w:rPr>
        <w:t>为联合体的牵头方。</w:t>
      </w:r>
    </w:p>
    <w:p>
      <w:pPr>
        <w:autoSpaceDE w:val="0"/>
        <w:autoSpaceDN w:val="0"/>
        <w:adjustRightInd w:val="0"/>
        <w:spacing w:line="360" w:lineRule="auto"/>
        <w:ind w:firstLine="420"/>
        <w:jc w:val="left"/>
        <w:rPr>
          <w:rFonts w:hint="eastAsia" w:ascii="宋体" w:hAnsi="宋体" w:eastAsia="宋体" w:cs="宋体"/>
          <w:color w:val="auto"/>
          <w:sz w:val="24"/>
        </w:rPr>
      </w:pPr>
      <w:r>
        <w:rPr>
          <w:rFonts w:hint="eastAsia" w:ascii="宋体" w:hAnsi="宋体" w:eastAsia="宋体" w:cs="宋体"/>
          <w:color w:val="auto"/>
          <w:sz w:val="24"/>
        </w:rPr>
        <w:t>2、联合体牵头方合法代表联合体各成员负责本招标项目投标文件编制和合同谈判活动，并代表联合体提交和接收相关的资料、信息及指示，并处理与之有关的一切事务，负责合同实施阶段的主办、组织和协调工作。</w:t>
      </w:r>
    </w:p>
    <w:p>
      <w:pPr>
        <w:autoSpaceDE w:val="0"/>
        <w:autoSpaceDN w:val="0"/>
        <w:adjustRightInd w:val="0"/>
        <w:spacing w:line="360" w:lineRule="auto"/>
        <w:ind w:firstLine="420"/>
        <w:jc w:val="left"/>
        <w:rPr>
          <w:rFonts w:hint="eastAsia" w:ascii="宋体" w:hAnsi="宋体" w:eastAsia="宋体" w:cs="宋体"/>
          <w:color w:val="auto"/>
          <w:sz w:val="24"/>
        </w:rPr>
      </w:pPr>
      <w:r>
        <w:rPr>
          <w:rFonts w:hint="eastAsia" w:ascii="宋体" w:hAnsi="宋体" w:eastAsia="宋体" w:cs="宋体"/>
          <w:color w:val="auto"/>
          <w:sz w:val="24"/>
        </w:rPr>
        <w:t>3、联合体将严格按照招标文件的各项要求，递交投标文件，履行合同，并对外承担连带责任。</w:t>
      </w:r>
    </w:p>
    <w:p>
      <w:pPr>
        <w:autoSpaceDE w:val="0"/>
        <w:autoSpaceDN w:val="0"/>
        <w:adjustRightInd w:val="0"/>
        <w:spacing w:line="360" w:lineRule="auto"/>
        <w:ind w:firstLine="420"/>
        <w:jc w:val="left"/>
        <w:rPr>
          <w:rFonts w:hint="eastAsia" w:ascii="宋体" w:hAnsi="宋体" w:eastAsia="宋体" w:cs="宋体"/>
          <w:color w:val="auto"/>
          <w:sz w:val="24"/>
        </w:rPr>
      </w:pPr>
      <w:r>
        <w:rPr>
          <w:rFonts w:hint="eastAsia" w:ascii="宋体" w:hAnsi="宋体" w:eastAsia="宋体" w:cs="宋体"/>
          <w:color w:val="auto"/>
          <w:sz w:val="24"/>
        </w:rPr>
        <w:t>4、联合体各成员单位内部的职责及其所占项目公司股份比例分配如下：xx为联合体牵头方，占股xx，负责xx；（建设单位、设计单位……）（根据内部职责分配填写） 。</w:t>
      </w:r>
    </w:p>
    <w:p>
      <w:pPr>
        <w:autoSpaceDE w:val="0"/>
        <w:autoSpaceDN w:val="0"/>
        <w:adjustRightInd w:val="0"/>
        <w:spacing w:line="360" w:lineRule="auto"/>
        <w:ind w:firstLine="420"/>
        <w:jc w:val="left"/>
        <w:rPr>
          <w:rFonts w:hint="eastAsia" w:ascii="宋体" w:hAnsi="宋体" w:eastAsia="宋体" w:cs="宋体"/>
          <w:color w:val="auto"/>
          <w:sz w:val="24"/>
        </w:rPr>
      </w:pPr>
      <w:r>
        <w:rPr>
          <w:rFonts w:hint="eastAsia" w:ascii="宋体" w:hAnsi="宋体" w:eastAsia="宋体" w:cs="宋体"/>
          <w:color w:val="auto"/>
          <w:sz w:val="24"/>
        </w:rPr>
        <w:t>5、本协议书自签署之日起生效，合同履行完毕后自动失效。</w:t>
      </w:r>
    </w:p>
    <w:p>
      <w:pPr>
        <w:autoSpaceDE w:val="0"/>
        <w:autoSpaceDN w:val="0"/>
        <w:adjustRightInd w:val="0"/>
        <w:spacing w:line="360" w:lineRule="auto"/>
        <w:ind w:firstLine="420"/>
        <w:jc w:val="left"/>
        <w:rPr>
          <w:rFonts w:hint="eastAsia" w:ascii="宋体" w:hAnsi="宋体" w:eastAsia="宋体" w:cs="宋体"/>
          <w:color w:val="auto"/>
          <w:sz w:val="24"/>
        </w:rPr>
      </w:pPr>
      <w:r>
        <w:rPr>
          <w:rFonts w:hint="eastAsia" w:ascii="宋体" w:hAnsi="宋体" w:eastAsia="宋体" w:cs="宋体"/>
          <w:color w:val="auto"/>
          <w:sz w:val="24"/>
        </w:rPr>
        <w:t>6、本协议书一式**份，联合体成员和采购代理机构各执一份。</w:t>
      </w:r>
    </w:p>
    <w:p>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联合体牵头方名称：（盖单位公章）</w:t>
      </w:r>
    </w:p>
    <w:p>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法定代表人：（签字或盖章）</w:t>
      </w:r>
    </w:p>
    <w:p>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成员一名称：（盖单位公章）</w:t>
      </w:r>
    </w:p>
    <w:p>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法定代表人：（签字或盖章）</w:t>
      </w:r>
    </w:p>
    <w:p>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成员二名称：（盖单位公章）</w:t>
      </w:r>
    </w:p>
    <w:p>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法定代表人：（签字或盖章）</w:t>
      </w:r>
    </w:p>
    <w:p>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成员三名称：（盖单位公章）</w:t>
      </w:r>
    </w:p>
    <w:p>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法定代表人：（签字或盖章）</w:t>
      </w:r>
    </w:p>
    <w:p>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成员四名称：（盖单位公章）</w:t>
      </w:r>
    </w:p>
    <w:p>
      <w:pPr>
        <w:topLinePunct/>
        <w:snapToGrid w:val="0"/>
        <w:spacing w:line="276"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年月日</w:t>
      </w:r>
    </w:p>
    <w:p>
      <w:pPr>
        <w:spacing w:line="360" w:lineRule="auto"/>
        <w:ind w:right="480" w:firstLine="420"/>
        <w:jc w:val="left"/>
        <w:rPr>
          <w:rFonts w:hint="eastAsia" w:ascii="宋体" w:hAnsi="宋体" w:eastAsia="宋体" w:cs="宋体"/>
          <w:color w:val="auto"/>
          <w:sz w:val="28"/>
          <w:szCs w:val="28"/>
        </w:rPr>
      </w:pPr>
    </w:p>
    <w:p>
      <w:pPr>
        <w:spacing w:line="360" w:lineRule="auto"/>
        <w:ind w:right="480" w:firstLine="420"/>
        <w:jc w:val="left"/>
        <w:rPr>
          <w:rFonts w:hint="eastAsia" w:ascii="宋体" w:hAnsi="宋体" w:eastAsia="宋体" w:cs="宋体"/>
          <w:color w:val="auto"/>
          <w:sz w:val="24"/>
        </w:rPr>
      </w:pPr>
      <w:r>
        <w:rPr>
          <w:rFonts w:hint="eastAsia" w:ascii="宋体" w:hAnsi="宋体" w:eastAsia="宋体" w:cs="宋体"/>
          <w:color w:val="auto"/>
          <w:sz w:val="24"/>
        </w:rPr>
        <w:t>注：</w:t>
      </w:r>
    </w:p>
    <w:p>
      <w:pPr>
        <w:spacing w:line="360" w:lineRule="auto"/>
        <w:ind w:right="480" w:firstLine="420"/>
        <w:jc w:val="left"/>
        <w:rPr>
          <w:rFonts w:hint="eastAsia" w:ascii="宋体" w:hAnsi="宋体" w:eastAsia="宋体" w:cs="宋体"/>
          <w:color w:val="auto"/>
          <w:sz w:val="24"/>
        </w:rPr>
      </w:pPr>
      <w:r>
        <w:rPr>
          <w:rFonts w:hint="eastAsia" w:ascii="宋体" w:hAnsi="宋体" w:eastAsia="宋体" w:cs="宋体"/>
          <w:color w:val="auto"/>
          <w:sz w:val="24"/>
        </w:rPr>
        <w:t>1、联合体可根据自身情况增加联合体协议内容，但不得缺少上述信息，且联合体协议内容不能与资格预审时提交的联合体协议内容相违背。</w:t>
      </w:r>
    </w:p>
    <w:p>
      <w:pPr>
        <w:spacing w:line="360" w:lineRule="auto"/>
        <w:ind w:right="480" w:firstLine="420"/>
        <w:jc w:val="left"/>
        <w:rPr>
          <w:rFonts w:hint="eastAsia" w:ascii="宋体" w:hAnsi="宋体" w:eastAsia="宋体" w:cs="宋体"/>
          <w:color w:val="auto"/>
          <w:sz w:val="24"/>
        </w:rPr>
      </w:pPr>
      <w:r>
        <w:rPr>
          <w:rFonts w:hint="eastAsia" w:ascii="宋体" w:hAnsi="宋体" w:eastAsia="宋体" w:cs="宋体"/>
          <w:color w:val="auto"/>
          <w:sz w:val="24"/>
        </w:rPr>
        <w:t>2、本协议书由委托代理人签字的，应附法定代表人授权委托书。</w:t>
      </w:r>
    </w:p>
    <w:bookmarkEnd w:id="344"/>
    <w:p>
      <w:pPr>
        <w:spacing w:before="120" w:after="120" w:line="360" w:lineRule="auto"/>
        <w:rPr>
          <w:rStyle w:val="39"/>
          <w:rFonts w:hint="eastAsia" w:ascii="宋体" w:hAnsi="宋体" w:eastAsia="宋体" w:cs="宋体"/>
          <w:color w:val="auto"/>
          <w:sz w:val="24"/>
        </w:rPr>
      </w:pPr>
      <w:r>
        <w:rPr>
          <w:rStyle w:val="39"/>
          <w:rFonts w:hint="eastAsia" w:ascii="宋体" w:hAnsi="宋体" w:eastAsia="宋体" w:cs="宋体"/>
          <w:color w:val="auto"/>
          <w:sz w:val="24"/>
        </w:rPr>
        <w:t xml:space="preserve">      </w:t>
      </w:r>
    </w:p>
    <w:p>
      <w:pPr>
        <w:pStyle w:val="5"/>
        <w:jc w:val="both"/>
        <w:rPr>
          <w:rStyle w:val="39"/>
          <w:rFonts w:hint="eastAsia" w:ascii="宋体" w:hAnsi="宋体" w:eastAsia="宋体" w:cs="宋体"/>
          <w:color w:val="auto"/>
          <w:sz w:val="24"/>
          <w:szCs w:val="24"/>
        </w:rPr>
      </w:pPr>
      <w:r>
        <w:rPr>
          <w:rStyle w:val="39"/>
          <w:rFonts w:hint="eastAsia" w:ascii="宋体" w:hAnsi="宋体" w:eastAsia="宋体" w:cs="宋体"/>
          <w:bCs w:val="0"/>
          <w:color w:val="auto"/>
          <w:sz w:val="24"/>
        </w:rPr>
        <w:br w:type="page"/>
      </w:r>
      <w:bookmarkStart w:id="345" w:name="_Toc13780"/>
      <w:bookmarkStart w:id="346" w:name="_Toc31043"/>
      <w:r>
        <w:rPr>
          <w:rStyle w:val="39"/>
          <w:rFonts w:hint="eastAsia" w:ascii="宋体" w:hAnsi="宋体" w:eastAsia="宋体" w:cs="宋体"/>
          <w:bCs w:val="0"/>
          <w:color w:val="auto"/>
          <w:sz w:val="24"/>
        </w:rPr>
        <w:t>五、</w:t>
      </w:r>
      <w:r>
        <w:rPr>
          <w:rStyle w:val="39"/>
          <w:rFonts w:hint="eastAsia" w:ascii="宋体" w:hAnsi="宋体" w:eastAsia="宋体" w:cs="宋体"/>
          <w:color w:val="auto"/>
          <w:sz w:val="24"/>
          <w:szCs w:val="24"/>
        </w:rPr>
        <w:t>企业实力、业绩及企业信誉证明材料</w:t>
      </w:r>
      <w:bookmarkEnd w:id="345"/>
      <w:bookmarkEnd w:id="346"/>
    </w:p>
    <w:p>
      <w:pPr>
        <w:spacing w:after="100" w:line="360" w:lineRule="auto"/>
        <w:ind w:firstLine="480" w:firstLineChars="200"/>
        <w:jc w:val="left"/>
        <w:rPr>
          <w:rStyle w:val="39"/>
          <w:rFonts w:hint="eastAsia" w:ascii="宋体" w:hAnsi="宋体" w:eastAsia="宋体" w:cs="宋体"/>
          <w:color w:val="auto"/>
          <w:sz w:val="24"/>
        </w:rPr>
      </w:pPr>
    </w:p>
    <w:p>
      <w:pPr>
        <w:spacing w:before="60" w:after="60" w:line="360" w:lineRule="auto"/>
        <w:ind w:firstLine="480" w:firstLineChars="200"/>
        <w:rPr>
          <w:rStyle w:val="39"/>
          <w:rFonts w:hint="eastAsia" w:ascii="宋体" w:hAnsi="宋体" w:eastAsia="宋体" w:cs="宋体"/>
          <w:color w:val="auto"/>
          <w:sz w:val="24"/>
          <w:highlight w:val="yellow"/>
        </w:rPr>
      </w:pPr>
      <w:r>
        <w:rPr>
          <w:rStyle w:val="39"/>
          <w:rFonts w:hint="eastAsia" w:ascii="宋体" w:hAnsi="宋体" w:eastAsia="宋体" w:cs="宋体"/>
          <w:color w:val="auto"/>
          <w:sz w:val="24"/>
          <w:highlight w:val="yellow"/>
        </w:rPr>
        <w:t>（一）企业实力</w:t>
      </w:r>
    </w:p>
    <w:p>
      <w:pPr>
        <w:spacing w:before="60" w:after="60" w:line="360" w:lineRule="auto"/>
        <w:ind w:firstLine="480" w:firstLineChars="200"/>
        <w:rPr>
          <w:rStyle w:val="39"/>
          <w:rFonts w:hint="eastAsia" w:ascii="宋体" w:hAnsi="宋体" w:eastAsia="宋体" w:cs="宋体"/>
          <w:color w:val="auto"/>
          <w:sz w:val="24"/>
          <w:highlight w:val="yellow"/>
        </w:rPr>
      </w:pPr>
      <w:r>
        <w:rPr>
          <w:rStyle w:val="39"/>
          <w:rFonts w:hint="eastAsia" w:ascii="宋体" w:hAnsi="宋体" w:eastAsia="宋体" w:cs="宋体"/>
          <w:color w:val="auto"/>
          <w:sz w:val="24"/>
          <w:highlight w:val="yellow"/>
        </w:rPr>
        <w:t>1.自有资金证明文件复印件</w:t>
      </w:r>
    </w:p>
    <w:p>
      <w:pPr>
        <w:spacing w:before="60" w:after="60" w:line="360" w:lineRule="auto"/>
        <w:ind w:firstLine="480" w:firstLineChars="200"/>
        <w:rPr>
          <w:rStyle w:val="39"/>
          <w:rFonts w:hint="eastAsia" w:ascii="宋体" w:hAnsi="宋体" w:eastAsia="宋体" w:cs="宋体"/>
          <w:color w:val="auto"/>
          <w:sz w:val="24"/>
          <w:highlight w:val="yellow"/>
        </w:rPr>
      </w:pPr>
      <w:r>
        <w:rPr>
          <w:rStyle w:val="39"/>
          <w:rFonts w:hint="eastAsia" w:ascii="宋体" w:hAnsi="宋体" w:eastAsia="宋体" w:cs="宋体"/>
          <w:color w:val="auto"/>
          <w:sz w:val="24"/>
          <w:highlight w:val="yellow"/>
        </w:rPr>
        <w:t xml:space="preserve">2.银行授信额度证明文件复印件 </w:t>
      </w:r>
    </w:p>
    <w:p>
      <w:pPr>
        <w:spacing w:before="60" w:after="60" w:line="360" w:lineRule="auto"/>
        <w:ind w:firstLine="480" w:firstLineChars="200"/>
        <w:rPr>
          <w:rStyle w:val="39"/>
          <w:rFonts w:hint="eastAsia" w:ascii="宋体" w:hAnsi="宋体" w:eastAsia="宋体" w:cs="宋体"/>
          <w:color w:val="auto"/>
          <w:sz w:val="24"/>
          <w:highlight w:val="yellow"/>
        </w:rPr>
      </w:pPr>
      <w:r>
        <w:rPr>
          <w:rStyle w:val="39"/>
          <w:rFonts w:hint="eastAsia" w:ascii="宋体" w:hAnsi="宋体" w:eastAsia="宋体" w:cs="宋体"/>
          <w:color w:val="auto"/>
          <w:sz w:val="24"/>
          <w:highlight w:val="yellow"/>
        </w:rPr>
        <w:t>3</w:t>
      </w:r>
      <w:r>
        <w:rPr>
          <w:rStyle w:val="39"/>
          <w:rFonts w:hint="eastAsia" w:ascii="宋体" w:hAnsi="宋体" w:eastAsia="宋体" w:cs="宋体"/>
          <w:color w:val="auto"/>
          <w:sz w:val="24"/>
          <w:highlight w:val="yellow"/>
          <w:lang w:eastAsia="zh-CN"/>
        </w:rPr>
        <w:t>.</w:t>
      </w:r>
      <w:r>
        <w:rPr>
          <w:rStyle w:val="39"/>
          <w:rFonts w:hint="eastAsia" w:ascii="宋体" w:hAnsi="宋体" w:eastAsia="宋体" w:cs="宋体"/>
          <w:color w:val="auto"/>
          <w:sz w:val="24"/>
          <w:highlight w:val="yellow"/>
        </w:rPr>
        <w:t>投标人2018-2020年的财务报表</w:t>
      </w:r>
      <w:r>
        <w:rPr>
          <w:rStyle w:val="39"/>
          <w:rFonts w:hint="eastAsia" w:ascii="宋体" w:hAnsi="宋体" w:cs="宋体"/>
          <w:color w:val="auto"/>
          <w:sz w:val="24"/>
          <w:highlight w:val="yellow"/>
          <w:lang w:eastAsia="zh-CN"/>
        </w:rPr>
        <w:t>（</w:t>
      </w:r>
      <w:r>
        <w:rPr>
          <w:rStyle w:val="39"/>
          <w:rFonts w:hint="eastAsia" w:ascii="宋体" w:hAnsi="宋体" w:eastAsia="宋体" w:cs="宋体"/>
          <w:color w:val="auto"/>
          <w:sz w:val="24"/>
          <w:highlight w:val="yellow"/>
        </w:rPr>
        <w:t>对于从取得营业执照时间起到投标截止时间为止不足要求年数的企业，只需提交企业取得营业执照年份至所要求最近年份的财务报表。若为联合体投标的，联合体各方均需提供。</w:t>
      </w:r>
      <w:r>
        <w:rPr>
          <w:rStyle w:val="39"/>
          <w:rFonts w:hint="eastAsia" w:ascii="宋体" w:hAnsi="宋体" w:cs="宋体"/>
          <w:color w:val="auto"/>
          <w:sz w:val="24"/>
          <w:highlight w:val="yellow"/>
          <w:lang w:eastAsia="zh-CN"/>
        </w:rPr>
        <w:t>）</w:t>
      </w:r>
    </w:p>
    <w:p>
      <w:pPr>
        <w:spacing w:line="360" w:lineRule="auto"/>
        <w:ind w:firstLine="480" w:firstLineChars="200"/>
        <w:jc w:val="left"/>
        <w:rPr>
          <w:rStyle w:val="39"/>
          <w:rFonts w:hint="eastAsia" w:ascii="宋体" w:hAnsi="宋体" w:eastAsia="宋体" w:cs="宋体"/>
          <w:color w:val="auto"/>
          <w:sz w:val="24"/>
        </w:rPr>
      </w:pPr>
      <w:r>
        <w:rPr>
          <w:rStyle w:val="39"/>
          <w:rFonts w:hint="eastAsia" w:ascii="宋体" w:hAnsi="宋体" w:eastAsia="宋体" w:cs="宋体"/>
          <w:color w:val="auto"/>
          <w:sz w:val="24"/>
        </w:rPr>
        <w:t>（二）项目业绩证明文件复印件</w:t>
      </w:r>
    </w:p>
    <w:p>
      <w:pPr>
        <w:spacing w:line="360" w:lineRule="auto"/>
        <w:ind w:firstLine="480" w:firstLineChars="200"/>
        <w:jc w:val="left"/>
        <w:rPr>
          <w:rStyle w:val="39"/>
          <w:rFonts w:hint="eastAsia" w:ascii="宋体" w:hAnsi="宋体" w:eastAsia="宋体" w:cs="宋体"/>
          <w:color w:val="auto"/>
          <w:sz w:val="24"/>
        </w:rPr>
      </w:pPr>
      <w:r>
        <w:rPr>
          <w:rStyle w:val="39"/>
          <w:rFonts w:hint="eastAsia" w:ascii="宋体" w:hAnsi="宋体" w:eastAsia="宋体" w:cs="宋体"/>
          <w:color w:val="auto"/>
          <w:sz w:val="24"/>
        </w:rPr>
        <w:t>业绩证明可以是中标通知书、合同协议书复印件、业绩项目实施机构或政府行业主管部门出具的证明等材料中的任一种，但证明材料需显示投资额、项目内容、项目规模等关键信息。若联合体投标，联合体牵头人需加盖公章；同时，提供该项业绩的成员方需加盖公章。</w:t>
      </w:r>
    </w:p>
    <w:p>
      <w:pPr>
        <w:spacing w:line="360" w:lineRule="auto"/>
        <w:ind w:firstLine="480" w:firstLineChars="200"/>
        <w:jc w:val="left"/>
        <w:rPr>
          <w:rStyle w:val="39"/>
          <w:rFonts w:hint="eastAsia" w:ascii="宋体" w:hAnsi="宋体" w:eastAsia="宋体" w:cs="宋体"/>
          <w:color w:val="auto"/>
          <w:sz w:val="24"/>
        </w:rPr>
      </w:pPr>
      <w:r>
        <w:rPr>
          <w:rStyle w:val="39"/>
          <w:rFonts w:hint="eastAsia" w:ascii="宋体" w:hAnsi="宋体" w:eastAsia="宋体" w:cs="宋体"/>
          <w:color w:val="auto"/>
          <w:sz w:val="24"/>
        </w:rPr>
        <w:t>（三）企业信誉证明文件复印件</w:t>
      </w:r>
    </w:p>
    <w:p>
      <w:pPr>
        <w:pStyle w:val="30"/>
        <w:rPr>
          <w:rFonts w:hint="eastAsia" w:ascii="宋体" w:hAnsi="宋体" w:eastAsia="宋体" w:cs="宋体"/>
          <w:color w:val="auto"/>
        </w:rPr>
      </w:pPr>
    </w:p>
    <w:p>
      <w:pPr>
        <w:pStyle w:val="30"/>
        <w:rPr>
          <w:rFonts w:hint="eastAsia" w:ascii="宋体" w:hAnsi="宋体" w:eastAsia="宋体" w:cs="宋体"/>
          <w:color w:val="auto"/>
        </w:rPr>
      </w:pPr>
    </w:p>
    <w:p>
      <w:pPr>
        <w:pStyle w:val="5"/>
        <w:jc w:val="both"/>
        <w:rPr>
          <w:rStyle w:val="39"/>
          <w:rFonts w:hint="eastAsia" w:ascii="宋体" w:hAnsi="宋体" w:eastAsia="宋体" w:cs="宋体"/>
          <w:color w:val="auto"/>
          <w:sz w:val="24"/>
          <w:szCs w:val="24"/>
        </w:rPr>
        <w:sectPr>
          <w:pgSz w:w="11906" w:h="16838"/>
          <w:pgMar w:top="1247" w:right="1418" w:bottom="1247" w:left="1418" w:header="851" w:footer="851" w:gutter="0"/>
          <w:cols w:space="720" w:num="1"/>
        </w:sectPr>
      </w:pPr>
      <w:bookmarkStart w:id="347" w:name="_Toc14853"/>
      <w:bookmarkStart w:id="348" w:name="_Toc3145"/>
      <w:r>
        <w:rPr>
          <w:rStyle w:val="39"/>
          <w:rFonts w:hint="eastAsia" w:ascii="宋体" w:hAnsi="宋体" w:eastAsia="宋体" w:cs="宋体"/>
          <w:color w:val="auto"/>
          <w:sz w:val="24"/>
          <w:szCs w:val="24"/>
        </w:rPr>
        <w:t>六、投标人认为需要提供的其他资料。</w:t>
      </w:r>
      <w:bookmarkEnd w:id="347"/>
      <w:bookmarkEnd w:id="348"/>
    </w:p>
    <w:p>
      <w:pPr>
        <w:pStyle w:val="5"/>
        <w:jc w:val="left"/>
        <w:rPr>
          <w:rStyle w:val="39"/>
          <w:rFonts w:hint="eastAsia" w:ascii="宋体" w:hAnsi="宋体" w:eastAsia="宋体" w:cs="宋体"/>
          <w:color w:val="auto"/>
          <w:sz w:val="24"/>
          <w:szCs w:val="24"/>
        </w:rPr>
      </w:pPr>
      <w:bookmarkStart w:id="349" w:name="_Toc12754"/>
      <w:bookmarkStart w:id="350" w:name="_Toc16245"/>
      <w:bookmarkStart w:id="351" w:name="_Toc54622575"/>
      <w:r>
        <w:rPr>
          <w:rStyle w:val="39"/>
          <w:rFonts w:hint="eastAsia" w:ascii="宋体" w:hAnsi="宋体" w:eastAsia="宋体" w:cs="宋体"/>
          <w:color w:val="auto"/>
          <w:sz w:val="24"/>
          <w:szCs w:val="24"/>
        </w:rPr>
        <w:t>技术文件</w:t>
      </w:r>
      <w:bookmarkEnd w:id="349"/>
      <w:bookmarkEnd w:id="350"/>
      <w:bookmarkEnd w:id="351"/>
    </w:p>
    <w:p>
      <w:pPr>
        <w:rPr>
          <w:rFonts w:hint="eastAsia" w:ascii="宋体" w:hAnsi="宋体" w:eastAsia="宋体" w:cs="宋体"/>
          <w:color w:val="auto"/>
        </w:rPr>
      </w:pPr>
    </w:p>
    <w:p>
      <w:pPr>
        <w:pStyle w:val="30"/>
        <w:rPr>
          <w:rFonts w:hint="eastAsia" w:ascii="宋体" w:hAnsi="宋体" w:eastAsia="宋体" w:cs="宋体"/>
          <w:color w:val="auto"/>
        </w:rPr>
      </w:pPr>
      <w:r>
        <w:rPr>
          <w:rFonts w:hint="eastAsia" w:ascii="宋体" w:hAnsi="宋体" w:eastAsia="宋体" w:cs="宋体"/>
          <w:color w:val="auto"/>
        </w:rPr>
        <w:t>投标人根据招标文件采购需求及评标办法的相关要求编制，格式自拟。</w:t>
      </w:r>
    </w:p>
    <w:p>
      <w:pPr>
        <w:pStyle w:val="30"/>
        <w:rPr>
          <w:rFonts w:hint="eastAsia" w:ascii="宋体" w:hAnsi="宋体" w:eastAsia="宋体" w:cs="宋体"/>
          <w:color w:val="auto"/>
        </w:rPr>
      </w:pPr>
    </w:p>
    <w:p>
      <w:pPr>
        <w:pStyle w:val="61"/>
        <w:numPr>
          <w:ilvl w:val="0"/>
          <w:numId w:val="11"/>
        </w:numPr>
        <w:spacing w:line="480" w:lineRule="auto"/>
        <w:ind w:left="1304" w:firstLineChars="0"/>
        <w:rPr>
          <w:rStyle w:val="39"/>
          <w:rFonts w:hint="eastAsia" w:ascii="宋体" w:hAnsi="宋体" w:eastAsia="宋体" w:cs="宋体"/>
          <w:b/>
          <w:color w:val="auto"/>
          <w:sz w:val="24"/>
        </w:rPr>
      </w:pPr>
      <w:r>
        <w:rPr>
          <w:rStyle w:val="39"/>
          <w:rFonts w:hint="eastAsia" w:ascii="宋体" w:hAnsi="宋体" w:eastAsia="宋体" w:cs="宋体"/>
          <w:b/>
          <w:color w:val="auto"/>
          <w:sz w:val="24"/>
        </w:rPr>
        <w:t>投融资方案</w:t>
      </w:r>
    </w:p>
    <w:p>
      <w:pPr>
        <w:pStyle w:val="61"/>
        <w:numPr>
          <w:ilvl w:val="0"/>
          <w:numId w:val="11"/>
        </w:numPr>
        <w:spacing w:line="480" w:lineRule="auto"/>
        <w:ind w:left="1304" w:firstLineChars="0"/>
        <w:rPr>
          <w:rStyle w:val="39"/>
          <w:rFonts w:hint="eastAsia" w:ascii="宋体" w:hAnsi="宋体" w:eastAsia="宋体" w:cs="宋体"/>
          <w:b/>
          <w:color w:val="auto"/>
          <w:sz w:val="24"/>
        </w:rPr>
      </w:pPr>
      <w:r>
        <w:rPr>
          <w:rStyle w:val="39"/>
          <w:rFonts w:hint="eastAsia" w:ascii="宋体" w:hAnsi="宋体" w:eastAsia="宋体" w:cs="宋体"/>
          <w:b/>
          <w:color w:val="auto"/>
          <w:sz w:val="24"/>
        </w:rPr>
        <w:t>项目公司组建方案</w:t>
      </w:r>
    </w:p>
    <w:p>
      <w:pPr>
        <w:pStyle w:val="61"/>
        <w:numPr>
          <w:ilvl w:val="0"/>
          <w:numId w:val="11"/>
        </w:numPr>
        <w:spacing w:line="480" w:lineRule="auto"/>
        <w:ind w:left="1304" w:firstLineChars="0"/>
        <w:rPr>
          <w:rStyle w:val="39"/>
          <w:rFonts w:hint="eastAsia" w:ascii="宋体" w:hAnsi="宋体" w:eastAsia="宋体" w:cs="宋体"/>
          <w:b/>
          <w:color w:val="auto"/>
          <w:sz w:val="24"/>
        </w:rPr>
      </w:pPr>
      <w:r>
        <w:rPr>
          <w:rStyle w:val="39"/>
          <w:rFonts w:hint="eastAsia" w:ascii="宋体" w:hAnsi="宋体" w:eastAsia="宋体" w:cs="宋体"/>
          <w:b/>
          <w:color w:val="auto"/>
          <w:sz w:val="24"/>
        </w:rPr>
        <w:t>建设施工组织方案</w:t>
      </w:r>
    </w:p>
    <w:p>
      <w:pPr>
        <w:pStyle w:val="61"/>
        <w:numPr>
          <w:ilvl w:val="0"/>
          <w:numId w:val="11"/>
        </w:numPr>
        <w:spacing w:line="480" w:lineRule="auto"/>
        <w:ind w:left="1304" w:firstLineChars="0"/>
        <w:rPr>
          <w:rStyle w:val="39"/>
          <w:rFonts w:hint="eastAsia" w:ascii="宋体" w:hAnsi="宋体" w:eastAsia="宋体" w:cs="宋体"/>
          <w:b/>
          <w:color w:val="auto"/>
          <w:sz w:val="24"/>
        </w:rPr>
      </w:pPr>
      <w:r>
        <w:rPr>
          <w:rStyle w:val="39"/>
          <w:rFonts w:hint="eastAsia" w:ascii="宋体" w:hAnsi="宋体" w:eastAsia="宋体" w:cs="宋体"/>
          <w:b/>
          <w:color w:val="auto"/>
          <w:sz w:val="24"/>
        </w:rPr>
        <w:t>环境保护方案</w:t>
      </w:r>
    </w:p>
    <w:p>
      <w:pPr>
        <w:pStyle w:val="61"/>
        <w:numPr>
          <w:ilvl w:val="0"/>
          <w:numId w:val="11"/>
        </w:numPr>
        <w:spacing w:line="480" w:lineRule="auto"/>
        <w:ind w:left="1304" w:firstLineChars="0"/>
        <w:rPr>
          <w:rStyle w:val="39"/>
          <w:rFonts w:hint="eastAsia" w:ascii="宋体" w:hAnsi="宋体" w:eastAsia="宋体" w:cs="宋体"/>
          <w:b/>
          <w:color w:val="auto"/>
          <w:sz w:val="24"/>
        </w:rPr>
      </w:pPr>
      <w:r>
        <w:rPr>
          <w:rStyle w:val="39"/>
          <w:rFonts w:hint="eastAsia" w:ascii="宋体" w:hAnsi="宋体" w:eastAsia="宋体" w:cs="宋体"/>
          <w:b/>
          <w:color w:val="auto"/>
          <w:sz w:val="24"/>
        </w:rPr>
        <w:t>运营维护方案</w:t>
      </w:r>
    </w:p>
    <w:p>
      <w:pPr>
        <w:pStyle w:val="61"/>
        <w:numPr>
          <w:ilvl w:val="0"/>
          <w:numId w:val="11"/>
        </w:numPr>
        <w:spacing w:line="480" w:lineRule="auto"/>
        <w:ind w:left="1304" w:hanging="597" w:firstLineChars="0"/>
        <w:rPr>
          <w:rStyle w:val="39"/>
          <w:rFonts w:hint="eastAsia" w:ascii="宋体" w:hAnsi="宋体" w:eastAsia="宋体" w:cs="宋体"/>
          <w:b/>
          <w:color w:val="auto"/>
          <w:sz w:val="24"/>
        </w:rPr>
      </w:pPr>
      <w:r>
        <w:rPr>
          <w:rStyle w:val="39"/>
          <w:rFonts w:hint="eastAsia" w:ascii="宋体" w:hAnsi="宋体" w:eastAsia="宋体" w:cs="宋体"/>
          <w:b/>
          <w:color w:val="auto"/>
          <w:sz w:val="24"/>
        </w:rPr>
        <w:t>移交方案</w:t>
      </w:r>
    </w:p>
    <w:p>
      <w:pPr>
        <w:pStyle w:val="61"/>
        <w:numPr>
          <w:ilvl w:val="0"/>
          <w:numId w:val="11"/>
        </w:numPr>
        <w:spacing w:line="480" w:lineRule="auto"/>
        <w:ind w:left="1304" w:hanging="597" w:firstLineChars="0"/>
        <w:rPr>
          <w:rFonts w:hint="eastAsia" w:ascii="宋体" w:hAnsi="宋体" w:eastAsia="宋体" w:cs="宋体"/>
          <w:b/>
          <w:color w:val="auto"/>
          <w:sz w:val="24"/>
        </w:rPr>
        <w:sectPr>
          <w:pgSz w:w="11906" w:h="16838"/>
          <w:pgMar w:top="1247" w:right="1418" w:bottom="1247" w:left="1418" w:header="851" w:footer="851" w:gutter="0"/>
          <w:cols w:space="720" w:num="1"/>
        </w:sectPr>
      </w:pPr>
      <w:r>
        <w:rPr>
          <w:rStyle w:val="39"/>
          <w:rFonts w:hint="eastAsia" w:ascii="宋体" w:hAnsi="宋体" w:eastAsia="宋体" w:cs="宋体"/>
          <w:b/>
          <w:color w:val="auto"/>
          <w:sz w:val="24"/>
        </w:rPr>
        <w:t>投标人认为需要提供的其他资料</w:t>
      </w:r>
    </w:p>
    <w:p>
      <w:pPr>
        <w:pStyle w:val="4"/>
        <w:rPr>
          <w:rStyle w:val="39"/>
          <w:rFonts w:hint="eastAsia" w:ascii="宋体" w:hAnsi="宋体" w:eastAsia="宋体" w:cs="宋体"/>
          <w:color w:val="auto"/>
          <w:sz w:val="36"/>
          <w:szCs w:val="36"/>
        </w:rPr>
      </w:pPr>
      <w:bookmarkStart w:id="352" w:name="_Toc23037"/>
      <w:r>
        <w:rPr>
          <w:rStyle w:val="39"/>
          <w:rFonts w:hint="eastAsia" w:ascii="宋体" w:hAnsi="宋体" w:eastAsia="宋体" w:cs="宋体"/>
          <w:color w:val="auto"/>
          <w:sz w:val="36"/>
          <w:szCs w:val="36"/>
        </w:rPr>
        <w:t>附件：</w:t>
      </w:r>
      <w:bookmarkEnd w:id="352"/>
      <w:r>
        <w:rPr>
          <w:rStyle w:val="39"/>
          <w:rFonts w:hint="eastAsia" w:ascii="宋体" w:hAnsi="宋体" w:eastAsia="宋体" w:cs="宋体"/>
          <w:color w:val="auto"/>
          <w:sz w:val="36"/>
          <w:szCs w:val="36"/>
        </w:rPr>
        <w:t xml:space="preserve"> </w:t>
      </w:r>
    </w:p>
    <w:p>
      <w:pPr>
        <w:pStyle w:val="4"/>
        <w:jc w:val="center"/>
        <w:rPr>
          <w:rStyle w:val="39"/>
          <w:rFonts w:hint="eastAsia" w:ascii="宋体" w:hAnsi="宋体" w:eastAsia="宋体" w:cs="宋体"/>
          <w:color w:val="auto"/>
          <w:sz w:val="36"/>
          <w:szCs w:val="36"/>
          <w:lang w:eastAsia="zh-CN"/>
        </w:rPr>
      </w:pPr>
      <w:bookmarkStart w:id="353" w:name="_Toc7351"/>
      <w:r>
        <w:rPr>
          <w:rStyle w:val="39"/>
          <w:rFonts w:hint="eastAsia" w:ascii="宋体" w:hAnsi="宋体" w:eastAsia="宋体" w:cs="宋体"/>
          <w:color w:val="auto"/>
          <w:sz w:val="36"/>
          <w:szCs w:val="36"/>
        </w:rPr>
        <w:t>1.南宁市2020年第三批城镇老旧小区改造项目PPP实施方案</w:t>
      </w:r>
      <w:bookmarkEnd w:id="353"/>
      <w:r>
        <w:rPr>
          <w:rStyle w:val="39"/>
          <w:rFonts w:hint="eastAsia" w:ascii="宋体" w:hAnsi="宋体" w:eastAsia="宋体" w:cs="宋体"/>
          <w:color w:val="auto"/>
          <w:sz w:val="36"/>
          <w:szCs w:val="36"/>
          <w:lang w:eastAsia="zh-CN"/>
        </w:rPr>
        <w:t>（</w:t>
      </w:r>
      <w:r>
        <w:rPr>
          <w:rStyle w:val="39"/>
          <w:rFonts w:hint="eastAsia" w:ascii="宋体" w:hAnsi="宋体" w:eastAsia="宋体" w:cs="宋体"/>
          <w:color w:val="auto"/>
          <w:sz w:val="36"/>
          <w:szCs w:val="36"/>
          <w:lang w:val="en-US" w:eastAsia="zh-CN"/>
        </w:rPr>
        <w:t>另册</w:t>
      </w:r>
      <w:r>
        <w:rPr>
          <w:rStyle w:val="39"/>
          <w:rFonts w:hint="eastAsia" w:ascii="宋体" w:hAnsi="宋体" w:eastAsia="宋体" w:cs="宋体"/>
          <w:color w:val="auto"/>
          <w:sz w:val="36"/>
          <w:szCs w:val="36"/>
          <w:lang w:eastAsia="zh-CN"/>
        </w:rPr>
        <w:t>）</w:t>
      </w:r>
    </w:p>
    <w:p>
      <w:pPr>
        <w:pStyle w:val="2"/>
        <w:rPr>
          <w:rFonts w:hint="eastAsia" w:ascii="宋体" w:hAnsi="宋体" w:eastAsia="宋体" w:cs="宋体"/>
          <w:color w:val="auto"/>
        </w:rPr>
      </w:pPr>
    </w:p>
    <w:p>
      <w:pPr>
        <w:pStyle w:val="4"/>
        <w:jc w:val="center"/>
        <w:rPr>
          <w:rStyle w:val="39"/>
          <w:rFonts w:hint="eastAsia" w:ascii="宋体" w:hAnsi="宋体" w:eastAsia="宋体" w:cs="宋体"/>
          <w:color w:val="auto"/>
          <w:sz w:val="36"/>
          <w:szCs w:val="36"/>
          <w:lang w:eastAsia="zh-CN"/>
        </w:rPr>
      </w:pPr>
      <w:bookmarkStart w:id="354" w:name="_Toc5322"/>
      <w:bookmarkStart w:id="355" w:name="_Toc9482"/>
      <w:r>
        <w:rPr>
          <w:rStyle w:val="39"/>
          <w:rFonts w:hint="eastAsia" w:ascii="宋体" w:hAnsi="宋体" w:eastAsia="宋体" w:cs="宋体"/>
          <w:color w:val="auto"/>
          <w:sz w:val="36"/>
          <w:szCs w:val="36"/>
        </w:rPr>
        <w:t>2.</w:t>
      </w:r>
      <w:bookmarkEnd w:id="354"/>
      <w:r>
        <w:rPr>
          <w:rStyle w:val="39"/>
          <w:rFonts w:hint="eastAsia" w:ascii="宋体" w:hAnsi="宋体" w:eastAsia="宋体" w:cs="宋体"/>
          <w:color w:val="auto"/>
          <w:sz w:val="36"/>
          <w:szCs w:val="36"/>
        </w:rPr>
        <w:t>南宁市2020年第三批城镇老旧小区改造项目PPP合作协议</w:t>
      </w:r>
      <w:bookmarkEnd w:id="355"/>
      <w:r>
        <w:rPr>
          <w:rStyle w:val="39"/>
          <w:rFonts w:hint="eastAsia" w:ascii="宋体" w:hAnsi="宋体" w:eastAsia="宋体" w:cs="宋体"/>
          <w:color w:val="auto"/>
          <w:sz w:val="36"/>
          <w:szCs w:val="36"/>
          <w:lang w:eastAsia="zh-CN"/>
        </w:rPr>
        <w:t>（</w:t>
      </w:r>
      <w:r>
        <w:rPr>
          <w:rStyle w:val="39"/>
          <w:rFonts w:hint="eastAsia" w:ascii="宋体" w:hAnsi="宋体" w:eastAsia="宋体" w:cs="宋体"/>
          <w:color w:val="auto"/>
          <w:sz w:val="36"/>
          <w:szCs w:val="36"/>
          <w:lang w:val="en-US" w:eastAsia="zh-CN"/>
        </w:rPr>
        <w:t>另册</w:t>
      </w:r>
      <w:r>
        <w:rPr>
          <w:rStyle w:val="39"/>
          <w:rFonts w:hint="eastAsia" w:ascii="宋体" w:hAnsi="宋体" w:eastAsia="宋体" w:cs="宋体"/>
          <w:color w:val="auto"/>
          <w:sz w:val="36"/>
          <w:szCs w:val="36"/>
          <w:lang w:eastAsia="zh-CN"/>
        </w:rPr>
        <w:t>）</w:t>
      </w:r>
    </w:p>
    <w:p>
      <w:pPr>
        <w:pStyle w:val="4"/>
        <w:jc w:val="center"/>
        <w:rPr>
          <w:rStyle w:val="39"/>
          <w:rFonts w:hint="eastAsia" w:ascii="宋体" w:hAnsi="宋体" w:eastAsia="宋体" w:cs="宋体"/>
          <w:color w:val="auto"/>
          <w:sz w:val="36"/>
          <w:szCs w:val="36"/>
        </w:rPr>
      </w:pPr>
    </w:p>
    <w:p>
      <w:pPr>
        <w:rPr>
          <w:rFonts w:hint="eastAsia" w:ascii="宋体" w:hAnsi="宋体" w:eastAsia="宋体" w:cs="宋体"/>
          <w:color w:val="auto"/>
        </w:rPr>
      </w:pPr>
    </w:p>
    <w:p>
      <w:pPr>
        <w:pStyle w:val="2"/>
        <w:rPr>
          <w:rFonts w:hint="eastAsia" w:ascii="宋体" w:hAnsi="宋体" w:eastAsia="宋体" w:cs="宋体"/>
          <w:color w:val="auto"/>
        </w:rPr>
      </w:pPr>
    </w:p>
    <w:p>
      <w:pPr>
        <w:pStyle w:val="4"/>
        <w:jc w:val="center"/>
        <w:rPr>
          <w:rStyle w:val="39"/>
          <w:rFonts w:hint="eastAsia" w:ascii="宋体" w:hAnsi="宋体" w:eastAsia="宋体" w:cs="宋体"/>
          <w:color w:val="auto"/>
          <w:sz w:val="36"/>
          <w:szCs w:val="36"/>
          <w:lang w:eastAsia="zh-CN"/>
        </w:rPr>
      </w:pPr>
      <w:bookmarkStart w:id="356" w:name="_Toc21506"/>
      <w:r>
        <w:rPr>
          <w:rStyle w:val="39"/>
          <w:rFonts w:hint="eastAsia" w:ascii="宋体" w:hAnsi="宋体" w:eastAsia="宋体" w:cs="宋体"/>
          <w:color w:val="auto"/>
          <w:sz w:val="36"/>
          <w:szCs w:val="36"/>
        </w:rPr>
        <w:t>3.南宁市2020年第三批城镇老旧小区改造项目PPP项目合同</w:t>
      </w:r>
      <w:bookmarkEnd w:id="356"/>
      <w:r>
        <w:rPr>
          <w:rStyle w:val="39"/>
          <w:rFonts w:hint="eastAsia" w:ascii="宋体" w:hAnsi="宋体" w:eastAsia="宋体" w:cs="宋体"/>
          <w:color w:val="auto"/>
          <w:sz w:val="36"/>
          <w:szCs w:val="36"/>
          <w:lang w:eastAsia="zh-CN"/>
        </w:rPr>
        <w:t>（</w:t>
      </w:r>
      <w:r>
        <w:rPr>
          <w:rStyle w:val="39"/>
          <w:rFonts w:hint="eastAsia" w:ascii="宋体" w:hAnsi="宋体" w:eastAsia="宋体" w:cs="宋体"/>
          <w:color w:val="auto"/>
          <w:sz w:val="36"/>
          <w:szCs w:val="36"/>
          <w:lang w:val="en-US" w:eastAsia="zh-CN"/>
        </w:rPr>
        <w:t>另册</w:t>
      </w:r>
      <w:r>
        <w:rPr>
          <w:rStyle w:val="39"/>
          <w:rFonts w:hint="eastAsia" w:ascii="宋体" w:hAnsi="宋体" w:eastAsia="宋体" w:cs="宋体"/>
          <w:color w:val="auto"/>
          <w:sz w:val="36"/>
          <w:szCs w:val="36"/>
          <w:lang w:eastAsia="zh-CN"/>
        </w:rPr>
        <w:t>）</w:t>
      </w:r>
    </w:p>
    <w:p>
      <w:pPr>
        <w:pStyle w:val="4"/>
        <w:jc w:val="center"/>
        <w:rPr>
          <w:rStyle w:val="39"/>
          <w:rFonts w:hint="eastAsia" w:ascii="宋体" w:hAnsi="宋体" w:eastAsia="宋体" w:cs="宋体"/>
          <w:color w:val="auto"/>
          <w:sz w:val="36"/>
          <w:szCs w:val="36"/>
        </w:rPr>
      </w:pPr>
    </w:p>
    <w:p>
      <w:pPr>
        <w:rPr>
          <w:rFonts w:hint="eastAsia" w:ascii="宋体" w:hAnsi="宋体" w:eastAsia="宋体" w:cs="宋体"/>
          <w:color w:val="auto"/>
        </w:rPr>
      </w:pPr>
    </w:p>
    <w:p>
      <w:pPr>
        <w:pStyle w:val="2"/>
        <w:rPr>
          <w:rFonts w:hint="eastAsia" w:ascii="宋体" w:hAnsi="宋体" w:eastAsia="宋体" w:cs="宋体"/>
          <w:color w:val="auto"/>
        </w:rPr>
      </w:pPr>
    </w:p>
    <w:p>
      <w:pPr>
        <w:pStyle w:val="4"/>
        <w:jc w:val="center"/>
        <w:rPr>
          <w:rStyle w:val="39"/>
          <w:rFonts w:hint="eastAsia" w:ascii="宋体" w:hAnsi="宋体" w:eastAsia="宋体" w:cs="宋体"/>
          <w:color w:val="auto"/>
          <w:sz w:val="36"/>
          <w:szCs w:val="36"/>
          <w:lang w:eastAsia="zh-CN"/>
        </w:rPr>
      </w:pPr>
      <w:bookmarkStart w:id="357" w:name="_Toc758"/>
      <w:r>
        <w:rPr>
          <w:rStyle w:val="39"/>
          <w:rFonts w:hint="eastAsia" w:ascii="宋体" w:hAnsi="宋体" w:eastAsia="宋体" w:cs="宋体"/>
          <w:color w:val="auto"/>
          <w:sz w:val="36"/>
          <w:szCs w:val="36"/>
        </w:rPr>
        <w:t>4.南宁市2020年第三批城镇老旧小区改造PPP项目工程量清单</w:t>
      </w:r>
      <w:bookmarkEnd w:id="357"/>
      <w:r>
        <w:rPr>
          <w:rStyle w:val="39"/>
          <w:rFonts w:hint="eastAsia" w:ascii="宋体" w:hAnsi="宋体" w:eastAsia="宋体" w:cs="宋体"/>
          <w:color w:val="auto"/>
          <w:sz w:val="36"/>
          <w:szCs w:val="36"/>
          <w:lang w:eastAsia="zh-CN"/>
        </w:rPr>
        <w:t>（</w:t>
      </w:r>
      <w:r>
        <w:rPr>
          <w:rStyle w:val="39"/>
          <w:rFonts w:hint="eastAsia" w:ascii="宋体" w:hAnsi="宋体" w:eastAsia="宋体" w:cs="宋体"/>
          <w:color w:val="auto"/>
          <w:sz w:val="36"/>
          <w:szCs w:val="36"/>
          <w:lang w:val="en-US" w:eastAsia="zh-CN"/>
        </w:rPr>
        <w:t>另册</w:t>
      </w:r>
      <w:r>
        <w:rPr>
          <w:rStyle w:val="39"/>
          <w:rFonts w:hint="eastAsia" w:ascii="宋体" w:hAnsi="宋体" w:eastAsia="宋体" w:cs="宋体"/>
          <w:color w:val="auto"/>
          <w:sz w:val="36"/>
          <w:szCs w:val="36"/>
          <w:lang w:eastAsia="zh-CN"/>
        </w:rPr>
        <w:t>）</w:t>
      </w:r>
    </w:p>
    <w:p>
      <w:pPr>
        <w:rPr>
          <w:rFonts w:hint="eastAsia" w:ascii="宋体" w:hAnsi="宋体" w:eastAsia="宋体" w:cs="宋体"/>
          <w:color w:val="auto"/>
        </w:rPr>
      </w:pPr>
    </w:p>
    <w:p>
      <w:pPr>
        <w:pStyle w:val="8"/>
        <w:rPr>
          <w:rFonts w:hint="eastAsia" w:ascii="宋体" w:hAnsi="宋体" w:eastAsia="宋体" w:cs="宋体"/>
          <w:color w:val="auto"/>
        </w:rPr>
      </w:pPr>
    </w:p>
    <w:p>
      <w:pPr>
        <w:rPr>
          <w:rFonts w:hint="eastAsia" w:ascii="宋体" w:hAnsi="宋体" w:eastAsia="宋体" w:cs="宋体"/>
          <w:color w:val="auto"/>
        </w:rPr>
      </w:pPr>
    </w:p>
    <w:p>
      <w:pPr>
        <w:rPr>
          <w:rStyle w:val="39"/>
          <w:rFonts w:hint="eastAsia" w:ascii="宋体" w:hAnsi="宋体" w:eastAsia="宋体" w:cs="宋体"/>
          <w:b/>
          <w:color w:val="auto"/>
          <w:kern w:val="44"/>
          <w:sz w:val="36"/>
          <w:szCs w:val="36"/>
          <w:lang w:val="en-US" w:eastAsia="zh-CN" w:bidi="ar-SA"/>
        </w:rPr>
      </w:pPr>
      <w:r>
        <w:rPr>
          <w:rStyle w:val="39"/>
          <w:rFonts w:hint="eastAsia" w:ascii="宋体" w:hAnsi="宋体" w:eastAsia="宋体" w:cs="宋体"/>
          <w:b/>
          <w:color w:val="auto"/>
          <w:kern w:val="44"/>
          <w:sz w:val="36"/>
          <w:szCs w:val="36"/>
          <w:lang w:val="en-US" w:eastAsia="zh-CN" w:bidi="ar-SA"/>
        </w:rPr>
        <w:t>（以上附件</w:t>
      </w:r>
      <w:r>
        <w:rPr>
          <w:rStyle w:val="39"/>
          <w:rFonts w:hint="eastAsia" w:ascii="宋体" w:hAnsi="宋体" w:cs="宋体"/>
          <w:b/>
          <w:color w:val="auto"/>
          <w:kern w:val="44"/>
          <w:sz w:val="36"/>
          <w:szCs w:val="36"/>
          <w:lang w:val="en-US" w:eastAsia="zh-CN" w:bidi="ar-SA"/>
        </w:rPr>
        <w:t>投标</w:t>
      </w:r>
      <w:r>
        <w:rPr>
          <w:rStyle w:val="39"/>
          <w:rFonts w:hint="eastAsia" w:ascii="宋体" w:hAnsi="宋体" w:eastAsia="宋体" w:cs="宋体"/>
          <w:b/>
          <w:color w:val="auto"/>
          <w:kern w:val="44"/>
          <w:sz w:val="36"/>
          <w:szCs w:val="36"/>
          <w:lang w:val="en-US" w:eastAsia="zh-CN" w:bidi="ar-SA"/>
        </w:rPr>
        <w:t>人可自行在南宁市公共资源交易中心（https://www.nnggzy.org.cn/ gxnnzbw/）的信息公告处下载）</w:t>
      </w:r>
    </w:p>
    <w:p>
      <w:pPr>
        <w:rPr>
          <w:rStyle w:val="39"/>
          <w:rFonts w:hint="eastAsia" w:ascii="宋体" w:hAnsi="宋体" w:eastAsia="宋体" w:cs="宋体"/>
          <w:b/>
          <w:color w:val="auto"/>
          <w:kern w:val="44"/>
          <w:sz w:val="36"/>
          <w:szCs w:val="36"/>
          <w:lang w:val="en-US" w:eastAsia="zh-CN" w:bidi="ar-SA"/>
        </w:rPr>
      </w:pPr>
    </w:p>
    <w:p>
      <w:pPr>
        <w:rPr>
          <w:rFonts w:hint="eastAsia" w:ascii="宋体" w:hAnsi="宋体" w:eastAsia="宋体" w:cs="宋体"/>
          <w:color w:val="auto"/>
        </w:rPr>
      </w:pPr>
    </w:p>
    <w:sectPr>
      <w:footerReference r:id="rId6" w:type="default"/>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hakuyoxingshu7000">
    <w:altName w:val="宋体"/>
    <w:panose1 w:val="00000000000000000000"/>
    <w:charset w:val="86"/>
    <w:family w:val="auto"/>
    <w:pitch w:val="default"/>
    <w:sig w:usb0="00000000" w:usb1="00000000" w:usb2="0000003F" w:usb3="00000000" w:csb0="603F00FF" w:csb1="FFFF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Cs w:val="28"/>
                            </w:rPr>
                          </w:pPr>
                          <w:r>
                            <w:rPr>
                              <w:rFonts w:hint="eastAsia"/>
                              <w:szCs w:val="28"/>
                            </w:rPr>
                            <w:fldChar w:fldCharType="begin"/>
                          </w:r>
                          <w:r>
                            <w:rPr>
                              <w:rFonts w:hint="eastAsia"/>
                              <w:szCs w:val="28"/>
                            </w:rPr>
                            <w:instrText xml:space="preserve"> PAGE  \* MERGEFORMAT </w:instrText>
                          </w:r>
                          <w:r>
                            <w:rPr>
                              <w:rFonts w:hint="eastAsia"/>
                              <w:szCs w:val="28"/>
                            </w:rPr>
                            <w:fldChar w:fldCharType="separate"/>
                          </w:r>
                          <w:r>
                            <w:rPr>
                              <w:szCs w:val="28"/>
                            </w:rPr>
                            <w:t>58</w:t>
                          </w:r>
                          <w:r>
                            <w:rPr>
                              <w:rFonts w:hint="eastAsia"/>
                              <w:szCs w:val="2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Mg9zDXOAQAAqQMAAA4AAAAAAAAAAQAgAAAAHgEAAGRycy9l&#10;Mm9Eb2MueG1sUEsFBgAAAAAGAAYAWQEAAF4FAAAAAA==&#10;">
              <v:fill on="f" focussize="0,0"/>
              <v:stroke on="f"/>
              <v:imagedata o:title=""/>
              <o:lock v:ext="edit" aspectratio="f"/>
              <v:textbox inset="0mm,0mm,0mm,0mm" style="mso-fit-shape-to-text:t;">
                <w:txbxContent>
                  <w:p>
                    <w:pPr>
                      <w:snapToGrid w:val="0"/>
                      <w:rPr>
                        <w:szCs w:val="28"/>
                      </w:rPr>
                    </w:pPr>
                    <w:r>
                      <w:rPr>
                        <w:rFonts w:hint="eastAsia"/>
                        <w:szCs w:val="28"/>
                      </w:rPr>
                      <w:fldChar w:fldCharType="begin"/>
                    </w:r>
                    <w:r>
                      <w:rPr>
                        <w:rFonts w:hint="eastAsia"/>
                        <w:szCs w:val="28"/>
                      </w:rPr>
                      <w:instrText xml:space="preserve"> PAGE  \* MERGEFORMAT </w:instrText>
                    </w:r>
                    <w:r>
                      <w:rPr>
                        <w:rFonts w:hint="eastAsia"/>
                        <w:szCs w:val="28"/>
                      </w:rPr>
                      <w:fldChar w:fldCharType="separate"/>
                    </w:r>
                    <w:r>
                      <w:rPr>
                        <w:szCs w:val="28"/>
                      </w:rPr>
                      <w:t>58</w:t>
                    </w:r>
                    <w:r>
                      <w:rPr>
                        <w:rFonts w:hint="eastAsia"/>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71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71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6F0B87"/>
    <w:multiLevelType w:val="multilevel"/>
    <w:tmpl w:val="066F0B8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7C77CBA"/>
    <w:multiLevelType w:val="multilevel"/>
    <w:tmpl w:val="07C77CB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182780D"/>
    <w:multiLevelType w:val="multilevel"/>
    <w:tmpl w:val="3182780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C747F06"/>
    <w:multiLevelType w:val="multilevel"/>
    <w:tmpl w:val="3C747F06"/>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45754A92"/>
    <w:multiLevelType w:val="multilevel"/>
    <w:tmpl w:val="45754A92"/>
    <w:lvl w:ilvl="0" w:tentative="0">
      <w:start w:val="1"/>
      <w:numFmt w:val="decimal"/>
      <w:lvlText w:val="（%1）"/>
      <w:lvlJc w:val="left"/>
      <w:pPr>
        <w:ind w:left="1144" w:hanging="720"/>
      </w:pPr>
      <w:rPr>
        <w:rFonts w:hint="default" w:hAnsi="Calibri" w:cs="Times New Roman"/>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5">
    <w:nsid w:val="523B5EED"/>
    <w:multiLevelType w:val="multilevel"/>
    <w:tmpl w:val="523B5EED"/>
    <w:lvl w:ilvl="0" w:tentative="0">
      <w:start w:val="1"/>
      <w:numFmt w:val="japaneseCounting"/>
      <w:lvlText w:val="%1、"/>
      <w:lvlJc w:val="left"/>
      <w:pPr>
        <w:ind w:left="1306" w:hanging="600"/>
      </w:pPr>
      <w:rPr>
        <w:rFonts w:hint="default"/>
        <w:sz w:val="24"/>
        <w:szCs w:val="24"/>
      </w:rPr>
    </w:lvl>
    <w:lvl w:ilvl="1" w:tentative="0">
      <w:start w:val="1"/>
      <w:numFmt w:val="lowerLetter"/>
      <w:lvlText w:val="%2)"/>
      <w:lvlJc w:val="left"/>
      <w:pPr>
        <w:ind w:left="1546" w:hanging="420"/>
      </w:pPr>
    </w:lvl>
    <w:lvl w:ilvl="2" w:tentative="0">
      <w:start w:val="1"/>
      <w:numFmt w:val="lowerRoman"/>
      <w:lvlText w:val="%3."/>
      <w:lvlJc w:val="right"/>
      <w:pPr>
        <w:ind w:left="1966" w:hanging="420"/>
      </w:pPr>
    </w:lvl>
    <w:lvl w:ilvl="3" w:tentative="0">
      <w:start w:val="1"/>
      <w:numFmt w:val="decimal"/>
      <w:lvlText w:val="%4."/>
      <w:lvlJc w:val="left"/>
      <w:pPr>
        <w:ind w:left="2386" w:hanging="420"/>
      </w:pPr>
    </w:lvl>
    <w:lvl w:ilvl="4" w:tentative="0">
      <w:start w:val="1"/>
      <w:numFmt w:val="lowerLetter"/>
      <w:lvlText w:val="%5)"/>
      <w:lvlJc w:val="left"/>
      <w:pPr>
        <w:ind w:left="2806" w:hanging="420"/>
      </w:pPr>
    </w:lvl>
    <w:lvl w:ilvl="5" w:tentative="0">
      <w:start w:val="1"/>
      <w:numFmt w:val="lowerRoman"/>
      <w:lvlText w:val="%6."/>
      <w:lvlJc w:val="right"/>
      <w:pPr>
        <w:ind w:left="3226" w:hanging="420"/>
      </w:pPr>
    </w:lvl>
    <w:lvl w:ilvl="6" w:tentative="0">
      <w:start w:val="1"/>
      <w:numFmt w:val="decimal"/>
      <w:lvlText w:val="%7."/>
      <w:lvlJc w:val="left"/>
      <w:pPr>
        <w:ind w:left="3646" w:hanging="420"/>
      </w:pPr>
    </w:lvl>
    <w:lvl w:ilvl="7" w:tentative="0">
      <w:start w:val="1"/>
      <w:numFmt w:val="lowerLetter"/>
      <w:lvlText w:val="%8)"/>
      <w:lvlJc w:val="left"/>
      <w:pPr>
        <w:ind w:left="4066" w:hanging="420"/>
      </w:pPr>
    </w:lvl>
    <w:lvl w:ilvl="8" w:tentative="0">
      <w:start w:val="1"/>
      <w:numFmt w:val="lowerRoman"/>
      <w:lvlText w:val="%9."/>
      <w:lvlJc w:val="right"/>
      <w:pPr>
        <w:ind w:left="4486" w:hanging="420"/>
      </w:pPr>
    </w:lvl>
  </w:abstractNum>
  <w:abstractNum w:abstractNumId="6">
    <w:nsid w:val="5AA20AD9"/>
    <w:multiLevelType w:val="singleLevel"/>
    <w:tmpl w:val="5AA20AD9"/>
    <w:lvl w:ilvl="0" w:tentative="0">
      <w:start w:val="1"/>
      <w:numFmt w:val="decimal"/>
      <w:suff w:val="nothing"/>
      <w:lvlText w:val="%1"/>
      <w:lvlJc w:val="center"/>
      <w:pPr>
        <w:tabs>
          <w:tab w:val="left" w:pos="425"/>
        </w:tabs>
        <w:ind w:left="0" w:firstLine="0"/>
      </w:pPr>
      <w:rPr>
        <w:rFonts w:hint="default" w:ascii="宋体" w:hAnsi="宋体"/>
        <w:sz w:val="21"/>
      </w:rPr>
    </w:lvl>
  </w:abstractNum>
  <w:abstractNum w:abstractNumId="7">
    <w:nsid w:val="61FD6345"/>
    <w:multiLevelType w:val="multilevel"/>
    <w:tmpl w:val="61FD6345"/>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90251B8"/>
    <w:multiLevelType w:val="multilevel"/>
    <w:tmpl w:val="690251B8"/>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FCF1D75"/>
    <w:multiLevelType w:val="multilevel"/>
    <w:tmpl w:val="6FCF1D75"/>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AC2274D"/>
    <w:multiLevelType w:val="multilevel"/>
    <w:tmpl w:val="7AC2274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3"/>
  </w:num>
  <w:num w:numId="3">
    <w:abstractNumId w:val="4"/>
  </w:num>
  <w:num w:numId="4">
    <w:abstractNumId w:val="2"/>
  </w:num>
  <w:num w:numId="5">
    <w:abstractNumId w:val="8"/>
  </w:num>
  <w:num w:numId="6">
    <w:abstractNumId w:val="0"/>
  </w:num>
  <w:num w:numId="7">
    <w:abstractNumId w:val="1"/>
  </w:num>
  <w:num w:numId="8">
    <w:abstractNumId w:val="7"/>
  </w:num>
  <w:num w:numId="9">
    <w:abstractNumId w:val="10"/>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hideSpellingErrors/>
  <w:documentProtection w:edit="forms" w:enforcement="1" w:cryptProviderType="rsaFull" w:cryptAlgorithmClass="hash" w:cryptAlgorithmType="typeAny" w:cryptAlgorithmSid="4" w:cryptSpinCount="0" w:hash="hs9+ZRifkMHzc/vy+Jy+6h3qpS4=" w:salt="i8U0FxPtwkpvL+9b2fvv8w=="/>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794"/>
    <w:rsid w:val="000034D5"/>
    <w:rsid w:val="00062794"/>
    <w:rsid w:val="00074811"/>
    <w:rsid w:val="0009386C"/>
    <w:rsid w:val="0009437F"/>
    <w:rsid w:val="000C4EED"/>
    <w:rsid w:val="000F75A6"/>
    <w:rsid w:val="001437AD"/>
    <w:rsid w:val="00175669"/>
    <w:rsid w:val="0019012E"/>
    <w:rsid w:val="001C31AB"/>
    <w:rsid w:val="001F7635"/>
    <w:rsid w:val="001F7E0B"/>
    <w:rsid w:val="00216C42"/>
    <w:rsid w:val="002C381F"/>
    <w:rsid w:val="002F6688"/>
    <w:rsid w:val="00345866"/>
    <w:rsid w:val="003C02C7"/>
    <w:rsid w:val="003D22A0"/>
    <w:rsid w:val="003D7D21"/>
    <w:rsid w:val="004020DA"/>
    <w:rsid w:val="004026A8"/>
    <w:rsid w:val="0040486A"/>
    <w:rsid w:val="00452246"/>
    <w:rsid w:val="00453000"/>
    <w:rsid w:val="00464C2A"/>
    <w:rsid w:val="00467D8E"/>
    <w:rsid w:val="004C5F24"/>
    <w:rsid w:val="004E0957"/>
    <w:rsid w:val="004E6BFB"/>
    <w:rsid w:val="00502D4A"/>
    <w:rsid w:val="00545134"/>
    <w:rsid w:val="005674B8"/>
    <w:rsid w:val="00580D3B"/>
    <w:rsid w:val="005C381B"/>
    <w:rsid w:val="006B54EA"/>
    <w:rsid w:val="006D28EA"/>
    <w:rsid w:val="006D2DBA"/>
    <w:rsid w:val="006E15A8"/>
    <w:rsid w:val="006F089A"/>
    <w:rsid w:val="0072586C"/>
    <w:rsid w:val="00733444"/>
    <w:rsid w:val="008605AC"/>
    <w:rsid w:val="008A625C"/>
    <w:rsid w:val="008F5EA8"/>
    <w:rsid w:val="008F60F1"/>
    <w:rsid w:val="00915838"/>
    <w:rsid w:val="009159E8"/>
    <w:rsid w:val="00931925"/>
    <w:rsid w:val="009542BE"/>
    <w:rsid w:val="00973DE3"/>
    <w:rsid w:val="00992055"/>
    <w:rsid w:val="009D3383"/>
    <w:rsid w:val="00A0507D"/>
    <w:rsid w:val="00A231E2"/>
    <w:rsid w:val="00A348D0"/>
    <w:rsid w:val="00A548DA"/>
    <w:rsid w:val="00A7236E"/>
    <w:rsid w:val="00A935D0"/>
    <w:rsid w:val="00AE6FF4"/>
    <w:rsid w:val="00AF35D9"/>
    <w:rsid w:val="00B449BC"/>
    <w:rsid w:val="00B7151D"/>
    <w:rsid w:val="00C05CD6"/>
    <w:rsid w:val="00C07053"/>
    <w:rsid w:val="00C13432"/>
    <w:rsid w:val="00CE6F92"/>
    <w:rsid w:val="00D4632F"/>
    <w:rsid w:val="00DA0A21"/>
    <w:rsid w:val="00DA0EE7"/>
    <w:rsid w:val="00DC4FD6"/>
    <w:rsid w:val="00DC7712"/>
    <w:rsid w:val="00DE40AF"/>
    <w:rsid w:val="00E0491D"/>
    <w:rsid w:val="00EB67E4"/>
    <w:rsid w:val="00EF7545"/>
    <w:rsid w:val="00F07200"/>
    <w:rsid w:val="00F210AE"/>
    <w:rsid w:val="00F60EA8"/>
    <w:rsid w:val="00F776DF"/>
    <w:rsid w:val="00F8165F"/>
    <w:rsid w:val="00F90C62"/>
    <w:rsid w:val="00FB1063"/>
    <w:rsid w:val="00FD7111"/>
    <w:rsid w:val="0143538E"/>
    <w:rsid w:val="09AF22AA"/>
    <w:rsid w:val="1068366C"/>
    <w:rsid w:val="13FE6F0E"/>
    <w:rsid w:val="178966BE"/>
    <w:rsid w:val="1DA61EF9"/>
    <w:rsid w:val="240B7E64"/>
    <w:rsid w:val="297B6C30"/>
    <w:rsid w:val="2AFE50D0"/>
    <w:rsid w:val="2C0829A7"/>
    <w:rsid w:val="2C596129"/>
    <w:rsid w:val="2D151EDA"/>
    <w:rsid w:val="327C7D4E"/>
    <w:rsid w:val="364C6F09"/>
    <w:rsid w:val="37934A09"/>
    <w:rsid w:val="37E62B52"/>
    <w:rsid w:val="38CA4B5C"/>
    <w:rsid w:val="3A952C45"/>
    <w:rsid w:val="3ABD078E"/>
    <w:rsid w:val="3B34324F"/>
    <w:rsid w:val="44717334"/>
    <w:rsid w:val="49175116"/>
    <w:rsid w:val="4B011493"/>
    <w:rsid w:val="4E834FF7"/>
    <w:rsid w:val="542D533E"/>
    <w:rsid w:val="569741B5"/>
    <w:rsid w:val="58EF7195"/>
    <w:rsid w:val="590D6FAC"/>
    <w:rsid w:val="59286A00"/>
    <w:rsid w:val="5E47234B"/>
    <w:rsid w:val="616C56D7"/>
    <w:rsid w:val="625C13CF"/>
    <w:rsid w:val="66DC08A3"/>
    <w:rsid w:val="67281F2F"/>
    <w:rsid w:val="688330FD"/>
    <w:rsid w:val="68F51D1D"/>
    <w:rsid w:val="70150D6B"/>
    <w:rsid w:val="717E67E2"/>
    <w:rsid w:val="717F19FB"/>
    <w:rsid w:val="720A4D02"/>
    <w:rsid w:val="77DF51B9"/>
    <w:rsid w:val="78445C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1"/>
    <w:qFormat/>
    <w:uiPriority w:val="9"/>
    <w:pPr>
      <w:keepNext/>
      <w:keepLines/>
      <w:spacing w:line="576" w:lineRule="auto"/>
      <w:outlineLvl w:val="0"/>
    </w:pPr>
    <w:rPr>
      <w:b/>
      <w:kern w:val="44"/>
      <w:sz w:val="44"/>
    </w:rPr>
  </w:style>
  <w:style w:type="paragraph" w:styleId="5">
    <w:name w:val="heading 2"/>
    <w:basedOn w:val="1"/>
    <w:next w:val="1"/>
    <w:link w:val="32"/>
    <w:qFormat/>
    <w:uiPriority w:val="9"/>
    <w:pPr>
      <w:spacing w:line="354" w:lineRule="exact"/>
      <w:ind w:left="106" w:right="204"/>
      <w:jc w:val="center"/>
      <w:outlineLvl w:val="1"/>
    </w:pPr>
    <w:rPr>
      <w:b/>
      <w:bCs/>
      <w:sz w:val="28"/>
      <w:szCs w:val="28"/>
    </w:rPr>
  </w:style>
  <w:style w:type="paragraph" w:styleId="6">
    <w:name w:val="heading 3"/>
    <w:basedOn w:val="1"/>
    <w:next w:val="1"/>
    <w:link w:val="33"/>
    <w:unhideWhenUsed/>
    <w:qFormat/>
    <w:uiPriority w:val="9"/>
    <w:pPr>
      <w:keepNext/>
      <w:keepLines/>
      <w:spacing w:before="260" w:after="260" w:line="416" w:lineRule="auto"/>
      <w:outlineLvl w:val="2"/>
    </w:pPr>
    <w:rPr>
      <w:b/>
      <w:bCs/>
      <w:sz w:val="32"/>
      <w:szCs w:val="32"/>
    </w:rPr>
  </w:style>
  <w:style w:type="paragraph" w:styleId="7">
    <w:name w:val="heading 4"/>
    <w:basedOn w:val="1"/>
    <w:next w:val="1"/>
    <w:link w:val="53"/>
    <w:qFormat/>
    <w:uiPriority w:val="0"/>
    <w:pPr>
      <w:keepNext/>
      <w:keepLines/>
      <w:spacing w:before="280" w:after="290" w:line="372" w:lineRule="auto"/>
      <w:outlineLvl w:val="3"/>
    </w:pPr>
    <w:rPr>
      <w:rFonts w:ascii="Arial" w:hAnsi="Arial" w:eastAsia="黑体"/>
      <w:b/>
      <w:sz w:val="28"/>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正文1"/>
    <w:basedOn w:val="3"/>
    <w:next w:val="1"/>
    <w:qFormat/>
    <w:uiPriority w:val="99"/>
    <w:pPr>
      <w:spacing w:line="440" w:lineRule="exact"/>
    </w:pPr>
    <w:rPr>
      <w:rFonts w:ascii="仿宋_GB2312" w:hAnsi="宋体"/>
      <w:sz w:val="24"/>
      <w:szCs w:val="24"/>
    </w:rPr>
  </w:style>
  <w:style w:type="paragraph" w:customStyle="1" w:styleId="3">
    <w:name w:val="正文1234"/>
    <w:basedOn w:val="1"/>
    <w:qFormat/>
    <w:uiPriority w:val="0"/>
    <w:rPr>
      <w:rFonts w:ascii="等线" w:hAnsi="等线" w:eastAsia="等线"/>
      <w:szCs w:val="22"/>
    </w:rPr>
  </w:style>
  <w:style w:type="paragraph" w:styleId="8">
    <w:name w:val="Normal Indent"/>
    <w:basedOn w:val="1"/>
    <w:next w:val="1"/>
    <w:qFormat/>
    <w:uiPriority w:val="0"/>
    <w:pPr>
      <w:ind w:firstLine="420" w:firstLineChars="200"/>
    </w:pPr>
  </w:style>
  <w:style w:type="paragraph" w:styleId="9">
    <w:name w:val="annotation text"/>
    <w:basedOn w:val="1"/>
    <w:link w:val="34"/>
    <w:qFormat/>
    <w:uiPriority w:val="0"/>
    <w:pPr>
      <w:jc w:val="left"/>
    </w:pPr>
  </w:style>
  <w:style w:type="paragraph" w:styleId="10">
    <w:name w:val="Body Text"/>
    <w:basedOn w:val="1"/>
    <w:next w:val="1"/>
    <w:link w:val="35"/>
    <w:qFormat/>
    <w:uiPriority w:val="99"/>
    <w:pPr>
      <w:spacing w:before="98"/>
      <w:ind w:left="120"/>
    </w:pPr>
    <w:rPr>
      <w:szCs w:val="21"/>
    </w:rPr>
  </w:style>
  <w:style w:type="paragraph" w:styleId="11">
    <w:name w:val="Body Text Indent"/>
    <w:basedOn w:val="1"/>
    <w:link w:val="36"/>
    <w:qFormat/>
    <w:uiPriority w:val="0"/>
    <w:pPr>
      <w:spacing w:line="200" w:lineRule="exact"/>
      <w:ind w:firstLine="301"/>
    </w:pPr>
    <w:rPr>
      <w:rFonts w:ascii="宋体" w:hAnsi="Courier New"/>
      <w:spacing w:val="-4"/>
      <w:sz w:val="18"/>
      <w:szCs w:val="20"/>
    </w:rPr>
  </w:style>
  <w:style w:type="paragraph" w:styleId="12">
    <w:name w:val="Plain Text"/>
    <w:basedOn w:val="1"/>
    <w:next w:val="1"/>
    <w:link w:val="37"/>
    <w:qFormat/>
    <w:uiPriority w:val="0"/>
    <w:rPr>
      <w:rFonts w:hAnsi="Courier New"/>
      <w:szCs w:val="20"/>
    </w:rPr>
  </w:style>
  <w:style w:type="paragraph" w:styleId="13">
    <w:name w:val="Balloon Text"/>
    <w:basedOn w:val="1"/>
    <w:link w:val="47"/>
    <w:qFormat/>
    <w:uiPriority w:val="0"/>
    <w:rPr>
      <w:sz w:val="18"/>
      <w:szCs w:val="18"/>
    </w:rPr>
  </w:style>
  <w:style w:type="paragraph" w:styleId="14">
    <w:name w:val="footer"/>
    <w:basedOn w:val="1"/>
    <w:link w:val="38"/>
    <w:unhideWhenUsed/>
    <w:qFormat/>
    <w:uiPriority w:val="99"/>
    <w:pPr>
      <w:tabs>
        <w:tab w:val="center" w:pos="4153"/>
        <w:tab w:val="right" w:pos="8306"/>
      </w:tabs>
      <w:snapToGrid w:val="0"/>
    </w:pPr>
    <w:rPr>
      <w:sz w:val="18"/>
      <w:szCs w:val="18"/>
    </w:rPr>
  </w:style>
  <w:style w:type="paragraph" w:styleId="15">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pPr>
      <w:widowControl/>
    </w:pPr>
  </w:style>
  <w:style w:type="paragraph" w:styleId="17">
    <w:name w:val="footnote text"/>
    <w:basedOn w:val="1"/>
    <w:qFormat/>
    <w:uiPriority w:val="0"/>
    <w:pPr>
      <w:snapToGrid w:val="0"/>
      <w:jc w:val="left"/>
    </w:pPr>
    <w:rPr>
      <w:sz w:val="18"/>
    </w:rPr>
  </w:style>
  <w:style w:type="paragraph" w:styleId="18">
    <w:name w:val="toc 2"/>
    <w:basedOn w:val="1"/>
    <w:next w:val="1"/>
    <w:unhideWhenUsed/>
    <w:qFormat/>
    <w:uiPriority w:val="0"/>
    <w:pPr>
      <w:ind w:left="420" w:firstLine="119"/>
      <w:jc w:val="left"/>
    </w:pPr>
    <w:rPr>
      <w:smallCaps/>
      <w:sz w:val="28"/>
      <w:szCs w:val="20"/>
    </w:rPr>
  </w:style>
  <w:style w:type="paragraph" w:styleId="19">
    <w:name w:val="Body Text 2"/>
    <w:basedOn w:val="1"/>
    <w:link w:val="54"/>
    <w:qFormat/>
    <w:uiPriority w:val="0"/>
    <w:pPr>
      <w:spacing w:after="120" w:line="480" w:lineRule="auto"/>
    </w:pPr>
    <w:rPr>
      <w:rFonts w:ascii="Calibri" w:hAnsi="Calibri"/>
      <w:kern w:val="0"/>
      <w:sz w:val="20"/>
      <w:szCs w:val="22"/>
    </w:rPr>
  </w:style>
  <w:style w:type="paragraph" w:styleId="20">
    <w:name w:val="Normal (Web)"/>
    <w:basedOn w:val="1"/>
    <w:unhideWhenUsed/>
    <w:qFormat/>
    <w:uiPriority w:val="0"/>
    <w:pPr>
      <w:widowControl/>
      <w:spacing w:before="100" w:beforeAutospacing="1" w:after="100" w:afterAutospacing="1"/>
      <w:jc w:val="left"/>
    </w:pPr>
    <w:rPr>
      <w:rFonts w:ascii="宋体" w:hAnsi="宋体"/>
      <w:kern w:val="0"/>
      <w:sz w:val="24"/>
    </w:rPr>
  </w:style>
  <w:style w:type="paragraph" w:styleId="21">
    <w:name w:val="annotation subject"/>
    <w:basedOn w:val="9"/>
    <w:next w:val="9"/>
    <w:link w:val="62"/>
    <w:semiHidden/>
    <w:unhideWhenUsed/>
    <w:qFormat/>
    <w:uiPriority w:val="99"/>
    <w:rPr>
      <w:b/>
      <w:bCs/>
    </w:rPr>
  </w:style>
  <w:style w:type="paragraph" w:styleId="22">
    <w:name w:val="Body Text First Indent"/>
    <w:basedOn w:val="10"/>
    <w:link w:val="55"/>
    <w:qFormat/>
    <w:uiPriority w:val="99"/>
    <w:pPr>
      <w:spacing w:before="0" w:after="120"/>
      <w:ind w:left="0" w:firstLine="420" w:firstLineChars="100"/>
      <w:jc w:val="left"/>
    </w:pPr>
    <w:rPr>
      <w:szCs w:val="22"/>
    </w:rPr>
  </w:style>
  <w:style w:type="table" w:styleId="24">
    <w:name w:val="Table Grid"/>
    <w:basedOn w:val="23"/>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rPr>
  </w:style>
  <w:style w:type="character" w:styleId="27">
    <w:name w:val="Hyperlink"/>
    <w:qFormat/>
    <w:uiPriority w:val="0"/>
    <w:rPr>
      <w:color w:val="0000FF"/>
      <w:u w:val="single"/>
    </w:rPr>
  </w:style>
  <w:style w:type="character" w:styleId="28">
    <w:name w:val="annotation reference"/>
    <w:basedOn w:val="25"/>
    <w:qFormat/>
    <w:uiPriority w:val="0"/>
    <w:rPr>
      <w:sz w:val="21"/>
      <w:szCs w:val="21"/>
    </w:rPr>
  </w:style>
  <w:style w:type="character" w:styleId="29">
    <w:name w:val="footnote reference"/>
    <w:basedOn w:val="25"/>
    <w:qFormat/>
    <w:uiPriority w:val="0"/>
    <w:rPr>
      <w:vertAlign w:val="superscript"/>
    </w:rPr>
  </w:style>
  <w:style w:type="paragraph" w:customStyle="1" w:styleId="30">
    <w:name w:val="表格文字"/>
    <w:basedOn w:val="1"/>
    <w:qFormat/>
    <w:uiPriority w:val="99"/>
    <w:pPr>
      <w:spacing w:before="25" w:after="25"/>
    </w:pPr>
    <w:rPr>
      <w:rFonts w:ascii="Calibri" w:hAnsi="Calibri"/>
      <w:bCs/>
      <w:spacing w:val="10"/>
      <w:sz w:val="24"/>
    </w:rPr>
  </w:style>
  <w:style w:type="character" w:customStyle="1" w:styleId="31">
    <w:name w:val="标题 1 Char"/>
    <w:basedOn w:val="25"/>
    <w:link w:val="4"/>
    <w:qFormat/>
    <w:uiPriority w:val="0"/>
    <w:rPr>
      <w:rFonts w:ascii="Times New Roman" w:hAnsi="Times New Roman" w:eastAsia="宋体" w:cs="Times New Roman"/>
      <w:b/>
      <w:kern w:val="44"/>
      <w:sz w:val="44"/>
      <w:szCs w:val="24"/>
    </w:rPr>
  </w:style>
  <w:style w:type="character" w:customStyle="1" w:styleId="32">
    <w:name w:val="标题 2 Char"/>
    <w:basedOn w:val="25"/>
    <w:link w:val="5"/>
    <w:qFormat/>
    <w:uiPriority w:val="0"/>
    <w:rPr>
      <w:rFonts w:ascii="Times New Roman" w:hAnsi="Times New Roman" w:eastAsia="宋体" w:cs="Times New Roman"/>
      <w:b/>
      <w:bCs/>
      <w:sz w:val="28"/>
      <w:szCs w:val="28"/>
    </w:rPr>
  </w:style>
  <w:style w:type="character" w:customStyle="1" w:styleId="33">
    <w:name w:val="标题 3 Char"/>
    <w:basedOn w:val="25"/>
    <w:link w:val="6"/>
    <w:qFormat/>
    <w:uiPriority w:val="9"/>
    <w:rPr>
      <w:rFonts w:ascii="Times New Roman" w:hAnsi="Times New Roman" w:eastAsia="宋体" w:cs="Times New Roman"/>
      <w:b/>
      <w:bCs/>
      <w:sz w:val="32"/>
      <w:szCs w:val="32"/>
    </w:rPr>
  </w:style>
  <w:style w:type="character" w:customStyle="1" w:styleId="34">
    <w:name w:val="批注文字 Char"/>
    <w:basedOn w:val="25"/>
    <w:link w:val="9"/>
    <w:qFormat/>
    <w:uiPriority w:val="0"/>
    <w:rPr>
      <w:rFonts w:ascii="Times New Roman" w:hAnsi="Times New Roman" w:eastAsia="宋体" w:cs="Times New Roman"/>
      <w:szCs w:val="24"/>
    </w:rPr>
  </w:style>
  <w:style w:type="character" w:customStyle="1" w:styleId="35">
    <w:name w:val="正文文本 Char"/>
    <w:basedOn w:val="25"/>
    <w:link w:val="10"/>
    <w:qFormat/>
    <w:uiPriority w:val="0"/>
    <w:rPr>
      <w:rFonts w:ascii="Times New Roman" w:hAnsi="Times New Roman" w:eastAsia="宋体" w:cs="Times New Roman"/>
      <w:szCs w:val="21"/>
    </w:rPr>
  </w:style>
  <w:style w:type="character" w:customStyle="1" w:styleId="36">
    <w:name w:val="正文文本缩进 Char"/>
    <w:basedOn w:val="25"/>
    <w:link w:val="11"/>
    <w:qFormat/>
    <w:uiPriority w:val="0"/>
    <w:rPr>
      <w:rFonts w:ascii="宋体" w:hAnsi="Courier New" w:eastAsia="宋体" w:cs="Times New Roman"/>
      <w:spacing w:val="-4"/>
      <w:sz w:val="18"/>
      <w:szCs w:val="20"/>
    </w:rPr>
  </w:style>
  <w:style w:type="character" w:customStyle="1" w:styleId="37">
    <w:name w:val="纯文本 Char"/>
    <w:basedOn w:val="25"/>
    <w:link w:val="12"/>
    <w:qFormat/>
    <w:uiPriority w:val="0"/>
    <w:rPr>
      <w:rFonts w:ascii="Times New Roman" w:hAnsi="Courier New" w:eastAsia="宋体" w:cs="Times New Roman"/>
      <w:szCs w:val="20"/>
    </w:rPr>
  </w:style>
  <w:style w:type="character" w:customStyle="1" w:styleId="38">
    <w:name w:val="页脚 Char"/>
    <w:basedOn w:val="25"/>
    <w:link w:val="14"/>
    <w:qFormat/>
    <w:uiPriority w:val="99"/>
    <w:rPr>
      <w:rFonts w:ascii="Times New Roman" w:hAnsi="Times New Roman" w:eastAsia="宋体" w:cs="Times New Roman"/>
      <w:sz w:val="18"/>
      <w:szCs w:val="18"/>
    </w:rPr>
  </w:style>
  <w:style w:type="character" w:customStyle="1" w:styleId="39">
    <w:name w:val="NormalCharacter"/>
    <w:qFormat/>
    <w:uiPriority w:val="0"/>
  </w:style>
  <w:style w:type="paragraph" w:customStyle="1" w:styleId="40">
    <w:name w:val="05正文"/>
    <w:basedOn w:val="1"/>
    <w:qFormat/>
    <w:uiPriority w:val="0"/>
    <w:pPr>
      <w:spacing w:line="560" w:lineRule="exact"/>
      <w:ind w:firstLine="200" w:firstLineChars="200"/>
    </w:pPr>
    <w:rPr>
      <w:sz w:val="24"/>
      <w:szCs w:val="21"/>
    </w:rPr>
  </w:style>
  <w:style w:type="paragraph" w:customStyle="1" w:styleId="41">
    <w:name w:val="UserStyle_119"/>
    <w:basedOn w:val="1"/>
    <w:qFormat/>
    <w:uiPriority w:val="0"/>
    <w:pPr>
      <w:widowControl/>
      <w:spacing w:before="120" w:after="120" w:line="360" w:lineRule="auto"/>
      <w:ind w:firstLine="560" w:firstLineChars="200"/>
    </w:pPr>
    <w:rPr>
      <w:kern w:val="0"/>
      <w:sz w:val="28"/>
      <w:szCs w:val="28"/>
    </w:rPr>
  </w:style>
  <w:style w:type="paragraph" w:customStyle="1" w:styleId="42">
    <w:name w:val="Default"/>
    <w:qFormat/>
    <w:uiPriority w:val="99"/>
    <w:pPr>
      <w:widowControl w:val="0"/>
      <w:autoSpaceDE w:val="0"/>
      <w:autoSpaceDN w:val="0"/>
      <w:adjustRightInd w:val="0"/>
    </w:pPr>
    <w:rPr>
      <w:rFonts w:ascii="宋体" w:hAnsi="Calibri" w:eastAsia="宋体" w:cs="宋体"/>
      <w:color w:val="000000"/>
      <w:kern w:val="2"/>
      <w:sz w:val="24"/>
      <w:szCs w:val="24"/>
      <w:lang w:val="en-US" w:eastAsia="zh-CN" w:bidi="ar-SA"/>
    </w:rPr>
  </w:style>
  <w:style w:type="paragraph" w:customStyle="1" w:styleId="43">
    <w:name w:val="Null"/>
    <w:qFormat/>
    <w:uiPriority w:val="0"/>
    <w:pPr>
      <w:jc w:val="both"/>
    </w:pPr>
    <w:rPr>
      <w:rFonts w:ascii="等线" w:hAnsi="等线" w:eastAsia="等线" w:cs="Times New Roman"/>
      <w:kern w:val="2"/>
      <w:sz w:val="21"/>
      <w:szCs w:val="22"/>
      <w:lang w:val="en-US" w:eastAsia="zh-CN" w:bidi="ar-SA"/>
    </w:rPr>
  </w:style>
  <w:style w:type="paragraph" w:customStyle="1" w:styleId="44">
    <w:name w:val="UserStyle_38"/>
    <w:basedOn w:val="45"/>
    <w:qFormat/>
    <w:uiPriority w:val="0"/>
    <w:pPr>
      <w:spacing w:before="60" w:after="60" w:line="560" w:lineRule="exact"/>
      <w:ind w:firstLine="0" w:firstLineChars="0"/>
      <w:jc w:val="center"/>
    </w:pPr>
    <w:rPr>
      <w:b/>
      <w:kern w:val="0"/>
      <w:sz w:val="28"/>
      <w:szCs w:val="28"/>
    </w:rPr>
  </w:style>
  <w:style w:type="paragraph" w:customStyle="1" w:styleId="45">
    <w:name w:val="UserStyle_63"/>
    <w:basedOn w:val="1"/>
    <w:qFormat/>
    <w:uiPriority w:val="0"/>
    <w:pPr>
      <w:widowControl/>
      <w:spacing w:before="120" w:after="120" w:line="360" w:lineRule="auto"/>
      <w:ind w:firstLine="480" w:firstLineChars="200"/>
    </w:pPr>
    <w:rPr>
      <w:rFonts w:ascii="宋体" w:hAnsi="宋体"/>
      <w:sz w:val="24"/>
    </w:rPr>
  </w:style>
  <w:style w:type="paragraph" w:customStyle="1" w:styleId="46">
    <w:name w:val="UserStyle_149"/>
    <w:basedOn w:val="1"/>
    <w:qFormat/>
    <w:uiPriority w:val="0"/>
    <w:pPr>
      <w:widowControl/>
      <w:spacing w:line="360" w:lineRule="atLeast"/>
      <w:jc w:val="center"/>
    </w:pPr>
    <w:rPr>
      <w:kern w:val="0"/>
      <w:szCs w:val="20"/>
    </w:rPr>
  </w:style>
  <w:style w:type="character" w:customStyle="1" w:styleId="47">
    <w:name w:val="批注框文本 Char"/>
    <w:basedOn w:val="25"/>
    <w:link w:val="13"/>
    <w:qFormat/>
    <w:uiPriority w:val="0"/>
    <w:rPr>
      <w:rFonts w:ascii="Times New Roman" w:hAnsi="Times New Roman" w:eastAsia="宋体" w:cs="Times New Roman"/>
      <w:sz w:val="18"/>
      <w:szCs w:val="18"/>
    </w:rPr>
  </w:style>
  <w:style w:type="paragraph" w:customStyle="1" w:styleId="48">
    <w:name w:val="Char Char Char Char Char Char Char"/>
    <w:basedOn w:val="1"/>
    <w:qFormat/>
    <w:uiPriority w:val="0"/>
    <w:pPr>
      <w:spacing w:line="288" w:lineRule="auto"/>
    </w:pPr>
    <w:rPr>
      <w:rFonts w:ascii="Tahoma" w:hAnsi="Tahoma" w:eastAsia="hakuyoxingshu7000"/>
      <w:sz w:val="24"/>
      <w:szCs w:val="20"/>
    </w:rPr>
  </w:style>
  <w:style w:type="character" w:customStyle="1" w:styleId="49">
    <w:name w:val="页眉 Char"/>
    <w:basedOn w:val="25"/>
    <w:link w:val="15"/>
    <w:qFormat/>
    <w:uiPriority w:val="99"/>
    <w:rPr>
      <w:rFonts w:ascii="Times New Roman" w:hAnsi="Times New Roman" w:eastAsia="宋体" w:cs="Times New Roman"/>
      <w:sz w:val="18"/>
      <w:szCs w:val="18"/>
    </w:rPr>
  </w:style>
  <w:style w:type="paragraph" w:customStyle="1" w:styleId="50">
    <w:name w:val="1234"/>
    <w:basedOn w:val="51"/>
    <w:qFormat/>
    <w:uiPriority w:val="0"/>
    <w:pPr>
      <w:spacing w:before="60" w:after="60"/>
    </w:pPr>
    <w:rPr>
      <w:rFonts w:ascii="宋体"/>
      <w:color w:val="000000"/>
      <w:kern w:val="1"/>
    </w:rPr>
  </w:style>
  <w:style w:type="paragraph" w:customStyle="1" w:styleId="51">
    <w:name w:val="正文1111"/>
    <w:basedOn w:val="1"/>
    <w:qFormat/>
    <w:uiPriority w:val="0"/>
    <w:pPr>
      <w:spacing w:before="120" w:after="120" w:line="360" w:lineRule="auto"/>
      <w:ind w:firstLine="480" w:firstLineChars="200"/>
    </w:pPr>
    <w:rPr>
      <w:rFonts w:ascii="Calibri" w:hAnsi="宋体"/>
      <w:kern w:val="0"/>
      <w:sz w:val="24"/>
    </w:rPr>
  </w:style>
  <w:style w:type="table" w:customStyle="1" w:styleId="52">
    <w:name w:val="网格型1"/>
    <w:basedOn w:val="23"/>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标题 4 Char"/>
    <w:basedOn w:val="25"/>
    <w:link w:val="7"/>
    <w:qFormat/>
    <w:uiPriority w:val="0"/>
    <w:rPr>
      <w:rFonts w:ascii="Arial" w:hAnsi="Arial" w:eastAsia="黑体" w:cs="Times New Roman"/>
      <w:b/>
      <w:kern w:val="2"/>
      <w:sz w:val="28"/>
      <w:szCs w:val="22"/>
    </w:rPr>
  </w:style>
  <w:style w:type="character" w:customStyle="1" w:styleId="54">
    <w:name w:val="正文文本 2 Char"/>
    <w:basedOn w:val="25"/>
    <w:link w:val="19"/>
    <w:qFormat/>
    <w:uiPriority w:val="0"/>
    <w:rPr>
      <w:rFonts w:ascii="Calibri" w:hAnsi="Calibri" w:eastAsia="宋体" w:cs="Times New Roman"/>
      <w:szCs w:val="22"/>
    </w:rPr>
  </w:style>
  <w:style w:type="character" w:customStyle="1" w:styleId="55">
    <w:name w:val="正文首行缩进 Char"/>
    <w:basedOn w:val="35"/>
    <w:link w:val="22"/>
    <w:qFormat/>
    <w:uiPriority w:val="99"/>
    <w:rPr>
      <w:rFonts w:ascii="Times New Roman" w:hAnsi="Times New Roman" w:eastAsia="宋体" w:cs="Times New Roman"/>
      <w:kern w:val="2"/>
      <w:sz w:val="21"/>
      <w:szCs w:val="22"/>
    </w:rPr>
  </w:style>
  <w:style w:type="paragraph" w:customStyle="1" w:styleId="56">
    <w:name w:val="标题5"/>
    <w:next w:val="1"/>
    <w:qFormat/>
    <w:uiPriority w:val="0"/>
    <w:pPr>
      <w:widowControl w:val="0"/>
      <w:jc w:val="both"/>
      <w:outlineLvl w:val="4"/>
    </w:pPr>
    <w:rPr>
      <w:rFonts w:ascii="宋体" w:hAnsi="宋体" w:eastAsia="宋体" w:cs="Times New Roman"/>
      <w:kern w:val="2"/>
      <w:sz w:val="21"/>
      <w:szCs w:val="21"/>
      <w:lang w:val="en-US" w:eastAsia="zh-CN" w:bidi="ar-SA"/>
    </w:rPr>
  </w:style>
  <w:style w:type="paragraph" w:customStyle="1" w:styleId="57">
    <w:name w:val="reader-word-layer"/>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
    <w:name w:val="表格"/>
    <w:basedOn w:val="1"/>
    <w:qFormat/>
    <w:uiPriority w:val="0"/>
    <w:pPr>
      <w:jc w:val="center"/>
    </w:pPr>
    <w:rPr>
      <w:rFonts w:ascii="Calibri" w:hAnsi="Calibri"/>
      <w:szCs w:val="21"/>
    </w:rPr>
  </w:style>
  <w:style w:type="paragraph" w:customStyle="1" w:styleId="59">
    <w:name w:val="列出段落2"/>
    <w:basedOn w:val="1"/>
    <w:qFormat/>
    <w:uiPriority w:val="34"/>
    <w:pPr>
      <w:ind w:firstLine="420" w:firstLineChars="200"/>
    </w:pPr>
    <w:rPr>
      <w:rFonts w:ascii="Calibri" w:hAnsi="Calibri"/>
      <w:szCs w:val="22"/>
    </w:rPr>
  </w:style>
  <w:style w:type="paragraph" w:customStyle="1" w:styleId="60">
    <w:name w:val="标题1"/>
    <w:basedOn w:val="4"/>
    <w:link w:val="65"/>
    <w:qFormat/>
    <w:uiPriority w:val="99"/>
    <w:pPr>
      <w:pageBreakBefore/>
      <w:tabs>
        <w:tab w:val="left" w:pos="360"/>
      </w:tabs>
      <w:spacing w:before="340" w:after="330" w:line="360" w:lineRule="auto"/>
      <w:jc w:val="center"/>
    </w:pPr>
    <w:rPr>
      <w:rFonts w:ascii="黑体" w:hAnsi="黑体" w:eastAsia="黑体" w:cs="宋体"/>
      <w:sz w:val="36"/>
      <w:szCs w:val="36"/>
    </w:rPr>
  </w:style>
  <w:style w:type="paragraph" w:styleId="61">
    <w:name w:val="List Paragraph"/>
    <w:basedOn w:val="1"/>
    <w:unhideWhenUsed/>
    <w:qFormat/>
    <w:uiPriority w:val="99"/>
    <w:pPr>
      <w:ind w:firstLine="420" w:firstLineChars="200"/>
    </w:pPr>
  </w:style>
  <w:style w:type="character" w:customStyle="1" w:styleId="62">
    <w:name w:val="批注主题 Char"/>
    <w:basedOn w:val="34"/>
    <w:link w:val="21"/>
    <w:semiHidden/>
    <w:qFormat/>
    <w:uiPriority w:val="99"/>
    <w:rPr>
      <w:rFonts w:ascii="Times New Roman" w:hAnsi="Times New Roman" w:eastAsia="宋体" w:cs="Times New Roman"/>
      <w:b/>
      <w:bCs/>
      <w:kern w:val="2"/>
      <w:sz w:val="21"/>
      <w:szCs w:val="24"/>
    </w:rPr>
  </w:style>
  <w:style w:type="paragraph" w:customStyle="1" w:styleId="63">
    <w:name w:val="样式 仿宋_GB2312 四号"/>
    <w:basedOn w:val="1"/>
    <w:qFormat/>
    <w:uiPriority w:val="0"/>
    <w:pPr>
      <w:ind w:firstLine="200"/>
    </w:pPr>
    <w:rPr>
      <w:rFonts w:ascii="仿宋_GB2312" w:hAnsi="宋体" w:cs="宋体"/>
      <w:szCs w:val="20"/>
    </w:rPr>
  </w:style>
  <w:style w:type="paragraph" w:customStyle="1" w:styleId="64">
    <w:name w:val="表头&amp;图题"/>
    <w:basedOn w:val="1"/>
    <w:next w:val="1"/>
    <w:qFormat/>
    <w:uiPriority w:val="0"/>
    <w:pPr>
      <w:jc w:val="center"/>
    </w:pPr>
    <w:rPr>
      <w:b/>
      <w:szCs w:val="21"/>
    </w:rPr>
  </w:style>
  <w:style w:type="character" w:customStyle="1" w:styleId="65">
    <w:name w:val="标题1 Char"/>
    <w:link w:val="60"/>
    <w:qFormat/>
    <w:uiPriority w:val="99"/>
    <w:rPr>
      <w:rFonts w:ascii="黑体" w:hAnsi="黑体" w:eastAsia="黑体" w:cs="宋体"/>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4F7100-D293-4709-A6B8-A2EC7F8029B5}">
  <ds:schemaRefs/>
</ds:datastoreItem>
</file>

<file path=docProps/app.xml><?xml version="1.0" encoding="utf-8"?>
<Properties xmlns="http://schemas.openxmlformats.org/officeDocument/2006/extended-properties" xmlns:vt="http://schemas.openxmlformats.org/officeDocument/2006/docPropsVTypes">
  <Template>Normal</Template>
  <Pages>72</Pages>
  <Words>36228</Words>
  <Characters>5756</Characters>
  <Lines>47</Lines>
  <Paragraphs>83</Paragraphs>
  <TotalTime>4</TotalTime>
  <ScaleCrop>false</ScaleCrop>
  <LinksUpToDate>false</LinksUpToDate>
  <CharactersWithSpaces>41901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2021-06-20T09:25:00Z</dcterms:created>
  <dc:creator>Windows 用户</dc:creator>
  <cp:lastModifiedBy> ­__田甜恬</cp:lastModifiedBy>
  <dcterms:modified xsi:type="dcterms:W3CDTF">2021-07-02T04:06:31Z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15A97E6396AA419F888DD47A2D884AC8</vt:lpwstr>
  </property>
</Properties>
</file>